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0"/>
        <w:jc w:val="center"/>
      </w:pPr>
      <w:r>
        <w:rPr>
          <w:rFonts w:ascii="Times New Roman" w:hAnsi="Times New Roman"/>
          <w:b w:val="0"/>
          <w:sz w:val="32"/>
        </w:rPr>
        <w:t>Cheap Energy Might Not Be Enough:</w:t>
        <w:br/>
        <w:t>A Trade Model of AI Compute Services</w:t>
      </w:r>
    </w:p>
    <w:p>
      <w:pPr>
        <w:spacing w:before="240" w:after="240"/>
        <w:ind w:firstLine="0"/>
        <w:jc w:val="center"/>
      </w:pPr>
      <w:r>
        <w:rPr>
          <w:i/>
        </w:rPr>
        <w:t>Michael Lokshin</w:t>
      </w:r>
      <w:r>
        <w:rPr>
          <w:rStyle w:val="FootnoteReference"/>
        </w:rPr>
        <w:footnoteReference w:id="1"/>
      </w:r>
    </w:p>
    <w:p>
      <w:pPr>
        <w:spacing w:before="40" w:after="240"/>
        <w:ind w:firstLine="0"/>
        <w:jc w:val="center"/>
      </w:pPr>
      <w:r>
        <w:rPr>
          <w:rFonts w:ascii="Times New Roman" w:hAnsi="Times New Roman"/>
          <w:color w:val="808080"/>
          <w:sz w:val="18"/>
        </w:rPr>
        <w:t>v28  —  February 27, 2026  15:39</w:t>
      </w:r>
    </w:p>
    <w:p>
      <w:pPr>
        <w:spacing w:before="240" w:after="160" w:line="240" w:lineRule="auto"/>
        <w:ind w:firstLine="0" w:left="720" w:right="720"/>
        <w:jc w:val="both"/>
      </w:pPr>
      <w:r>
        <w:rPr>
          <w:b/>
        </w:rPr>
        <w:t>Abstract</w:t>
      </w:r>
      <w:r>
        <w:t>: Energy-rich developing countries could convert cheap electricity into high-value AI compute exports. This paper develops the trade model of compute services, distinguishing latency-insensitive training (offshored to lowest-cost producers) from latency-sensitive inference (favoring proximity to users) and incorporating a bilateral sovereignty premium. Calibration across 85 countries shows that six developing countries rank among the fifteen cheapest producers after governance adjustment, but bilateral trust deficits eliminate all developing-country exports. When a hyperscaler intermediates the transaction, the buyer’s trust attaches to the operator rather than the host country: ten developing economies re-enter as potential exporters. Because hardware dominates unit cost, the cross-country cost spread is only 12–20 percent, making compute both the easiest sector for developing countries to enter on cost grounds and the most vulnerable to small policy-induced frictions. The binding constraint is not electricity cost but the institutional credibility needed to attract hyperscaler investment.</w:t>
      </w:r>
    </w:p>
    <w:p>
      <w:pPr>
        <w:spacing w:before="0" w:after="0" w:line="240" w:lineRule="auto"/>
        <w:ind w:firstLine="0"/>
        <w:jc w:val="both"/>
      </w:pPr>
      <w:r>
        <w:t xml:space="preserve"> </w:t>
      </w:r>
    </w:p>
    <w:p>
      <w:pPr>
        <w:spacing w:before="0" w:after="0" w:line="240" w:lineRule="auto"/>
        <w:ind w:firstLine="0"/>
        <w:jc w:val="both"/>
      </w:pPr>
      <w:r>
        <w:t xml:space="preserve"> </w:t>
      </w:r>
    </w:p>
    <w:p>
      <w:pPr>
        <w:spacing w:before="0" w:after="160" w:line="240" w:lineRule="auto"/>
        <w:ind w:firstLine="0" w:left="720" w:right="720"/>
        <w:jc w:val="both"/>
      </w:pPr>
      <w:r>
        <w:rPr>
          <w:b/>
        </w:rPr>
        <w:t xml:space="preserve">JEL Classification: </w:t>
      </w:r>
      <w:r>
        <w:t>F14, F18, L86, O14, O33, Q40</w:t>
      </w:r>
    </w:p>
    <w:p>
      <w:pPr>
        <w:spacing w:before="0" w:after="160" w:line="240" w:lineRule="auto"/>
        <w:ind w:firstLine="0" w:left="720" w:right="720"/>
        <w:jc w:val="both"/>
      </w:pPr>
      <w:r>
        <w:rPr>
          <w:b/>
        </w:rPr>
        <w:t xml:space="preserve">Keywords: </w:t>
      </w:r>
      <w:r>
        <w:t>compute trade, FLOPs, artificial intelligence, data centers, comparative advantage, electricity costs, developing countries</w:t>
      </w:r>
    </w:p>
    <w:p>
      <w:pPr>
        <w:spacing w:before="0" w:after="0"/>
      </w:pPr>
      <w:r>
        <w:br w:type="page"/>
      </w:r>
    </w:p>
    <w:p>
      <w:pPr>
        <w:pStyle w:val="Heading1"/>
      </w:pPr>
      <w:r>
        <w:rPr>
          <w:rFonts w:ascii="Times New Roman" w:hAnsi="Times New Roman"/>
          <w:b/>
          <w:color w:val="2F5496"/>
          <w:sz w:val="28"/>
        </w:rPr>
        <w:t>1. Introduction</w:t>
      </w:r>
    </w:p>
    <w:p>
      <w:pPr>
        <w:spacing w:before="0" w:after="160"/>
        <w:ind w:firstLine="0"/>
        <w:jc w:val="both"/>
      </w:pPr>
      <w:r>
        <w:t xml:space="preserve">The expansion of artificial intelligence drives the demand for computational resources. The compute used to train the largest AI models has been doubling every six months since 2010 (</w:t>
      </w:r>
      <w:bookmarkStart w:id="237" w:name="EpochAI2024txt"/>
      <w:hyperlink w:anchor="EpochAI2024" w:history="1">
        <w:r>
          <w:rPr>
            <w:color w:val="1F3864"/>
            <w:u w:val="single"/>
          </w:rPr>
          <w:t xml:space="preserve">Epoch AI 2024</w:t>
        </w:r>
      </w:hyperlink>
      <w:bookmarkEnd w:id="237"/>
      <w:r>
        <w:t xml:space="preserve">). Data centers accounted for approximately 1.5% of global electricity demand in 2024, and that share is projected to more than double by 2030 (</w:t>
      </w:r>
      <w:bookmarkStart w:id="250" w:name="IEA2025txt"/>
      <w:hyperlink w:anchor="IEA2025" w:history="1">
        <w:r>
          <w:rPr>
            <w:color w:val="1F3864"/>
            <w:u w:val="single"/>
          </w:rPr>
          <w:t xml:space="preserve">IEA 2025</w:t>
        </w:r>
      </w:hyperlink>
      <w:bookmarkEnd w:id="250"/>
      <w:r>
        <w:t xml:space="preserve">), driven largely by AI-oriented facilities whose power densities are 5–10 times those of conventional data centers  (</w:t>
      </w:r>
      <w:bookmarkStart w:id="200" w:name="TurnerLee2025txt"/>
      <w:hyperlink w:anchor="TurnerLee2025" w:history="1">
        <w:r>
          <w:rPr>
            <w:color w:val="1F3864"/>
            <w:u w:val="single"/>
          </w:rPr>
          <w:t xml:space="preserve">Turner Lee and West 2025</w:t>
        </w:r>
      </w:hyperlink>
      <w:bookmarkEnd w:id="200"/>
      <w:r>
        <w:t xml:space="preserve">).</w:t>
      </w:r>
    </w:p>
    <w:p>
      <w:pPr>
        <w:spacing w:before="0" w:after="160"/>
        <w:ind w:firstLine="0"/>
        <w:jc w:val="both"/>
      </w:pPr>
      <w:r>
        <w:t xml:space="preserve">This surge in demand creates an export opportunity. We refer to the production of compute services in one country for consumption in another as </w:t>
      </w:r>
      <w:r>
        <w:rPr>
          <w:i/>
        </w:rPr>
        <w:t>FLOP exporting</w:t>
      </w:r>
      <w:r>
        <w:t>. Rather than exporting raw energy resources as primary commodities, countries can use cheap electricity to produce a higher value-added digital service. For resource-rich developing countries, FLOP exporting could offer a route up the value chain.</w:t>
      </w:r>
    </w:p>
    <w:p>
      <w:pPr>
        <w:spacing w:before="0" w:after="160"/>
        <w:ind w:firstLine="0"/>
        <w:jc w:val="both"/>
      </w:pPr>
      <w:r>
        <w:t xml:space="preserve">Several megaprojects confirm that FLOP exporting is technically and commercially feasible. Armenia is deploying 50,000 GPUs in a $4 billion investment (</w:t>
      </w:r>
      <w:bookmarkStart w:id="238" w:name="Firebird2026txt"/>
      <w:hyperlink w:anchor="Firebird2026" w:history="1">
        <w:r>
          <w:rPr>
            <w:color w:val="1F3864"/>
            <w:u w:val="single"/>
          </w:rPr>
          <w:t xml:space="preserve">Firebird 2026</w:t>
        </w:r>
      </w:hyperlink>
      <w:bookmarkEnd w:id="238"/>
      <w:r>
        <w:t xml:space="preserve">), Kenya, Saudi Arabia, and Malaysia have each attracted billion-dollar data center commitments, and cloud computing exports already exceed $9 billion annually (</w:t>
      </w:r>
      <w:bookmarkStart w:id="201" w:name="WorldBank2025txt"/>
      <w:hyperlink w:anchor="WorldBank2025" w:history="1">
        <w:r>
          <w:rPr>
            <w:color w:val="1F3864"/>
            <w:u w:val="single"/>
          </w:rPr>
          <w:t xml:space="preserve">World Bank 2025</w:t>
        </w:r>
      </w:hyperlink>
      <w:bookmarkEnd w:id="201"/>
      <w:r>
        <w:t xml:space="preserve">). A 40 MW data center in Kyrgyzstan could generate annual revenue of $630–950 million at wholesale contract rates, equivalent to over 15% of Kyrgyzstan’s $3.8 billion in goods exports (</w:t>
      </w:r>
      <w:bookmarkStart w:id="239" w:name="WorldBank2024txt"/>
      <w:hyperlink w:anchor="WorldBank2024" w:history="1">
        <w:r>
          <w:rPr>
            <w:color w:val="1F3864"/>
            <w:u w:val="single"/>
          </w:rPr>
          <w:t xml:space="preserve">World Bank 2024</w:t>
        </w:r>
      </w:hyperlink>
      <w:bookmarkEnd w:id="239"/>
      <w:r>
        <w:t xml:space="preserve">).</w:t>
      </w:r>
      <w:r>
        <w:rPr>
          <w:rStyle w:val="FootnoteReference"/>
        </w:rPr>
        <w:footnoteReference w:id="5"/>
      </w:r>
    </w:p>
    <w:p>
      <w:pPr>
        <w:spacing w:before="0" w:after="160"/>
        <w:ind w:firstLine="0"/>
        <w:jc w:val="both"/>
      </w:pPr>
      <w:r>
        <w:t xml:space="preserve">Recent work examines compute governance and the geography of AI infrastructure (</w:t>
      </w:r>
      <w:bookmarkStart w:id="240" w:name="Sastry2024txt"/>
      <w:hyperlink w:anchor="Sastry2024" w:history="1">
        <w:r>
          <w:rPr>
            <w:color w:val="1F3864"/>
            <w:u w:val="single"/>
          </w:rPr>
          <w:t xml:space="preserve">Sastry et al. 2024</w:t>
        </w:r>
      </w:hyperlink>
      <w:bookmarkEnd w:id="240"/>
      <w:r>
        <w:t xml:space="preserve">, </w:t>
      </w:r>
      <w:bookmarkStart w:id="202" w:name="Lehdonvirta2024txt"/>
      <w:hyperlink w:anchor="Lehdonvirta2024" w:history="1">
        <w:r>
          <w:rPr>
            <w:color w:val="1F3864"/>
            <w:u w:val="single"/>
          </w:rPr>
          <w:t xml:space="preserve">Lehdonvirta et al. 2024</w:t>
        </w:r>
      </w:hyperlink>
      <w:bookmarkEnd w:id="202"/>
      <w:r>
        <w:t xml:space="preserve">, </w:t>
      </w:r>
      <w:bookmarkStart w:id="241" w:name="Pilz2025txt"/>
      <w:hyperlink w:anchor="Pilz2025" w:history="1">
        <w:r>
          <w:rPr>
            <w:color w:val="1F3864"/>
            <w:u w:val="single"/>
          </w:rPr>
          <w:t xml:space="preserve">Pilz et al. 2025</w:t>
        </w:r>
      </w:hyperlink>
      <w:bookmarkEnd w:id="241"/>
      <w:r>
        <w:t xml:space="preserve">), but no formal trade model of compute exists. We offer the first such model, treating FLOPs as commodities produced and exported according to Ricardian comparative advantage. The paper makes three contributions. First, it develops a capacity-constrained Ricardian model in which countries produce and export compute services. An iceberg trade cost captures latency degradation for inference, and a bilateral sovereignty premium captures geopolitical and regulatory frictions. Capacity ceilings generate scarcity rents and predictions about concentration and trade patterns. Second, the paper calibrates the model for 85 countries using data on electricity prices, climate, data center construction costs, and inter-country network latency, correcting for energy subsidies that distort headline cost rankings. Third, it characterizes the resulting trade regimes—which countries export, which import, and which adopt hybrid strategies—and quantify the welfare cost of the sovereignty premium.</w:t>
      </w:r>
    </w:p>
    <w:p>
      <w:pPr>
        <w:spacing w:before="0" w:after="160"/>
        <w:ind w:firstLine="0"/>
        <w:jc w:val="both"/>
      </w:pPr>
      <w:r>
        <w:t>The calibration reveals that cheap electricity and favorable cooling conditions are necessary but not sufficient for competitive compute exporting. Hardware amortization accounts for approximately 90 percent of the compute unit cost and is identical across countries, compressing the total cost spread to roughly 12 percent under raw electricity tariffs (20 percent after efficiency adjustment). Once production-efficiency penalties for weak governance are applied, the cost ranking changes substantially. Some of the cheapest producers drop sharply, while countries combining cheap energy with adequate institutions remain in the top 15. Under the bilateral sovereignty specification, however, trust deficits eliminate all developing-country exports. When a hyperscaler operates the facility, the buyer’s trust attaches to the operator rather than the host country, and five developing economies re-enter as potential exporters. For energy-rich developing countries, the binding constraint is not electricity cost but the institutional environment needed to attract FDI.</w:t>
      </w:r>
    </w:p>
    <w:p>
      <w:pPr>
        <w:pStyle w:val="Heading1"/>
      </w:pPr>
      <w:r>
        <w:rPr>
          <w:rFonts w:ascii="Times New Roman" w:hAnsi="Times New Roman"/>
          <w:b/>
          <w:color w:val="2F5496"/>
          <w:sz w:val="28"/>
        </w:rPr>
        <w:t>2. Related Literature</w:t>
      </w:r>
    </w:p>
    <w:p>
      <w:pPr>
        <w:spacing w:before="0" w:after="160"/>
        <w:ind w:firstLine="0"/>
        <w:jc w:val="both"/>
      </w:pPr>
      <w:r>
        <w:t xml:space="preserve"/>
      </w:r>
      <w:bookmarkStart w:id="203" w:name="Goldfarb2018txt"/>
      <w:hyperlink w:anchor="Goldfarb2018" w:history="1">
        <w:r>
          <w:rPr>
            <w:color w:val="1F3864"/>
            <w:u w:val="single"/>
          </w:rPr>
          <w:t xml:space="preserve">Goldfarb and Trefler (2018)</w:t>
        </w:r>
      </w:hyperlink>
      <w:bookmarkEnd w:id="203"/>
      <w:r>
        <w:t xml:space="preserve"> argue that AI shifts comparative advantage toward countries with data, human capital, and institutional capacity. Our model shows that comparative advantage in compute </w:t>
      </w:r>
      <w:r>
        <w:rPr>
          <w:i/>
        </w:rPr>
        <w:t>production</w:t>
      </w:r>
      <w:r>
        <w:t xml:space="preserve"> depends on electricity costs, climate, and institutional quality, so resource-rich countries could become compute exporters without domestic AI research industries. </w:t>
      </w:r>
      <w:bookmarkStart w:id="204" w:name="Korinek2021txt"/>
      <w:hyperlink w:anchor="Korinek2021" w:history="1">
        <w:r>
          <w:rPr>
            <w:color w:val="1F3864"/>
            <w:u w:val="single"/>
          </w:rPr>
          <w:t xml:space="preserve">Korinek and Stiglitz (2021)</w:t>
        </w:r>
      </w:hyperlink>
      <w:bookmarkEnd w:id="204"/>
      <w:r>
        <w:t xml:space="preserve"> suggest that developing countries could be left behind in the AI revolution. FLOP exporting would allow energy-rich developing countries to participate in that revolution. The concept of FLOP exporting as value chain upgrading connects to </w:t>
      </w:r>
      <w:bookmarkStart w:id="251" w:name="Hausmann2007txt"/>
      <w:hyperlink w:anchor="Hausmann2007" w:history="1">
        <w:r>
          <w:rPr>
            <w:color w:val="1F3864"/>
            <w:u w:val="single"/>
          </w:rPr>
          <w:t xml:space="preserve">Hausmann et al. (2007)</w:t>
        </w:r>
      </w:hyperlink>
      <w:bookmarkEnd w:id="251"/>
      <w:r>
        <w:t xml:space="preserve">, who show that what a country exports matters for growth. </w:t>
      </w:r>
      <w:bookmarkStart w:id="242" w:name="Limao2001txt"/>
      <w:hyperlink w:anchor="Limao2001" w:history="1">
        <w:r>
          <w:rPr>
            <w:color w:val="1F3864"/>
            <w:u w:val="single"/>
          </w:rPr>
          <w:t xml:space="preserve">Limão and Venables (2001)</w:t>
        </w:r>
      </w:hyperlink>
      <w:bookmarkEnd w:id="242"/>
      <w:r>
        <w:t xml:space="preserve"> demonstrate that infrastructure quality determines trade costs. In our model, network infrastructure plays the analogous role for digital trade.</w:t>
      </w:r>
    </w:p>
    <w:p>
      <w:pPr>
        <w:spacing w:before="0" w:after="160"/>
        <w:ind w:firstLine="0"/>
        <w:jc w:val="both"/>
      </w:pPr>
      <w:r>
        <w:t xml:space="preserve">The closest precedent to our model is IT services offshoring, which is labor-intensive and skill-biased (</w:t>
      </w:r>
      <w:bookmarkStart w:id="205" w:name="Blinder2006txt"/>
      <w:hyperlink w:anchor="Blinder2006" w:history="1">
        <w:r>
          <w:rPr>
            <w:color w:val="1F3864"/>
            <w:u w:val="single"/>
          </w:rPr>
          <w:t xml:space="preserve">Blinder 2006</w:t>
        </w:r>
      </w:hyperlink>
      <w:bookmarkEnd w:id="205"/>
      <w:r>
        <w:t xml:space="preserve">), FLOP exporting is capital- and energy-intensive: the binding input is cheap electricity, not cheap labor, so the set of potential exporters is fundamentally different.</w:t>
      </w:r>
    </w:p>
    <w:p>
      <w:pPr>
        <w:spacing w:before="0" w:after="160"/>
        <w:ind w:firstLine="0"/>
        <w:jc w:val="both"/>
      </w:pPr>
      <w:r>
        <w:t xml:space="preserve">Several studies examine where firms should build data centers. </w:t>
      </w:r>
      <w:bookmarkStart w:id="206" w:name="Flucker2013txt"/>
      <w:hyperlink w:anchor="Flucker2013" w:history="1">
        <w:r>
          <w:rPr>
            <w:color w:val="1F3864"/>
            <w:u w:val="single"/>
          </w:rPr>
          <w:t xml:space="preserve">Flucker et al. (2013)</w:t>
        </w:r>
      </w:hyperlink>
      <w:bookmarkEnd w:id="206"/>
      <w:r>
        <w:t xml:space="preserve"> show that climate affects data center cooling costs. </w:t>
      </w:r>
      <w:bookmarkStart w:id="252" w:name="Liu2023txt"/>
      <w:hyperlink w:anchor="Liu2023" w:history="1">
        <w:r>
          <w:rPr>
            <w:color w:val="1F3864"/>
            <w:u w:val="single"/>
          </w:rPr>
          <w:t xml:space="preserve">Liu et al. (2023)</w:t>
        </w:r>
      </w:hyperlink>
      <w:bookmarkEnd w:id="252"/>
      <w:r>
        <w:t xml:space="preserve"> study data center placement under renewable energy constraints. In international trade theory, </w:t>
      </w:r>
      <w:bookmarkStart w:id="256" w:name="Brainard1997txt"/>
      <w:hyperlink w:anchor="Brainard1997" w:history="1">
        <w:r>
          <w:rPr>
            <w:color w:val="1F3864"/>
            <w:u w:val="single"/>
          </w:rPr>
          <w:t xml:space="preserve">Brainard (1997)</w:t>
        </w:r>
      </w:hyperlink>
      <w:bookmarkEnd w:id="256"/>
      <w:r>
        <w:t xml:space="preserve"> formalizes the proximity-concentration trade-off between serving a market locally and concentrating production abroad, and </w:t>
      </w:r>
      <w:bookmarkStart w:id="243" w:name="HMY2004txt"/>
      <w:hyperlink w:anchor="HMY2004" w:history="1">
        <w:r>
          <w:rPr>
            <w:color w:val="1F3864"/>
            <w:u w:val="single"/>
          </w:rPr>
          <w:t xml:space="preserve">Helpman et al. (2004)</w:t>
        </w:r>
      </w:hyperlink>
      <w:bookmarkEnd w:id="243"/>
      <w:r>
        <w:t xml:space="preserve"> extend this to heterogeneous firms choosing between exporting and FDI.</w:t>
      </w:r>
    </w:p>
    <w:p>
      <w:pPr>
        <w:spacing w:before="0" w:after="160"/>
        <w:ind w:firstLine="0"/>
        <w:jc w:val="both"/>
      </w:pPr>
      <w:r>
        <w:t xml:space="preserve">On the governance side, </w:t>
      </w:r>
      <w:bookmarkStart w:id="244" w:name="Sastry2024txt"/>
      <w:hyperlink w:anchor="Sastry2024" w:history="1">
        <w:r>
          <w:rPr>
            <w:color w:val="1F3864"/>
            <w:u w:val="single"/>
          </w:rPr>
          <w:t xml:space="preserve">Sastry et al. (2024)</w:t>
        </w:r>
      </w:hyperlink>
      <w:bookmarkEnd w:id="244"/>
      <w:r>
        <w:t xml:space="preserve"> argue that compute is well-suited for regulation because governments can track the number of chips in circulation, restrict who can buy them, and measure how much computation they perform. </w:t>
      </w:r>
      <w:bookmarkStart w:id="207" w:name="Lehdonvirta2024txt"/>
      <w:hyperlink w:anchor="Lehdonvirta2024" w:history="1">
        <w:r>
          <w:rPr>
            <w:color w:val="1F3864"/>
            <w:u w:val="single"/>
          </w:rPr>
          <w:t xml:space="preserve">Lehdonvirta et al. (2024)</w:t>
        </w:r>
      </w:hyperlink>
      <w:bookmarkEnd w:id="207"/>
      <w:r>
        <w:t xml:space="preserve"> map the global geography of cloud GPU infrastructure, distinguishing a “Compute North” with training-capable hardware from a “Compute South” limited to inference-grade chips. </w:t>
      </w:r>
      <w:bookmarkStart w:id="257" w:name="Pilz2025txt"/>
      <w:hyperlink w:anchor="Pilz2025" w:history="1">
        <w:r>
          <w:rPr>
            <w:color w:val="1F3864"/>
            <w:u w:val="single"/>
          </w:rPr>
          <w:t xml:space="preserve">Pilz et al. (2025)</w:t>
        </w:r>
      </w:hyperlink>
      <w:bookmarkEnd w:id="257"/>
      <w:r>
        <w:t xml:space="preserve"> project that AI data center power demand could reach 327 GW by 2030 and that domestic power shortages may push compute infrastructure abroad. The </w:t>
      </w:r>
      <w:bookmarkStart w:id="258" w:name="WorldBank2025txt"/>
      <w:hyperlink w:anchor="WorldBank2025" w:history="1">
        <w:r>
          <w:rPr>
            <w:color w:val="1F3864"/>
            <w:u w:val="single"/>
          </w:rPr>
          <w:t xml:space="preserve">World Bank (2025)</w:t>
        </w:r>
      </w:hyperlink>
      <w:bookmarkEnd w:id="258"/>
      <w:r>
        <w:t xml:space="preserve"> documents the resulting global compute divide: high-income countries hold 77% of colocation data center capacity and account for 87% of cloud computing exports (</w:t>
      </w:r>
      <w:bookmarkStart w:id="253" w:name="Stojkoski2024txt"/>
      <w:hyperlink w:anchor="Stojkoski2024" w:history="1">
        <w:r>
          <w:rPr>
            <w:color w:val="1F3864"/>
            <w:u w:val="single"/>
          </w:rPr>
          <w:t xml:space="preserve">Stojkoski et al. 2024</w:t>
        </w:r>
      </w:hyperlink>
      <w:bookmarkEnd w:id="253"/>
      <w:r>
        <w:t xml:space="preserve">), but the report offers descriptive evidence without a formal framework linking production costs to trade patterns. On the industrial organization side, </w:t>
      </w:r>
      <w:bookmarkStart w:id="245" w:name="Biglaiser2024txt"/>
      <w:hyperlink w:anchor="Biglaiser2024" w:history="1">
        <w:r>
          <w:rPr>
            <w:color w:val="1F3864"/>
            <w:u w:val="single"/>
          </w:rPr>
          <w:t xml:space="preserve">Biglaiser et al. (2024)</w:t>
        </w:r>
      </w:hyperlink>
      <w:bookmarkEnd w:id="245"/>
      <w:r>
        <w:t xml:space="preserve"> survey the economics of cloud markets, including switching costs, egress fees, and platform competition among hyperscalers, but the supply-side question of where compute is produced and whether developing countries can become competitive exporters has not been addressed. </w:t>
      </w:r>
      <w:bookmarkStart w:id="254" w:name="Stojkoski2024txt"/>
      <w:hyperlink w:anchor="Stojkoski2024" w:history="1">
        <w:r>
          <w:rPr>
            <w:color w:val="1F3864"/>
            <w:u w:val="single"/>
          </w:rPr>
          <w:t xml:space="preserve">Stojkoski et al. (2024)</w:t>
        </w:r>
      </w:hyperlink>
      <w:bookmarkEnd w:id="254"/>
      <w:r>
        <w:t xml:space="preserve"> document the geography of cloud exports but treat cloud services as homogeneous; the present model adds supply-side cost structure and a training–inference distinction that generates location-specific comparative advantage. </w:t>
      </w:r>
    </w:p>
    <w:p>
      <w:pPr>
        <w:pStyle w:val="Heading1"/>
      </w:pPr>
      <w:r>
        <w:rPr>
          <w:rFonts w:ascii="Times New Roman" w:hAnsi="Times New Roman"/>
          <w:b/>
          <w:color w:val="2F5496"/>
          <w:sz w:val="28"/>
        </w:rPr>
        <w:t>3. Model of Compute Production and Trade</w:t>
      </w:r>
    </w:p>
    <w:p>
      <w:pPr>
        <w:spacing w:before="0" w:after="160"/>
        <w:ind w:firstLine="0"/>
        <w:jc w:val="both"/>
      </w:pPr>
      <w:r>
        <w:t>This section models compute as a tradable good with country-specific production costs, a delivery cost that depends on whether the workload is training (latency-insensitive) or inference (latency-sensitive), and a sovereignty premium reflecting governments’ preference for domestic production.</w:t>
      </w:r>
    </w:p>
    <w:p>
      <w:pPr>
        <w:pStyle w:val="Heading2"/>
      </w:pPr>
      <w:r>
        <w:rPr>
          <w:rFonts w:ascii="Times New Roman" w:hAnsi="Times New Roman"/>
          <w:b w:val="0"/>
          <w:i/>
          <w:color w:val="2F5496"/>
          <w:sz w:val="24"/>
        </w:rPr>
        <w:t>3.1 Production Technology and Cost Structure</w:t>
      </w:r>
    </w:p>
    <w:p>
      <w:pPr>
        <w:spacing w:before="0" w:after="160"/>
        <w:ind w:firstLine="0"/>
        <w:jc w:val="both"/>
      </w:pPr>
      <w:r>
        <w:t xml:space="preserve">Consider </w:t>
      </w:r>
      <m:oMath>
        <m:r>
          <m:rPr>
            <m:sty m:val="i"/>
          </m:rPr>
          <w:rPr>
            <w:rFonts w:ascii="Cambria Math" w:hAnsi="Cambria Math"/>
          </w:rPr>
          <m:t xml:space="preserve">N</m:t>
        </m:r>
      </m:oMath>
      <w:r>
        <w:t xml:space="preserve"> countries, each capable of producing compute services. The cost of producing a unit of compute in country </w:t>
      </w:r>
      <m:oMath>
        <m:r>
          <m:rPr>
            <m:sty m:val="i"/>
          </m:rPr>
          <w:rPr>
            <w:rFonts w:ascii="Cambria Math" w:hAnsi="Cambria Math"/>
          </w:rPr>
          <m:t xml:space="preserve">j</m:t>
        </m:r>
      </m:oMath>
      <w:r>
        <w:t xml:space="preserve"> depends on three inputs: electricity, hardware, and data center construction.</w:t>
      </w:r>
    </w:p>
    <w:p>
      <w:pPr>
        <w:spacing w:before="0" w:after="40"/>
        <w:ind w:firstLine="0"/>
        <w:jc w:val="both"/>
      </w:pPr>
      <w:r>
        <w:t xml:space="preserve">A data center consumes electricity not only for its Graphic Processing Units (GPU) but also for cooling, power distribution, and lighting. This overhead is measured by the </w:t>
      </w:r>
      <w:r>
        <w:rPr>
          <w:i/>
        </w:rPr>
        <w:t>power usage effectiveness</w:t>
      </w:r>
      <w:r>
        <w:t xml:space="preserve"> (PUE), the ratio of total facility energy consumption to IT equipment energy consumption. The cost per GPU-hour in country </w:t>
      </w:r>
      <m:oMath>
        <m:r>
          <m:rPr>
            <m:sty m:val="i"/>
          </m:rPr>
          <w:rPr>
            <w:rFonts w:ascii="Cambria Math" w:hAnsi="Cambria Math"/>
          </w:rPr>
          <m:t xml:space="preserve">j</m:t>
        </m:r>
      </m:oMath>
      <w:r>
        <w:t xml:space="preserve"> is:</w:t>
      </w:r>
      <w:r>
        <w:rPr>
          <w:rStyle w:val="FootnoteReference"/>
        </w:rPr>
        <w:footnoteReference w:id="7"/>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γ</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E,j</m:t>
                  </m:r>
                </m:sub>
              </m:sSub>
              <m:r>
                <m:rPr>
                  <m:sty m:val="p"/>
                </m:rPr>
                <w:rPr>
                  <w:rFonts w:ascii="Cambria Math" w:hAnsi="Cambria Math"/>
                </w:rPr>
                <m:t xml:space="preserve"> + </m:t>
              </m:r>
              <m:r>
                <m:rPr>
                  <m:sty m:val="i"/>
                </m:rPr>
                <w:rPr>
                  <w:rFonts w:ascii="Cambria Math" w:hAnsi="Cambria Math"/>
                </w:rPr>
                <m:t xml:space="preserve">ρ</m:t>
              </m:r>
              <m:r>
                <m:rPr>
                  <m:sty m:val="p"/>
                </m:rPr>
                <w:rPr>
                  <w:rFonts w:ascii="Cambria Math" w:hAnsi="Cambria Math"/>
                </w:rPr>
                <m:t xml:space="preserve"> + </m:t>
              </m:r>
              <m:r>
                <m:rPr>
                  <m:sty m:val="i"/>
                </m:rPr>
                <w:rPr>
                  <w:rFonts w:ascii="Cambria Math" w:hAnsi="Cambria Math"/>
                </w:rPr>
                <m:t xml:space="preserve">η</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L,j</m:t>
                  </m:r>
                </m:sub>
              </m:sSub>
              <m:r>
                <m:rPr>
                  <m:sty m:val="p"/>
                </m:rPr>
                <w:rPr>
                  <w:rFonts w:ascii="Cambria Math" w:hAnsi="Cambria Math"/>
                </w:rPr>
                <m:t xml:space="preserve"> / (</m:t>
              </m:r>
              <m:r>
                <m:rPr>
                  <m:sty m:val="i"/>
                </m:rPr>
                <w:rPr>
                  <w:rFonts w:ascii="Cambria Math" w:hAnsi="Cambria Math"/>
                </w:rPr>
                <m:t xml:space="preserve">D</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m:t>
              </m:r>
            </m:oMath>
          </w:p>
        </w:tc>
        <w:tc>
          <w:tcPr>
            <w:tcW w:w="1400" w:type="dxa"/>
            <w:vAlign w:val="center"/>
          </w:tcPr>
          <w:p>
            <w:pPr>
              <w:jc w:val="right"/>
              <w:spacing w:before="60" w:after="60"/>
            </w:pPr>
            <w:bookmarkStart w:id="801" w:name="Eq1"/>
            <w:r>
              <w:t>(1)</w:t>
            </w:r>
            <w:bookmarkEnd w:id="801"/>
          </w:p>
        </w:tc>
      </w:tr>
    </w:tbl>
    <w:p>
      <w:pPr>
        <w:spacing w:before="0" w:after="160"/>
        <w:ind w:firstLine="0"/>
        <w:jc w:val="both"/>
      </w:pPr>
      <w:r>
        <w:t xml:space="preserve">where </w:t>
      </w:r>
      <m:oMath>
        <m:r>
          <m:rPr>
            <m:sty m:val="i"/>
          </m:rPr>
          <w:rPr>
            <w:rFonts w:ascii="Cambria Math" w:hAnsi="Cambria Math"/>
          </w:rPr>
          <m:t xml:space="preserve">γ</m:t>
        </m:r>
      </m:oMath>
      <w:r>
        <w:t xml:space="preserve"> is GPU power draw (kW),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is the electricity price ($/kWh), </w:t>
      </w:r>
      <m:oMath>
        <m:r>
          <m:rPr>
            <m:sty m:val="i"/>
          </m:rPr>
          <w:rPr>
            <w:rFonts w:ascii="Cambria Math" w:hAnsi="Cambria Math"/>
          </w:rPr>
          <m:t xml:space="preserve">ρ</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GPU</m:t>
            </m:r>
          </m:sub>
        </m:sSub>
        <m:r>
          <m:rPr>
            <m:sty m:val="p"/>
          </m:rPr>
          <w:rPr>
            <w:rFonts w:ascii="Cambria Math" w:hAnsi="Cambria Math"/>
          </w:rPr>
          <m:t xml:space="preserve"> / (</m:t>
        </m:r>
        <m:r>
          <m:rPr>
            <m:sty m:val="i"/>
          </m:rPr>
          <w:rPr>
            <w:rFonts w:ascii="Cambria Math" w:hAnsi="Cambria Math"/>
          </w:rPr>
          <m:t xml:space="preserve">L</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 · </m:t>
        </m:r>
        <m:r>
          <m:rPr>
            <m:sty m:val="i"/>
          </m:rPr>
          <w:rPr>
            <w:rFonts w:ascii="Cambria Math" w:hAnsi="Cambria Math"/>
          </w:rPr>
          <m:t xml:space="preserve">β</m:t>
        </m:r>
        <m:r>
          <m:rPr>
            <m:sty m:val="p"/>
          </m:rPr>
          <w:rPr>
            <w:rFonts w:ascii="Cambria Math" w:hAnsi="Cambria Math"/>
          </w:rPr>
          <m:t xml:space="preserve">)</m:t>
        </m:r>
      </m:oMath>
      <w:r>
        <w:t xml:space="preserve"> is amortized hardware cost per GPU-hour (</w:t>
      </w:r>
      <m:oMath>
        <m:sSub>
          <m:sSubPr/>
          <m:e>
            <m:r>
              <m:rPr>
                <m:sty m:val="i"/>
              </m:rPr>
              <w:rPr>
                <w:rFonts w:ascii="Cambria Math" w:hAnsi="Cambria Math"/>
              </w:rPr>
              <m:t xml:space="preserve">P</m:t>
            </m:r>
          </m:e>
          <m:sub>
            <m:r>
              <m:rPr>
                <m:sty m:val="i"/>
              </m:rPr>
              <w:rPr>
                <w:rFonts w:ascii="Cambria Math" w:hAnsi="Cambria Math"/>
              </w:rPr>
              <m:t xml:space="preserve">GPU</m:t>
            </m:r>
          </m:sub>
        </m:sSub>
      </m:oMath>
      <w:r>
        <w:t xml:space="preserve"> = purchase price, </w:t>
      </w:r>
      <m:oMath>
        <m:r>
          <m:rPr>
            <m:sty m:val="i"/>
          </m:rPr>
          <w:rPr>
            <w:rFonts w:ascii="Cambria Math" w:hAnsi="Cambria Math"/>
          </w:rPr>
          <m:t xml:space="preserve">L</m:t>
        </m:r>
      </m:oMath>
      <w:r>
        <w:t xml:space="preserve"> = lifetime in years, </w:t>
      </w:r>
      <m:oMath>
        <m:r>
          <m:rPr>
            <m:sty m:val="i"/>
          </m:rPr>
          <w:rPr>
            <w:rFonts w:ascii="Cambria Math" w:hAnsi="Cambria Math"/>
          </w:rPr>
          <m:t xml:space="preserve">H</m:t>
        </m:r>
      </m:oMath>
      <w:r>
        <w:t xml:space="preserve"> = 8,766 hours per year, </w:t>
      </w:r>
      <m:oMath>
        <m:r>
          <m:rPr>
            <m:sty m:val="i"/>
          </m:rPr>
          <w:rPr>
            <w:rFonts w:ascii="Cambria Math" w:hAnsi="Cambria Math"/>
          </w:rPr>
          <m:t xml:space="preserve">β</m:t>
        </m:r>
      </m:oMath>
      <w:r>
        <w:t xml:space="preserve"> = utilization rate),</w:t>
      </w:r>
      <w:r>
        <w:rPr>
          <w:rStyle w:val="FootnoteReference"/>
        </w:rPr>
        <w:footnoteReference w:id="9"/>
      </w:r>
      <w:r>
        <w:t xml:space="preserve"> </w:t>
      </w:r>
      <m:oMath>
        <m:r>
          <m:rPr>
            <m:sty m:val="i"/>
          </m:rPr>
          <w:rPr>
            <w:rFonts w:ascii="Cambria Math" w:hAnsi="Cambria Math"/>
          </w:rPr>
          <m:t xml:space="preserve">η</m:t>
        </m:r>
      </m:oMath>
      <w:r>
        <w:t xml:space="preserve"> is amortized networking cost, and the last term amortizes construction costs </w:t>
      </w:r>
      <m:oMath>
        <m:sSub>
          <m:sSubPr/>
          <m:e>
            <m:r>
              <m:rPr>
                <m:sty m:val="i"/>
              </m:rPr>
              <w:rPr>
                <w:rFonts w:ascii="Cambria Math" w:hAnsi="Cambria Math"/>
              </w:rPr>
              <m:t xml:space="preserve">p</m:t>
            </m:r>
          </m:e>
          <m:sub>
            <m:r>
              <m:rPr>
                <m:sty m:val="i"/>
              </m:rPr>
              <w:rPr>
                <w:rFonts w:ascii="Cambria Math" w:hAnsi="Cambria Math"/>
              </w:rPr>
              <m:t xml:space="preserve">L,j</m:t>
            </m:r>
          </m:sub>
        </m:sSub>
      </m:oMath>
      <w:r>
        <w:t xml:space="preserve"> ($/W of IT capacity) over the facility’s lifetime </w:t>
      </w:r>
      <m:oMath>
        <m:r>
          <m:rPr>
            <m:sty m:val="i"/>
          </m:rPr>
          <w:rPr>
            <w:rFonts w:ascii="Cambria Math" w:hAnsi="Cambria Math"/>
          </w:rPr>
          <m:t xml:space="preserve">D</m:t>
        </m:r>
      </m:oMath>
      <w:r>
        <w:t xml:space="preserve">. Both </w:t>
      </w:r>
      <m:oMath>
        <m:r>
          <m:rPr>
            <m:sty m:val="i"/>
          </m:rPr>
          <w:rPr>
            <w:rFonts w:ascii="Cambria Math" w:hAnsi="Cambria Math"/>
          </w:rPr>
          <m:t xml:space="preserve">ρ</m:t>
        </m:r>
      </m:oMath>
      <w:r>
        <w:t xml:space="preserve"> and </w:t>
      </w:r>
      <m:oMath>
        <m:r>
          <m:rPr>
            <m:sty m:val="i"/>
          </m:rPr>
          <w:rPr>
            <w:rFonts w:ascii="Cambria Math" w:hAnsi="Cambria Math"/>
          </w:rPr>
          <m:t xml:space="preserve">η</m:t>
        </m:r>
      </m:oMath>
      <w:r>
        <w:t xml:space="preserve"> are determined in global hardware markets and are common across countries.</w:t>
      </w:r>
      <w:r>
        <w:rPr>
          <w:rStyle w:val="FootnoteReference"/>
        </w:rPr>
        <w:footnoteReference w:id="10"/>
      </w:r>
      <w:r>
        <w:t xml:space="preserve"> Cross-country variation in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therefore driven by electricity prices, climate, and construction costs.</w:t>
      </w:r>
    </w:p>
    <w:p>
      <w:pPr>
        <w:spacing w:before="0" w:after="160"/>
        <w:ind w:firstLine="0"/>
        <w:jc w:val="both"/>
      </w:pPr>
      <w:r>
        <w:t xml:space="preserve">Countries export goods intensive in their abundant factors (</w:t>
      </w:r>
      <w:bookmarkStart w:id="208" w:name="Ohlin1933txt"/>
      <w:hyperlink w:anchor="Ohlin1933" w:history="1">
        <w:r>
          <w:rPr>
            <w:color w:val="1F3864"/>
            <w:u w:val="single"/>
          </w:rPr>
          <w:t xml:space="preserve">Ohlin 1933</w:t>
        </w:r>
      </w:hyperlink>
      <w:bookmarkEnd w:id="208"/>
      <w:r>
        <w:t xml:space="preserve">). For compute production, the relevant endowment is not electricity, but the natural resources that generate it, such as hydropower (Kyrgyzstan, Ethiopia, Georgia), oil and gas (Iran, Turkmenistan, Qatar), solar irradiance (North Africa, the Gulf), and geothermal energy (Kenya, Iceland).</w:t>
      </w:r>
    </w:p>
    <w:p>
      <w:pPr>
        <w:pStyle w:val="Heading2"/>
      </w:pPr>
      <w:r>
        <w:rPr>
          <w:rFonts w:ascii="Times New Roman" w:hAnsi="Times New Roman"/>
          <w:b w:val="0"/>
          <w:i/>
          <w:color w:val="2F5496"/>
          <w:sz w:val="24"/>
        </w:rPr>
        <w:t>3.2 Trade Costs</w:t>
      </w:r>
    </w:p>
    <w:p>
      <w:pPr>
        <w:spacing w:before="0" w:after="160"/>
        <w:ind w:firstLine="0"/>
        <w:jc w:val="both"/>
      </w:pPr>
      <w:r>
        <w:t xml:space="preserve">Countries produce and trade two types of compute services that differ in their offshoring costs. </w:t>
      </w:r>
      <w:r>
        <w:rPr>
          <w:i/>
        </w:rPr>
        <w:t>Training services</w:t>
      </w:r>
      <w:r>
        <w:t xml:space="preserve"> (denoted T) encompass batch workloads such as model training, fine-tuning, and large-scale data processing. Training a state-of-the-art AI model can take weeks to months across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(denoted I) encompass real-time workloads such as chatbot responses, autonomous decisions, and interactive agents. Each query must travel to the server and back within milliseconds, so the service quality degrades as delivery delays (latency) increase. </w:t>
      </w:r>
      <w:r>
        <w:rPr>
          <w:i/>
        </w:rPr>
        <w:t>Latency</w:t>
      </w:r>
      <w:r>
        <w:t xml:space="preserve">, denoted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is the round-trip time for a data packet to travel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typically 5–10 ms within a country and over 150 ms across continents (Appendix F summarizes workload types and their latency sensitivity).</w:t>
      </w:r>
    </w:p>
    <w:p>
      <w:pPr>
        <w:spacing w:before="0" w:after="40"/>
        <w:ind w:firstLine="0"/>
        <w:jc w:val="both"/>
      </w:pPr>
      <w:r>
        <w:t xml:space="preserve">Governments and firms may prefer to process data domestically for national security, regulatory compliance, or political reasons. This is captured by a bilateral </w:t>
      </w:r>
      <w:r>
        <w:rPr>
          <w:i/>
        </w:rPr>
        <w:t>sovereignty premium</w:t>
      </w:r>
      <w:r>
        <w:t xml:space="preserve">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which acts as a markup on the cost of compute sourced from seller </w:t>
      </w:r>
      <m:oMath>
        <m:r>
          <m:rPr>
            <m:sty m:val="i"/>
          </m:rPr>
          <w:rPr>
            <w:rFonts w:ascii="Cambria Math" w:hAnsi="Cambria Math"/>
          </w:rPr>
          <m:t xml:space="preserve">i</m:t>
        </m:r>
      </m:oMath>
      <w:r>
        <w:t xml:space="preserve"> by buyer </w:t>
      </w:r>
      <m:oMath>
        <m:r>
          <m:rPr>
            <m:sty m:val="i"/>
          </m:rPr>
          <w:rPr>
            <w:rFonts w:ascii="Cambria Math" w:hAnsi="Cambria Math"/>
          </w:rPr>
          <m:t xml:space="preserve">j</m:t>
        </m:r>
      </m:oMath>
      <w:r>
        <w:t xml:space="preserve">. When buyer </w:t>
      </w:r>
      <m:oMath>
        <m:r>
          <m:rPr>
            <m:sty m:val="i"/>
          </m:rPr>
          <w:rPr>
            <w:rFonts w:ascii="Cambria Math" w:hAnsi="Cambria Math"/>
          </w:rPr>
          <m:t xml:space="preserve">j</m:t>
        </m:r>
      </m:oMath>
      <w:r>
        <w:t xml:space="preserve"> sources compute from seller </w:t>
      </w:r>
      <m:oMath>
        <m:r>
          <m:rPr>
            <m:sty m:val="i"/>
          </m:rPr>
          <w:rPr>
            <w:rFonts w:ascii="Cambria Math" w:hAnsi="Cambria Math"/>
          </w:rPr>
          <m:t xml:space="preserve">i</m:t>
        </m:r>
        <m:r>
          <m:rPr>
            <m:sty m:val="p"/>
          </m:rPr>
          <w:rPr>
            <w:rFonts w:ascii="Cambria Math" w:hAnsi="Cambria Math"/>
          </w:rPr>
          <m:t xml:space="preserve"> ≠ </m:t>
        </m:r>
        <m:r>
          <m:rPr>
            <m:sty m:val="i"/>
          </m:rPr>
          <w:rPr>
            <w:rFonts w:ascii="Cambria Math" w:hAnsi="Cambria Math"/>
          </w:rPr>
          <m:t xml:space="preserve">j</m:t>
        </m:r>
      </m:oMath>
      <w:r>
        <w:t xml:space="preserve">, the effective cost is inflated by the factor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m:t>
        </m:r>
      </m:oMath>
      <w:r>
        <w:t>. The sovereignty premium is zero for domestic production (</w:t>
      </w:r>
      <m:oMath>
        <m:sSub>
          <m:sSubPr/>
          <m:e>
            <m:r>
              <m:rPr>
                <m:sty m:val="i"/>
              </m:rPr>
              <w:rPr>
                <w:rFonts w:ascii="Cambria Math" w:hAnsi="Cambria Math"/>
              </w:rPr>
              <m:t xml:space="preserve">λ</m:t>
            </m:r>
          </m:e>
          <m:sub>
            <m:r>
              <m:rPr>
                <m:sty m:val="i"/>
              </m:rPr>
              <w:rPr>
                <w:rFonts w:ascii="Cambria Math" w:hAnsi="Cambria Math"/>
              </w:rPr>
              <m:t xml:space="preserve">ii</m:t>
            </m:r>
          </m:sub>
        </m:sSub>
        <m:r>
          <m:rPr>
            <m:sty m:val="p"/>
          </m:rPr>
          <w:rPr>
            <w:rFonts w:ascii="Cambria Math" w:hAnsi="Cambria Math"/>
          </w:rPr>
          <m:t xml:space="preserve"> = 0</m:t>
        </m:r>
      </m:oMath>
      <w:r>
        <w:t xml:space="preserve">). The bilateral premium is modeled as a function of geopolitical alignment </w:t>
      </w:r>
      <m:oMath>
        <m:sSub>
          <m:sSubPr/>
          <m:e>
            <m:r>
              <m:rPr>
                <m:sty m:val="i"/>
              </m:rPr>
              <w:rPr>
                <w:rFonts w:ascii="Cambria Math" w:hAnsi="Cambria Math"/>
              </w:rPr>
              <m:t xml:space="preserve">G</m:t>
            </m:r>
          </m:e>
          <m:sub>
            <m:r>
              <m:rPr>
                <m:sty m:val="i"/>
              </m:rPr>
              <w:rPr>
                <w:rFonts w:ascii="Cambria Math" w:hAnsi="Cambria Math"/>
              </w:rPr>
              <m:t xml:space="preserve">ij</m:t>
            </m:r>
          </m:sub>
        </m:sSub>
      </m:oMath>
      <w:r>
        <w:t xml:space="preserve">, measured by UN General Assembly ideal-point distance (</w:t>
      </w:r>
      <w:bookmarkStart w:id="209" w:name="BaileyEtAl2017txt"/>
      <w:hyperlink w:anchor="BaileyEtAl2017" w:history="1">
        <w:r>
          <w:rPr>
            <w:color w:val="1F3864"/>
            <w:u w:val="single"/>
          </w:rPr>
          <w:t xml:space="preserve">Bailey, Strezhnev, and Voeten 2017</w:t>
        </w:r>
      </w:hyperlink>
      <w:bookmarkEnd w:id="209"/>
      <w:r>
        <w:t xml:space="preserve">); regulatory compatibility </w:t>
      </w:r>
      <m:oMath>
        <m:sSub>
          <m:sSubPr/>
          <m:e>
            <m:r>
              <m:rPr>
                <m:sty m:val="i"/>
              </m:rPr>
              <w:rPr>
                <w:rFonts w:ascii="Cambria Math" w:hAnsi="Cambria Math"/>
              </w:rPr>
              <m:t xml:space="preserve">R</m:t>
            </m:r>
          </m:e>
          <m:sub>
            <m:r>
              <m:rPr>
                <m:sty m:val="i"/>
              </m:rPr>
              <w:rPr>
                <w:rFonts w:ascii="Cambria Math" w:hAnsi="Cambria Math"/>
              </w:rPr>
              <m:t xml:space="preserve">ij</m:t>
            </m:r>
          </m:sub>
        </m:sSub>
      </m:oMath>
      <w:r>
        <w:t xml:space="preserve">, coded as 1 for country pairs covered by a mutual data-adequacy agreement and 0 otherwise; and a sanctions indicator </w:t>
      </w:r>
      <m:oMath>
        <m:sSub>
          <m:sSubPr/>
          <m:e>
            <m:r>
              <m:rPr>
                <m:sty m:val="i"/>
              </m:rPr>
              <w:rPr>
                <w:rFonts w:ascii="Cambria Math" w:hAnsi="Cambria Math"/>
              </w:rPr>
              <m:t xml:space="preserve">S</m:t>
            </m:r>
          </m:e>
          <m:sub>
            <m:r>
              <m:rPr>
                <m:sty m:val="i"/>
              </m:rPr>
              <w:rPr>
                <w:rFonts w:ascii="Cambria Math" w:hAnsi="Cambria Math"/>
              </w:rPr>
              <m:t xml:space="preserve">ij</m:t>
            </m:r>
          </m:sub>
        </m:sSub>
      </m:oMath>
      <w:r>
        <w:t xml:space="preserve"> equal to 1 if either country maintains comprehensive trade sanctions against the other:</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2</m:t>
                  </m:r>
                </m:sub>
              </m:sSub>
              <m:r>
                <m:rPr>
                  <m:sty m:val="p"/>
                </m:rPr>
                <w:rPr>
                  <w:rFonts w:ascii="Cambria Math" w:hAnsi="Cambria Math"/>
                </w:rPr>
                <m:t xml:space="preserve"> · (1 − </m:t>
              </m:r>
              <m:sSub>
                <m:sSubPr/>
                <m:e>
                  <m:r>
                    <m:rPr>
                      <m:sty m:val="i"/>
                    </m:rPr>
                    <w:rPr>
                      <w:rFonts w:ascii="Cambria Math" w:hAnsi="Cambria Math"/>
                    </w:rPr>
                    <m:t xml:space="preserve">R</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3</m:t>
                  </m:r>
                </m:sub>
              </m:sSub>
              <m:r>
                <m:rPr>
                  <m:sty m:val="p"/>
                </m:rPr>
                <w:rPr>
                  <w:rFonts w:ascii="Cambria Math" w:hAnsi="Cambria Math"/>
                </w:rPr>
                <m:t xml:space="preserve"> · </m:t>
              </m:r>
              <m:sSub>
                <m:sSubPr/>
                <m:e>
                  <m:r>
                    <m:rPr>
                      <m:sty m:val="i"/>
                    </m:rPr>
                    <w:rPr>
                      <w:rFonts w:ascii="Cambria Math" w:hAnsi="Cambria Math"/>
                    </w:rPr>
                    <m:t xml:space="preserve">S</m:t>
                  </m:r>
                </m:e>
                <m:sub>
                  <m:r>
                    <m:rPr>
                      <m:sty m:val="i"/>
                    </m:rPr>
                    <w:rPr>
                      <w:rFonts w:ascii="Cambria Math" w:hAnsi="Cambria Math"/>
                    </w:rPr>
                    <m:t xml:space="preserve">ij</m:t>
                  </m:r>
                </m:sub>
              </m:sSub>
              <m:r>
                <m:rPr>
                  <m:sty m:val="p"/>
                </m:rPr>
                <w:rPr>
                  <w:rFonts w:ascii="Cambria Math" w:hAnsi="Cambria Math"/>
                </w:rPr>
                <m:t xml:space="preserve">.</m:t>
              </m:r>
            </m:oMath>
          </w:p>
        </w:tc>
        <w:tc>
          <w:tcPr>
            <w:tcW w:w="1400" w:type="dxa"/>
            <w:vAlign w:val="center"/>
          </w:tcPr>
          <w:p>
            <w:pPr>
              <w:jc w:val="right"/>
              <w:spacing w:before="60" w:after="60"/>
            </w:pPr>
            <w:bookmarkStart w:id="802" w:name="Eq2"/>
            <w:r>
              <w:t>(2)</w:t>
            </w:r>
            <w:bookmarkEnd w:id="802"/>
          </w:p>
        </w:tc>
      </w:tr>
    </w:tbl>
    <w:p>
      <w:pPr>
        <w:spacing w:before="0" w:after="40"/>
        <w:ind w:firstLine="0"/>
        <w:jc w:val="both"/>
      </w:pPr>
      <w:r>
        <w:t xml:space="preserve">The delivered cost of service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(1 + </m:t>
              </m:r>
              <m:sSub>
                <m:sSubPr/>
                <m:e>
                  <m:r>
                    <m:rPr>
                      <m:sty m:val="i"/>
                    </m:rPr>
                    <w:rPr>
                      <w:rFonts w:ascii="Cambria Math" w:hAnsi="Cambria Math"/>
                    </w:rPr>
                    <m:t xml:space="preserve">τ</m:t>
                  </m:r>
                </m:e>
                <m:sub>
                  <m:r>
                    <m:rPr>
                      <m:sty m:val="i"/>
                    </m:rPr>
                    <w:rPr>
                      <w:rFonts w:ascii="Cambria Math" w:hAnsi="Cambria Math"/>
                    </w:rPr>
                    <m:t xml:space="preserve">s</m:t>
                  </m:r>
                </m:sub>
              </m:sSub>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r>
                <m:rPr>
                  <m:sty m:val="i"/>
                </m:rPr>
                <w:rPr>
                  <w:rFonts w:ascii="Cambria Math" w:hAnsi="Cambria Math"/>
                </w:rPr>
                <m:t xml:space="preserve">ρ</m:t>
              </m:r>
              <m:r>
                <m:rPr>
                  <m:sty m:val="p"/>
                </m:rPr>
                <w:rPr>
                  <w:rFonts w:ascii="Cambria Math" w:hAnsi="Cambria Math"/>
                </w:rPr>
                <m:t xml:space="preserve"> + </m:t>
              </m:r>
              <m:f>
                <m:fPr/>
                <m:num>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ρ</m:t>
                  </m:r>
                </m:num>
                <m:den>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den>
              </m:f>
              <m:r>
                <m:rPr>
                  <m:sty m:val="p"/>
                </m:rPr>
                <w:rPr>
                  <w:rFonts w:ascii="Cambria Math" w:hAnsi="Cambria Math"/>
                </w:rPr>
                <m:t xml:space="preserve">],</m:t>
              </m:r>
            </m:oMath>
          </w:p>
        </w:tc>
        <w:tc>
          <w:tcPr>
            <w:tcW w:w="1400" w:type="dxa"/>
            <w:vAlign w:val="center"/>
          </w:tcPr>
          <w:p>
            <w:pPr>
              <w:jc w:val="right"/>
              <w:spacing w:before="60" w:after="60"/>
            </w:pPr>
            <w:bookmarkStart w:id="803" w:name="Eq3"/>
            <w:r>
              <w:t>(3)</w:t>
            </w:r>
            <w:bookmarkEnd w:id="803"/>
          </w:p>
        </w:tc>
      </w:tr>
    </w:tbl>
    <w:p>
      <w:pPr>
        <w:spacing w:before="0" w:after="160"/>
        <w:ind w:firstLine="0"/>
        <w:jc w:val="both"/>
      </w:pPr>
      <w:r>
        <w:t xml:space="preserve">where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 ∈ (0, 1]</m:t>
        </m:r>
      </m:oMath>
      <w:r>
        <w:t xml:space="preserve"> is a production-efficiency index that captures factors reducing the real output of a GPU-hour in country </w:t>
      </w:r>
      <m:oMath>
        <m:r>
          <m:rPr>
            <m:sty m:val="i"/>
          </m:rPr>
          <w:rPr>
            <w:rFonts w:ascii="Cambria Math" w:hAnsi="Cambria Math"/>
          </w:rPr>
          <m:t xml:space="preserve">j</m:t>
        </m:r>
      </m:oMath>
      <w:r>
        <w:t xml:space="preserve">. The effective index incorporates an institutional floor: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 = </m:t>
        </m:r>
        <m:sSub>
          <m:sSubPr/>
          <m:e>
            <m:r>
              <m:rPr>
                <m:sty m:val="i"/>
              </m:rPr>
              <w:rPr>
                <w:rFonts w:ascii="Cambria Math" w:hAnsi="Cambria Math"/>
              </w:rPr>
              <m:t xml:space="preserve">ξ</m:t>
            </m:r>
          </m:e>
          <m:sub>
            <m:r>
              <m:rPr>
                <m:sty m:val="i"/>
              </m:rPr>
              <w:rPr>
                <w:rFonts w:ascii="Cambria Math" w:hAnsi="Cambria Math"/>
              </w:rPr>
              <m:t xml:space="preserve">floor</m:t>
            </m:r>
          </m:sub>
        </m:sSub>
        <m:r>
          <m:rPr>
            <m:sty m:val="p"/>
          </m:rPr>
          <w:rPr>
            <w:rFonts w:ascii="Cambria Math" w:hAnsi="Cambria Math"/>
          </w:rPr>
          <m:t xml:space="preserve"> + (1 − </m:t>
        </m:r>
        <m:sSub>
          <m:sSubPr/>
          <m:e>
            <m:r>
              <m:rPr>
                <m:sty m:val="i"/>
              </m:rPr>
              <w:rPr>
                <w:rFonts w:ascii="Cambria Math" w:hAnsi="Cambria Math"/>
              </w:rPr>
              <m:t xml:space="preserve">ξ</m:t>
            </m:r>
          </m:e>
          <m:sub>
            <m:r>
              <m:rPr>
                <m:sty m:val="i"/>
              </m:rPr>
              <w:rPr>
                <w:rFonts w:ascii="Cambria Math" w:hAnsi="Cambria Math"/>
              </w:rPr>
              <m:t xml:space="preserve">floor</m:t>
            </m:r>
          </m:sub>
        </m:sSub>
        <m:r>
          <m:rPr>
            <m:sty m:val="p"/>
          </m:rPr>
          <w:rPr>
            <w:rFonts w:ascii="Cambria Math" w:hAnsi="Cambria Math"/>
          </w:rPr>
          <m:t xml:space="preserve">) · </m:t>
        </m:r>
        <m:sSubSup>
          <m:sSubSupPr/>
          <m:e>
            <m:r>
              <m:rPr>
                <m:sty m:val="i"/>
              </m:rPr>
              <w:rPr>
                <w:rFonts w:ascii="Cambria Math" w:hAnsi="Cambria Math"/>
              </w:rPr>
              <m:t xml:space="preserve">G</m:t>
            </m:r>
          </m:e>
          <m:sub>
            <m:r>
              <m:rPr>
                <m:sty m:val="i"/>
              </m:rPr>
              <w:rPr>
                <w:rFonts w:ascii="Cambria Math" w:hAnsi="Cambria Math"/>
              </w:rPr>
              <m:t xml:space="preserve">j</m:t>
            </m:r>
          </m:sub>
          <m:sup>
            <m:r>
              <m:rPr>
                <m:sty m:val="i"/>
              </m:rPr>
              <w:rPr>
                <w:rFonts w:ascii="Cambria Math" w:hAnsi="Cambria Math"/>
              </w:rPr>
              <m:t xml:space="preserve">ω</m:t>
            </m:r>
          </m:sup>
        </m:sSubSup>
        <m:r>
          <m:rPr>
            <m:sty m:val="p"/>
          </m:rPr>
          <w:rPr>
            <w:rFonts w:ascii="Cambria Math" w:hAnsi="Cambria Math"/>
          </w:rPr>
          <m:t xml:space="preserve"> · </m:t>
        </m:r>
        <m:sSubSup>
          <m:sSubSupPr/>
          <m:e>
            <m:r>
              <m:rPr>
                <m:sty m:val="i"/>
              </m:rPr>
              <w:rPr>
                <w:rFonts w:ascii="Cambria Math" w:hAnsi="Cambria Math"/>
              </w:rPr>
              <m:t xml:space="preserve">R</m:t>
            </m:r>
          </m:e>
          <m:sub>
            <m:r>
              <m:rPr>
                <m:sty m:val="i"/>
              </m:rPr>
              <w:rPr>
                <w:rFonts w:ascii="Cambria Math" w:hAnsi="Cambria Math"/>
              </w:rPr>
              <m:t xml:space="preserve">j</m:t>
            </m:r>
          </m:sub>
          <m:sup>
            <m:r>
              <m:rPr>
                <m:sty m:val="i"/>
              </m:rPr>
              <w:rPr>
                <w:rFonts w:ascii="Cambria Math" w:hAnsi="Cambria Math"/>
              </w:rPr>
              <m:t xml:space="preserve">1−ω</m:t>
            </m:r>
          </m:sup>
        </m:sSubSup>
      </m:oMath>
      <w:r>
        <w:t xml:space="preserve">, where </w:t>
      </w:r>
      <m:oMath>
        <m:r>
          <m:rPr>
            <m:sty m:val="i"/>
          </m:rPr>
          <w:rPr>
            <w:rFonts w:ascii="Cambria Math" w:hAnsi="Cambria Math"/>
          </w:rPr>
          <m:t xml:space="preserve">G</m:t>
        </m:r>
      </m:oMath>
      <w:r>
        <w:t xml:space="preserve"> is the Rule of Law percentile (rescaled to [0, 1]) (</w:t>
      </w:r>
      <w:bookmarkStart w:id="210" w:name="WorldBank2024txt"/>
      <w:hyperlink w:anchor="WorldBank2024" w:history="1">
        <w:r>
          <w:rPr>
            <w:color w:val="1F3864"/>
            <w:u w:val="single"/>
          </w:rPr>
          <w:t xml:space="preserve">World Bank 2024</w:t>
        </w:r>
      </w:hyperlink>
      <w:bookmarkEnd w:id="210"/>
      <w:r>
        <w:t xml:space="preserve">)</w:t>
      </w:r>
      <w:r>
        <w:rPr>
          <w:rStyle w:val="FootnoteReference"/>
        </w:rPr>
        <w:footnoteReference w:id="23"/>
      </w:r>
      <w:r>
        <w:t xml:space="preserve">, </w:t>
      </w:r>
      <m:oMath>
        <m:r>
          <m:rPr>
            <m:sty m:val="i"/>
          </m:rPr>
          <w:rPr>
            <w:rFonts w:ascii="Cambria Math" w:hAnsi="Cambria Math"/>
          </w:rPr>
          <m:t xml:space="preserve">R</m:t>
        </m:r>
      </m:oMath>
      <w:r>
        <w:t xml:space="preserve"> is grid reliability (</w:t>
      </w:r>
      <w:bookmarkStart w:id="211" w:name="WBES2025txt"/>
      <w:hyperlink w:anchor="WBES2025" w:history="1">
        <w:r>
          <w:rPr>
            <w:color w:val="1F3864"/>
            <w:u w:val="single"/>
          </w:rPr>
          <w:t xml:space="preserve">World Bank Enterprise Surveys 2025</w:t>
        </w:r>
      </w:hyperlink>
      <w:bookmarkEnd w:id="211"/>
      <w:r>
        <w:t xml:space="preserve">), also rescaled to [0, 1], and </w:t>
      </w:r>
      <m:oMath>
        <m:r>
          <m:rPr>
            <m:sty m:val="i"/>
          </m:rPr>
          <w:rPr>
            <w:rFonts w:ascii="Cambria Math" w:hAnsi="Cambria Math"/>
          </w:rPr>
          <m:t xml:space="preserve">ω</m:t>
        </m:r>
        <m:r>
          <m:rPr>
            <m:sty m:val="p"/>
          </m:rPr>
          <w:rPr>
            <w:rFonts w:ascii="Cambria Math" w:hAnsi="Cambria Math"/>
          </w:rPr>
          <m:t xml:space="preserve"> = 0.50</m:t>
        </m:r>
      </m:oMath>
      <w:r>
        <w:t xml:space="preserve"> assigns equal weight to governance and grid reliability. The floor </w:t>
      </w:r>
      <m:oMath>
        <m:sSub>
          <m:sSubPr/>
          <m:e>
            <m:r>
              <m:rPr>
                <m:sty m:val="i"/>
              </m:rPr>
              <w:rPr>
                <w:rFonts w:ascii="Cambria Math" w:hAnsi="Cambria Math"/>
              </w:rPr>
              <m:t xml:space="preserve">ξ</m:t>
            </m:r>
          </m:e>
          <m:sub>
            <m:r>
              <m:rPr>
                <m:sty m:val="i"/>
              </m:rPr>
              <w:rPr>
                <w:rFonts w:ascii="Cambria Math" w:hAnsi="Cambria Math"/>
              </w:rPr>
              <m:t xml:space="preserve">floor</m:t>
            </m:r>
          </m:sub>
        </m:sSub>
      </m:oMath>
      <w:r>
        <w:t xml:space="preserve"> reflects the minimum operational quality achievable through investor-side risk mitigation, calibrated to evidence on zone-level governance in special economic zones.</w:t>
      </w:r>
    </w:p>
    <w:p>
      <w:pPr>
        <w:spacing w:before="0" w:after="160"/>
        <w:ind w:firstLine="0"/>
        <w:jc w:val="both"/>
      </w:pPr>
      <w:r>
        <w:t xml:space="preserve">The efficiency adjustment applies only to the non-hardware cost component: since hardware is priced on global markets, governance penalties operate on local costs rather than on the full unit cost. The baseline sets </w:t>
      </w:r>
      <m:oMath>
        <m:sSub>
          <m:sSubPr/>
          <m:e>
            <m:r>
              <m:rPr>
                <m:sty m:val="i"/>
              </m:rPr>
              <w:rPr>
                <w:rFonts w:ascii="Cambria Math" w:hAnsi="Cambria Math"/>
              </w:rPr>
              <m:t xml:space="preserve">ξ</m:t>
            </m:r>
          </m:e>
          <m:sub>
            <m:r>
              <m:rPr>
                <m:sty m:val="i"/>
              </m:rPr>
              <w:rPr>
                <w:rFonts w:ascii="Cambria Math" w:hAnsi="Cambria Math"/>
              </w:rPr>
              <m:t xml:space="preserve">floor</m:t>
            </m:r>
          </m:sub>
        </m:sSub>
        <m:r>
          <m:rPr>
            <m:sty m:val="p"/>
          </m:rPr>
          <w:rPr>
            <w:rFonts w:ascii="Cambria Math" w:hAnsi="Cambria Math"/>
          </w:rPr>
          <m:t xml:space="preserve"> = 0.30</m:t>
        </m:r>
      </m:oMath>
      <w:r>
        <w:t xml:space="preserve">. The index approaches one for countries with strong institutions and reliable power, and falls below one for countries where institutional weakness or operational risk reduces effective delivery. Sanctions, data-protection trust, and regulatory compatibility do not enter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oMath>
      <w:r>
        <w:t xml:space="preserve"> because they affect trade willingness between specific country pairs, not the physical cost of producing a GPU-hour; these frictions are captured by 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w:t>
      </w:r>
    </w:p>
    <w:p>
      <w:pPr>
        <w:spacing w:before="0" w:after="160"/>
        <w:ind w:firstLine="0"/>
        <w:jc w:val="both"/>
      </w:pPr>
      <w:r>
        <w:t xml:space="preserve">The parameter </w:t>
      </w:r>
      <m:oMath>
        <m:r>
          <m:rPr>
            <m:sty m:val="i"/>
          </m:rPr>
          <w:rPr>
            <w:rFonts w:ascii="Cambria Math" w:hAnsi="Cambria Math"/>
          </w:rPr>
          <m:t xml:space="preserve">τ</m:t>
        </m:r>
      </m:oMath>
      <w:r>
        <w:t xml:space="preserve"> measures the rate of quality degradation per millisecond of round-trip latency,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For training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the delivered cost is the sum of the production cost and the sovereignty markup. For inference, the delivered cost increases with latency at rate </w:t>
      </w:r>
      <m:oMath>
        <m:sSub>
          <m:sSubPr/>
          <m:e>
            <m:r>
              <m:rPr>
                <m:sty m:val="i"/>
              </m:rPr>
              <w:rPr>
                <w:rFonts w:ascii="Cambria Math" w:hAnsi="Cambria Math"/>
              </w:rPr>
              <m:t xml:space="preserve">τ</m:t>
            </m:r>
          </m:e>
          <m:sub>
            <m:r>
              <m:rPr>
                <m:sty m:val="i"/>
              </m:rPr>
              <w:rPr>
                <w:rFonts w:ascii="Cambria Math" w:hAnsi="Cambria Math"/>
              </w:rPr>
              <m:t xml:space="preserve">I</m:t>
            </m:r>
          </m:sub>
        </m:sSub>
      </m:oMath>
      <w:r>
        <w:t xml:space="preserve">. Beyond a threshold </w:t>
      </w:r>
      <m:oMath>
        <m:bar>
          <m:barPr>
            <m:pos m:val="top"/>
          </m:barPr>
          <m:e>
            <m:r>
              <m:rPr>
                <m:sty m:val="i"/>
              </m:rPr>
              <w:rPr>
                <w:rFonts w:ascii="Cambria Math" w:hAnsi="Cambria Math"/>
              </w:rPr>
              <m:t xml:space="preserve">l</m:t>
            </m:r>
          </m:e>
        </m:bar>
      </m:oMath>
      <w:r>
        <w:t xml:space="preserve"> (typically 200–300 ms for interactive applications), the service becomes unusable regardless of price, modeled as </w:t>
      </w: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oMath>
      <w:r>
        <w:t xml:space="preserve"> if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&gt; </m:t>
        </m:r>
        <m:bar>
          <m:barPr>
            <m:pos m:val="top"/>
          </m:barPr>
          <m:e>
            <m:r>
              <m:rPr>
                <m:sty m:val="i"/>
              </m:rPr>
              <w:rPr>
                <w:rFonts w:ascii="Cambria Math" w:hAnsi="Cambria Math"/>
              </w:rPr>
              <m:t xml:space="preserve">l</m:t>
            </m:r>
          </m:e>
        </m:bar>
      </m:oMath>
      <w:r>
        <w:t>.</w:t>
      </w:r>
    </w:p>
    <w:p>
      <w:pPr>
        <w:pStyle w:val="Heading2"/>
      </w:pPr>
      <w:r>
        <w:rPr>
          <w:rFonts w:ascii="Times New Roman" w:hAnsi="Times New Roman"/>
          <w:b w:val="0"/>
          <w:i/>
          <w:color w:val="2F5496"/>
          <w:sz w:val="24"/>
        </w:rPr>
        <w:t>3.3 Global Compute Demand</w:t>
      </w:r>
    </w:p>
    <w:p>
      <w:pPr>
        <w:spacing w:before="0" w:after="40"/>
        <w:ind w:firstLine="0"/>
        <w:jc w:val="both"/>
      </w:pPr>
      <w:r>
        <w:t xml:space="preserve">The model is closed by specifying demand for compute services. Let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denote the volume of compute purchased by buyer </w:t>
      </w:r>
      <m:oMath>
        <m:r>
          <m:rPr>
            <m:sty m:val="i"/>
          </m:rPr>
          <w:rPr>
            <w:rFonts w:ascii="Cambria Math" w:hAnsi="Cambria Math"/>
          </w:rPr>
          <m:t xml:space="preserve">k</m:t>
        </m:r>
      </m:oMath>
      <w:r>
        <w:t>. We measure compute demand using installed data center capacity in megawatts (MW):</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r>
                <m:rPr>
                  <m:sty m:val="i"/>
                </m:rPr>
                <w:rPr>
                  <w:rFonts w:ascii="Cambria Math" w:hAnsi="Cambria Math"/>
                </w:rPr>
                <m:t xml:space="preserve">Q</m:t>
              </m:r>
              <m:r>
                <m:rPr>
                  <m:sty m:val="p"/>
                </m:rPr>
                <w:rPr>
                  <w:rFonts w:ascii="Cambria Math" w:hAnsi="Cambria Math"/>
                </w:rPr>
                <m:t xml:space="preserve">,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k</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M</m:t>
                      </m:r>
                    </m:e>
                    <m:sub>
                      <m:r>
                        <m:rPr>
                          <m:sty m:val="i"/>
                        </m:rPr>
                        <w:rPr>
                          <w:rFonts w:ascii="Cambria Math" w:hAnsi="Cambria Math"/>
                        </w:rPr>
                        <m:t xml:space="preserve">k′</m:t>
                      </m:r>
                    </m:sub>
                  </m:sSub>
                </m:e>
              </m:nary>
              <m:r>
                <m:rPr>
                  <m:sty m:val="p"/>
                </m:rPr>
                <w:rPr>
                  <w:rFonts w:ascii="Cambria Math" w:hAnsi="Cambria Math"/>
                </w:rPr>
                <m:t xml:space="preserve">,</m:t>
              </m:r>
            </m:oMath>
          </w:p>
        </w:tc>
        <w:tc>
          <w:tcPr>
            <w:tcW w:w="1400" w:type="dxa"/>
            <w:vAlign w:val="center"/>
          </w:tcPr>
          <w:p>
            <w:pPr>
              <w:jc w:val="right"/>
              <w:spacing w:before="60" w:after="60"/>
            </w:pPr>
            <w:bookmarkStart w:id="804" w:name="Eq4"/>
            <w:r>
              <w:t>(4)</w:t>
            </w:r>
            <w:bookmarkEnd w:id="804"/>
          </w:p>
        </w:tc>
      </w:tr>
    </w:tbl>
    <w:p>
      <w:pPr>
        <w:spacing w:before="0" w:after="160"/>
        <w:ind w:firstLine="0"/>
        <w:jc w:val="both"/>
      </w:pPr>
      <w:r>
        <w:t xml:space="preserve">where </w:t>
      </w:r>
      <m:oMath>
        <m:r>
          <m:rPr>
            <m:sty m:val="i"/>
          </m:rPr>
          <w:rPr>
            <w:rFonts w:ascii="Cambria Math" w:hAnsi="Cambria Math"/>
          </w:rPr>
          <m:t xml:space="preserve">Q</m:t>
        </m:r>
      </m:oMath>
      <w:r>
        <w:t xml:space="preserve"> is the total global compute spending and </w:t>
      </w:r>
      <m:oMath>
        <m:sSub>
          <m:sSubPr/>
          <m:e>
            <m:r>
              <m:rPr>
                <m:sty m:val="i"/>
              </m:rPr>
              <w:rPr>
                <w:rFonts w:ascii="Cambria Math" w:hAnsi="Cambria Math"/>
              </w:rPr>
              <m:t xml:space="preserve">ω</m:t>
            </m:r>
          </m:e>
          <m:sub>
            <m:r>
              <m:rPr>
                <m:sty m:val="i"/>
              </m:rPr>
              <w:rPr>
                <w:rFonts w:ascii="Cambria Math" w:hAnsi="Cambria Math"/>
              </w:rPr>
              <m:t xml:space="preserve">k</m:t>
            </m:r>
          </m:sub>
        </m:sSub>
      </m:oMath>
      <w:r>
        <w:t xml:space="preserve"> is country </w:t>
      </w:r>
      <m:oMath>
        <m:r>
          <m:rPr>
            <m:sty m:val="i"/>
          </m:rPr>
          <w:rPr>
            <w:rFonts w:ascii="Cambria Math" w:hAnsi="Cambria Math"/>
          </w:rPr>
          <m:t xml:space="preserve">k</m:t>
        </m:r>
      </m:oMath>
      <w:r>
        <w:t>’s share of global demand, measured by its share of installed data center capacity (MW).</w:t>
      </w:r>
      <w:r>
        <w:rPr>
          <w:rStyle w:val="FootnoteReference"/>
        </w:rPr>
        <w:footnoteReference w:id="20"/>
      </w:r>
    </w:p>
    <w:p>
      <w:pPr>
        <w:spacing w:before="0" w:after="160"/>
        <w:ind w:firstLine="0"/>
        <w:jc w:val="both"/>
      </w:pPr>
      <w:r>
        <w:t xml:space="preserve">Demand splits between training and inference.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where </w:t>
      </w:r>
      <m:oMath>
        <m:r>
          <m:rPr>
            <m:sty m:val="i"/>
          </m:rPr>
          <w:rPr>
            <w:rFonts w:ascii="Cambria Math" w:hAnsi="Cambria Math"/>
          </w:rPr>
          <m:t xml:space="preserve">α</m:t>
        </m:r>
        <m:r>
          <m:rPr>
            <m:sty m:val="p"/>
          </m:rPr>
          <w:rPr>
            <w:rFonts w:ascii="Cambria Math" w:hAnsi="Cambria Math"/>
          </w:rPr>
          <m:t xml:space="preserve"> ∈ (0, 1)</m:t>
        </m:r>
      </m:oMath>
      <w:r>
        <w:t xml:space="preserve"> is the exogenous training share. The parameter </w:t>
      </w:r>
      <m:oMath>
        <m:r>
          <m:rPr>
            <m:sty m:val="i"/>
          </m:rPr>
          <w:rPr>
            <w:rFonts w:ascii="Cambria Math" w:hAnsi="Cambria Math"/>
          </w:rPr>
          <m:t xml:space="preserve">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21"/>
      </w:r>
    </w:p>
    <w:p>
      <w:pPr>
        <w:pStyle w:val="Heading2"/>
      </w:pPr>
      <w:r>
        <w:rPr>
          <w:rFonts w:ascii="Times New Roman" w:hAnsi="Times New Roman"/>
          <w:b w:val="0"/>
          <w:i/>
          <w:color w:val="2F5496"/>
          <w:sz w:val="24"/>
        </w:rPr>
        <w:t>3.4 Sourcing and Market Equilibrium</w:t>
      </w:r>
    </w:p>
    <w:p>
      <w:pPr>
        <w:spacing w:before="0" w:after="40"/>
        <w:ind w:firstLine="0"/>
        <w:jc w:val="both"/>
      </w:pPr>
      <w:r>
        <w:t xml:space="preserve">For each service type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each buyer </w:t>
      </w:r>
      <m:oMath>
        <m:r>
          <m:rPr>
            <m:sty m:val="i"/>
          </m:rPr>
          <w:rPr>
            <w:rFonts w:ascii="Cambria Math" w:hAnsi="Cambria Math"/>
          </w:rPr>
          <m:t xml:space="preserve">k</m:t>
        </m:r>
      </m:oMath>
      <w:r>
        <w:t xml:space="preserve"> chooses the source that minimizes the delivered cost:</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Sup>
                <m:sSubSupPr/>
                <m:e>
                  <m:r>
                    <m:rPr>
                      <m:sty m:val="i"/>
                    </m:rPr>
                    <w:rPr>
                      <w:rFonts w:ascii="Cambria Math" w:hAnsi="Cambria Math"/>
                    </w:rPr>
                    <m:t xml:space="preserve">j</m:t>
                  </m:r>
                </m:e>
                <m:sub>
                  <m:r>
                    <m:rPr>
                      <m:sty m:val="i"/>
                    </m:rPr>
                    <w:rPr>
                      <w:rFonts w:ascii="Cambria Math" w:hAnsi="Cambria Math"/>
                    </w:rPr>
                    <m:t xml:space="preserve">s</m:t>
                  </m:r>
                </m:sub>
                <m:sup>
                  <m:r>
                    <m:rPr>
                      <m:sty m:val="i"/>
                    </m:rPr>
                    <w:rPr>
                      <w:rFonts w:ascii="Cambria Math" w:hAnsi="Cambria Math"/>
                    </w:rPr>
                    <m:t xml:space="preserve">*</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m:t>
              </m:r>
              <m:limLow>
                <m:limLowPr/>
                <m:e>
                  <m:r>
                    <m:rPr>
                      <m:sty m:val="p"/>
                    </m:rPr>
                    <w:rPr>
                      <w:rFonts w:ascii="Cambria Math" w:hAnsi="Cambria Math"/>
                    </w:rPr>
                    <m:t xml:space="preserve">arg 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p>
        </w:tc>
        <w:tc>
          <w:tcPr>
            <w:tcW w:w="1400" w:type="dxa"/>
            <w:vAlign w:val="center"/>
          </w:tcPr>
          <w:p>
            <w:pPr>
              <w:jc w:val="right"/>
              <w:spacing w:before="60" w:after="60"/>
            </w:pPr>
            <w:bookmarkStart w:id="805" w:name="Eq5"/>
            <w:r>
              <w:t>(5)</w:t>
            </w:r>
            <w:bookmarkEnd w:id="805"/>
          </w:p>
        </w:tc>
      </w:tr>
    </w:tbl>
    <w:p>
      <w:pPr>
        <w:spacing w:before="0" w:after="160"/>
        <w:ind w:firstLine="0"/>
        <w:jc w:val="both"/>
      </w:pPr>
      <w:r>
        <w:t xml:space="preserve">Each country </w:t>
      </w:r>
      <m:oMath>
        <m:r>
          <m:rPr>
            <m:sty m:val="i"/>
          </m:rPr>
          <w:rPr>
            <w:rFonts w:ascii="Cambria Math" w:hAnsi="Cambria Math"/>
          </w:rPr>
          <m:t xml:space="preserve">j</m:t>
        </m:r>
      </m:oMath>
      <w:r>
        <w:t xml:space="preserve"> is characterized by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pPr>
        <w:spacing w:before="0" w:after="160"/>
        <w:ind w:firstLine="0"/>
        <w:jc w:val="both"/>
      </w:pPr>
      <w:r>
        <w:rPr>
          <w:rFonts w:ascii="Times New Roman" w:hAnsi="Times New Roman"/>
          <w:b w:val="0"/>
          <w:i/>
          <w:sz w:val="24"/>
        </w:rPr>
        <w:t xml:space="preserve">Training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training is a homogeneous good with no distance-related quality degradation. Country </w:t>
      </w:r>
      <m:oMath>
        <m:r>
          <m:rPr>
            <m:sty m:val="i"/>
          </m:rPr>
          <w:rPr>
            <w:rFonts w:ascii="Cambria Math" w:hAnsi="Cambria Math"/>
          </w:rPr>
          <m:t xml:space="preserve">k</m:t>
        </m:r>
      </m:oMath>
      <w:r>
        <w:t xml:space="preserve"> imports training whenever the world price, after adding the bilateral sovereignty premium, is lower than producing domestically: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the competitive world training price. In the capacity-constrained equilibrium, the cheapest producer supplies up to its capacity, then the next cheapest enters, and so on until demand is met.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the producer whose entry just satisfies total export demand. The equilibrium training price equals the marginal exporter’s cost: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sub>
        </m:sSub>
      </m:oMath>
      <w:r>
        <w:t>.</w:t>
      </w:r>
    </w:p>
    <w:p>
      <w:pPr>
        <w:spacing w:before="0" w:after="160"/>
        <w:ind w:firstLine="0"/>
        <w:jc w:val="both"/>
      </w:pPr>
      <w:r>
        <w:t xml:space="preserve">Without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&gt; 1</m:t>
        </m:r>
      </m:oMath>
      <w:r>
        <w:t xml:space="preserve">, the price rises to the cost of the marginal entrant, and all infra-marginal exporters earn positive rents: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For a capacity-constrained exporter, the shadow value </w:t>
      </w:r>
      <m:oMath>
        <m:sSub>
          <m:sSubPr/>
          <m:e>
            <m:r>
              <m:rPr>
                <m:sty m:val="i"/>
              </m:rPr>
              <w:rPr>
                <w:rFonts w:ascii="Cambria Math" w:hAnsi="Cambria Math"/>
              </w:rPr>
              <m:t xml:space="preserve">μ</m:t>
            </m:r>
          </m:e>
          <m:sub>
            <m:r>
              <m:rPr>
                <m:sty m:val="i"/>
              </m:rPr>
              <w:rPr>
                <w:rFonts w:ascii="Cambria Math" w:hAnsi="Cambria Math"/>
              </w:rPr>
              <m:t xml:space="preserve">j</m:t>
            </m:r>
          </m:sub>
        </m:sSub>
      </m:oMath>
      <w:r>
        <w:t xml:space="preserve"> of the capacity constraint measures how much one additional GPU-hour would be worth. It equals the difference between the market price and country’s production price.</w:t>
      </w:r>
    </w:p>
    <w:p>
      <w:pPr>
        <w:spacing w:before="0" w:after="40"/>
        <w:ind w:firstLine="0"/>
        <w:jc w:val="both"/>
      </w:pPr>
      <w:r>
        <w:rPr>
          <w:rFonts w:ascii="Times New Roman" w:hAnsi="Times New Roman"/>
          <w:b w:val="0"/>
          <w:i/>
          <w:sz w:val="24"/>
        </w:rPr>
        <w:t xml:space="preserve">Inference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xml:space="preserve">, inference suffers distance-dependent quality degradation. The inference market for buyer </w:t>
      </w:r>
      <m:oMath>
        <m:r>
          <m:rPr>
            <m:sty m:val="i"/>
          </m:rPr>
          <w:rPr>
            <w:rFonts w:ascii="Cambria Math" w:hAnsi="Cambria Math"/>
          </w:rPr>
          <m:t xml:space="preserve">k</m:t>
        </m:r>
      </m:oMath>
      <w:r>
        <w:t xml:space="preserve"> is localized, as only countries with latency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can participate, and each faces a different delivered cost. The delivered inference price for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m:t>
                  </m:r>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c</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sub>
              </m:sSub>
              <m:r>
                <m:rPr>
                  <m:sty m:val="p"/>
                </m:rPr>
                <w:rPr>
                  <w:rFonts w:ascii="Cambria Math" w:hAnsi="Cambria Math"/>
                </w:rPr>
                <m:t xml:space="preserve">,</m:t>
              </m:r>
            </m:oMath>
          </w:p>
        </w:tc>
        <w:tc>
          <w:tcPr>
            <w:tcW w:w="1400" w:type="dxa"/>
            <w:vAlign w:val="center"/>
          </w:tcPr>
          <w:p>
            <w:pPr>
              <w:jc w:val="right"/>
              <w:spacing w:before="60" w:after="60"/>
            </w:pPr>
            <w:bookmarkStart w:id="806" w:name="Eq6"/>
            <w:r>
              <w:t>(6)</w:t>
            </w:r>
            <w:bookmarkEnd w:id="806"/>
          </w:p>
        </w:tc>
      </w:tr>
    </w:tbl>
    <w:p>
      <w:pPr>
        <w:spacing w:before="0" w:after="160"/>
        <w:ind w:firstLine="0"/>
        <w:jc w:val="both"/>
      </w:pPr>
      <w:r>
        <w:t xml:space="preserve">where </w:t>
      </w:r>
      <m:oMath>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is the marginal inference supplier to </w:t>
      </w:r>
      <m:oMath>
        <m:r>
          <m:rPr>
            <m:sty m:val="i"/>
          </m:rPr>
          <w:rPr>
            <w:rFonts w:ascii="Cambria Math" w:hAnsi="Cambria Math"/>
          </w:rPr>
          <m:t xml:space="preserve">k</m:t>
        </m:r>
      </m:oMath>
      <w:r>
        <w:t xml:space="preserve">, determined by the capacity-constrained supply stack for </w:t>
      </w:r>
      <m:oMath>
        <m:r>
          <m:rPr>
            <m:sty m:val="i"/>
          </m:rPr>
          <w:rPr>
            <w:rFonts w:ascii="Cambria Math" w:hAnsi="Cambria Math"/>
          </w:rPr>
          <m:t xml:space="preserve">k</m:t>
        </m:r>
      </m:oMath>
      <w:r>
        <w:t>’s inference market. Each GPU-hour of capacity is allocated to its highest-margin use, whether training exports, inference exports to various destinations, or domestic supply.</w:t>
      </w:r>
    </w:p>
    <w:p>
      <w:pPr>
        <w:spacing w:before="0" w:after="160"/>
        <w:ind w:firstLine="0"/>
        <w:jc w:val="both"/>
      </w:pPr>
      <w:r>
        <w:t xml:space="preserve">The cost-based equilibrium identifies the set of countries that could profitably produce and export compute. Which countries from this set actually attract investment depends additionally on agglomeration economies, hyperscaler market structure, and network connectivity (</w:t>
      </w:r>
      <w:bookmarkStart w:id="212" w:name="Krugman1991txt"/>
      <w:hyperlink w:anchor="Krugman1991" w:history="1">
        <w:r>
          <w:rPr>
            <w:color w:val="1F3864"/>
            <w:u w:val="single"/>
          </w:rPr>
          <w:t xml:space="preserve">Krugman 1991</w:t>
        </w:r>
      </w:hyperlink>
      <w:bookmarkEnd w:id="212"/>
      <w:r>
        <w:t xml:space="preserve">). The cloud compute market is dominated by three firms (AWS, Azure, Google Cloud) whose location decisions reflect scale economies and self-reinforcing colocation dynamics that the competitive framework abstracts from. The capacity ceilings </w:t>
      </w:r>
      <m:oMath>
        <m:sSub>
          <m:sSubPr/>
          <m:e>
            <m:r>
              <m:rPr>
                <m:sty m:val="i"/>
              </m:rPr>
              <w:rPr>
                <w:rFonts w:ascii="Cambria Math" w:hAnsi="Cambria Math"/>
              </w:rPr>
              <m:t xml:space="preserve">K̄</m:t>
            </m:r>
          </m:e>
          <m:sub>
            <m:r>
              <m:rPr>
                <m:sty m:val="i"/>
              </m:rPr>
              <w:rPr>
                <w:rFonts w:ascii="Cambria Math" w:hAnsi="Cambria Math"/>
              </w:rPr>
              <m:t xml:space="preserve">j</m:t>
            </m:r>
          </m:sub>
        </m:sSub>
      </m:oMath>
      <w:r>
        <w:t xml:space="preserve"> partially capture the resulting gap between cost-based potential and realized investment; Section 7 discusses these limitations further.</w:t>
      </w:r>
    </w:p>
    <w:p>
      <w:pPr>
        <w:pStyle w:val="Heading1"/>
      </w:pPr>
      <w:r>
        <w:rPr>
          <w:rFonts w:ascii="Times New Roman" w:hAnsi="Times New Roman"/>
          <w:b/>
          <w:color w:val="2F5496"/>
          <w:sz w:val="28"/>
        </w:rPr>
        <w:t>4. Equilibrium Properties</w:t>
      </w:r>
    </w:p>
    <w:p>
      <w:pPr>
        <w:spacing w:before="0" w:after="160"/>
        <w:ind w:firstLine="0"/>
        <w:jc w:val="both"/>
      </w:pPr>
      <w:r>
        <w:t>This section derives the formal properties of the capacity-constrained equilibrium defined in Section 3. Full derivations are shown in Appendix B.</w:t>
      </w:r>
    </w:p>
    <w:p>
      <w:pPr>
        <w:spacing w:before="0" w:after="160"/>
        <w:ind w:firstLine="0"/>
        <w:jc w:val="both"/>
      </w:pPr>
      <w:r>
        <w:rPr>
          <w:b/>
          <w:i/>
        </w:rPr>
        <w:t xml:space="preserve">Proposition 1 (Country Taxonomy). </w:t>
      </w:r>
      <w:r>
        <w:t xml:space="preserve">With two service types (training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inference with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&gt; 0</m:t>
        </m:r>
      </m:oMath>
      <w:r>
        <w:t>) and three possible statuses (export, domestic production, import), there are nine potential regime combinations. In equilibrium, only five are realized. Each regime is coded by two letters: the first for training status, the second for inference (E = export, D = domestic production, I = import).</w:t>
      </w:r>
    </w:p>
    <w:p>
      <w:pPr>
        <w:spacing w:before="0" w:after="160"/>
        <w:ind w:firstLine="0"/>
        <w:jc w:val="both"/>
      </w:pPr>
      <w:r>
        <w:t xml:space="preserve">(i) </w:t>
      </w:r>
      <w:r>
        <w:rPr>
          <w:b/>
        </w:rPr>
        <w:t>EE</w:t>
      </w:r>
      <w:r>
        <w:t xml:space="preserve">. Training exporter + inference exporter. The cheapest producers,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supply training globally and inference to nearby demand centers.</w:t>
      </w:r>
    </w:p>
    <w:p>
      <w:pPr>
        <w:spacing w:before="0" w:after="160"/>
        <w:ind w:firstLine="0"/>
        <w:jc w:val="both"/>
      </w:pPr>
      <w:r>
        <w:t xml:space="preserve">(ii) </w:t>
      </w:r>
      <w:r>
        <w:rPr>
          <w:b/>
        </w:rPr>
        <w:t>IE</w:t>
      </w:r>
      <w:r>
        <w:t xml:space="preserve">. Training importer + inference exporter. Countries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&gt;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that are not cheap enough to compete in the global training market but serve as regional inference hubs due to low costs and proximity to demand centers (</w:t>
      </w:r>
      <m:oMath>
        <m:sSub>
          <m:sSubPr/>
          <m:e>
            <m:r>
              <m:rPr>
                <m:sty m:val="i"/>
              </m:rPr>
              <w:rPr>
                <w:rFonts w:ascii="Cambria Math" w:hAnsi="Cambria Math"/>
              </w:rPr>
              <m:t xml:space="preserve">d</m:t>
            </m:r>
          </m:e>
          <m:sub>
            <m:r>
              <m:rPr>
                <m:sty m:val="i"/>
              </m:rPr>
              <w:rPr>
                <w:rFonts w:ascii="Cambria Math" w:hAnsi="Cambria Math"/>
              </w:rPr>
              <m:t xml:space="preserve">ij</m:t>
            </m:r>
          </m:sub>
        </m:sSub>
      </m:oMath>
      <w:r>
        <w:t xml:space="preserve"> below the latency threshold </w:t>
      </w:r>
      <m:oMath>
        <m:bar>
          <m:barPr>
            <m:pos m:val="top"/>
          </m:barPr>
          <m:e>
            <m:r>
              <m:rPr>
                <m:sty m:val="i"/>
              </m:rPr>
              <w:rPr>
                <w:rFonts w:ascii="Cambria Math" w:hAnsi="Cambria Math"/>
              </w:rPr>
              <m:t xml:space="preserve">d</m:t>
            </m:r>
          </m:e>
        </m:bar>
      </m:oMath>
      <w:r>
        <w:t>).</w:t>
      </w:r>
    </w:p>
    <w:p>
      <w:pPr>
        <w:spacing w:before="0" w:after="160"/>
        <w:ind w:firstLine="0"/>
        <w:jc w:val="both"/>
      </w:pPr>
      <w:r>
        <w:t xml:space="preserve">(iii) </w:t>
      </w:r>
      <w:r>
        <w:rPr>
          <w:b/>
        </w:rPr>
        <w:t>ID</w:t>
      </w:r>
      <w:r>
        <w:t xml:space="preserve">. Training importer + inference domestic producer. Countries that import training but produce inference domestically, because 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or geographic isolation makes all foreign inference sources more expensive than domestic production.</w:t>
      </w:r>
    </w:p>
    <w:p>
      <w:pPr>
        <w:spacing w:before="0" w:after="160"/>
        <w:ind w:firstLine="0"/>
        <w:jc w:val="both"/>
      </w:pPr>
      <w:r>
        <w:t xml:space="preserve">(iv) </w:t>
      </w:r>
      <w:r>
        <w:rPr>
          <w:b/>
        </w:rPr>
        <w:t>DD</w:t>
      </w:r>
      <w:r>
        <w:t xml:space="preserve">. Domestic producer of both. Countries where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so the bilateral sovereignty premium is large enough to justify domestic production of both training and inference.</w:t>
      </w:r>
    </w:p>
    <w:p>
      <w:pPr>
        <w:spacing w:before="0" w:after="160"/>
        <w:ind w:firstLine="0"/>
        <w:jc w:val="both"/>
      </w:pPr>
      <w:r>
        <w:t xml:space="preserve">(v) </w:t>
      </w:r>
      <w:r>
        <w:rPr>
          <w:b/>
        </w:rPr>
        <w:t>II</w:t>
      </w:r>
      <w:r>
        <w:t xml:space="preserve">. Importer of both. High-cost countries with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that import both training and inference from cheaper or closer suppliers.</w:t>
      </w:r>
    </w:p>
    <w:p>
      <w:pPr>
        <w:spacing w:before="0" w:after="160"/>
        <w:ind w:firstLine="0"/>
        <w:jc w:val="both"/>
      </w:pPr>
      <w:r>
        <w:t>The remaining four combinations cannot arise in equilibrium. A training exporter cannot simultaneously produce inference domestically or import it: a country cheap enough to win a global training competition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Sup>
          <m:sSubSupPr/>
          <m:e>
            <m:r>
              <m:rPr>
                <m:sty m:val="i"/>
              </m:rPr>
              <w:rPr>
                <w:rFonts w:ascii="Cambria Math" w:hAnsi="Cambria Math"/>
              </w:rPr>
              <m:t xml:space="preserve">p</m:t>
            </m:r>
          </m:e>
          <m:sub>
            <m:r>
              <m:rPr>
                <m:sty m:val="i"/>
              </m:rPr>
              <w:rPr>
                <w:rFonts w:ascii="Cambria Math" w:hAnsi="Cambria Math"/>
              </w:rPr>
              <m:t xml:space="preserve">T</m:t>
            </m:r>
          </m:sub>
          <m:sup>
            <m:r>
              <m:rPr>
                <m:sty m:val="i"/>
              </m:rPr>
              <w:rPr>
                <w:rFonts w:ascii="Cambria Math" w:hAnsi="Cambria Math"/>
              </w:rPr>
              <m:t xml:space="preserve">*</m:t>
            </m:r>
          </m:sup>
        </m:sSubSup>
      </m:oMath>
      <w:r>
        <w:t xml:space="preserve">) is necessarily cheap enough to export inference to nearby buyers (Proposition 4). A country that produces training domestically cannot import inference, because the sovereignty premium that justifies domestic training production also justifies domestic inference production, which faces latency degradation when imported. A domestic training producer that exports inference would require simultaneously high sovereignty preference and low costs, a combination ruled out by the model’s cost ordering. </w:t>
      </w:r>
      <w:bookmarkStart w:id="130" w:name="Table1txt"/>
      <w:hyperlink w:anchor="Table1" w:history="1">
        <w:r>
          <w:rPr>
            <w:color w:val="1F3864"/>
            <w:u w:val="single"/>
          </w:rPr>
          <w:t xml:space="preserve">Table 1</w:t>
        </w:r>
      </w:hyperlink>
      <w:bookmarkEnd w:id="130"/>
      <w:r>
        <w:t xml:space="preserve"> summarizes this taxonomy.</w:t>
      </w:r>
    </w:p>
    <w:p>
      <w:pPr>
        <w:spacing w:before="0" w:after="160"/>
        <w:ind w:firstLine="0"/>
        <w:jc w:val="both"/>
      </w:pPr>
      <w:r>
        <w:rPr>
          <w:b/>
          <w:i/>
        </w:rPr>
        <w:t xml:space="preserve">Proposition 2 (Capacity Constraints Reduce Concentration). </w:t>
      </w:r>
      <w:r>
        <w:t xml:space="preserve">Define the Herfindahl–Hirschman Index (HHI), a standard measure of market concentration that is equal to the sum of squared market shares, for training market concentration as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m:t>
        </m:r>
        <m:nary>
          <m:naryPr>
            <m:chr m:val="∑"/>
            <m:supHide m:val="1"/>
          </m:naryPr>
          <m:sub>
            <m:r>
              <m:rPr>
                <m:sty m:val="i"/>
              </m:rPr>
              <w:rPr>
                <w:rFonts w:ascii="Cambria Math" w:hAnsi="Cambria Math"/>
              </w:rPr>
              <m:t xml:space="preserve">j</m:t>
            </m:r>
          </m:sub>
          <m:sup/>
          <m:e>
            <m:sSup>
              <m:sSupPr/>
              <m:e>
                <m:r>
                  <m:rPr>
                    <m:sty m:val="p"/>
                  </m:rPr>
                  <w:rPr>
                    <w:rFonts w:ascii="Cambria Math" w:hAnsi="Cambria Math"/>
                  </w:rPr>
                  <m:t xml:space="preserve">(</m:t>
                </m:r>
              </m:e>
              <m:sup>
                <m:r>
                  <m:rPr>
                    <m:sty m:val="p"/>
                  </m:rPr>
                  <w:rPr>
                    <w:rFonts w:ascii="Cambria Math" w:hAnsi="Cambria Math"/>
                  </w:rPr>
                  <m:t xml:space="preserve">2</m:t>
                </m:r>
              </m:sup>
            </m:sSup>
          </m:e>
        </m:nary>
        <m:sSub>
          <m:sSubPr/>
          <m:e>
            <m:r>
              <m:rPr>
                <m:sty m:val="i"/>
              </m:rPr>
              <w:rPr>
                <w:rFonts w:ascii="Cambria Math" w:hAnsi="Cambria Math"/>
              </w:rPr>
              <m:t xml:space="preserve">K</m:t>
            </m:r>
          </m:e>
          <m:sub>
            <m:r>
              <m:rPr>
                <m:sty m:val="i"/>
              </m:rPr>
              <w:rPr>
                <w:rFonts w:ascii="Cambria Math" w:hAnsi="Cambria Math"/>
              </w:rPr>
              <m:t xml:space="preserve">Tj</m:t>
            </m:r>
          </m:sub>
        </m:sSub>
        <m:r>
          <m:rPr>
            <m:sty m:val="p"/>
          </m:rPr>
          <w:rPr>
            <w:rFonts w:ascii="Cambria Math" w:hAnsi="Cambria Math"/>
          </w:rPr>
          <m:t xml:space="preserve">/</m:t>
        </m:r>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sSup>
          <m:sSupPr/>
          <m:e>
            <m:r>
              <m:rPr>
                <m:sty m:val="p"/>
              </m:rPr>
              <w:rPr>
                <w:rFonts w:ascii="Cambria Math" w:hAnsi="Cambria Math"/>
              </w:rPr>
              <m:t xml:space="preserve">)</m:t>
            </m:r>
          </m:e>
          <m:sup>
            <m:r>
              <m:rPr>
                <m:sty m:val="p"/>
              </m:rPr>
              <w:rPr>
                <w:rFonts w:ascii="Cambria Math" w:hAnsi="Cambria Math"/>
              </w:rPr>
              <m:t xml:space="preserve">2</m:t>
            </m:r>
          </m:sup>
        </m:sSup>
      </m:oMath>
      <w:r>
        <w:t xml:space="preserve">, where </w:t>
      </w:r>
      <m:oMath>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oMath>
      <w:r>
        <w:t xml:space="preserve"> denote total training export demand, the sum of training demand across all importing countries. Without capacity constraints, the cheapest producer captures all training demand and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1</m:t>
        </m:r>
      </m:oMath>
      <w:r>
        <w:t xml:space="preserve">. With binding capacity constraints on the cheapest producers,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&lt; 1</m:t>
        </m:r>
      </m:oMath>
      <w:r>
        <w:t xml:space="preserve">, and </w:t>
      </w:r>
      <m:oMath>
        <m:sSub>
          <m:sSubPr/>
          <m:e>
            <m:r>
              <m:rPr>
                <m:sty m:val="i"/>
              </m:rPr>
              <w:rPr>
                <w:rFonts w:ascii="Cambria Math" w:hAnsi="Cambria Math"/>
              </w:rPr>
              <m:t xml:space="preserve">HHI</m:t>
            </m:r>
          </m:e>
          <m:sub>
            <m:r>
              <m:rPr>
                <m:sty m:val="i"/>
              </m:rPr>
              <w:rPr>
                <w:rFonts w:ascii="Cambria Math" w:hAnsi="Cambria Math"/>
              </w:rPr>
              <m:t xml:space="preserve">T</m:t>
            </m:r>
          </m:sub>
        </m:sSub>
      </m:oMath>
      <w:r>
        <w:t xml:space="preserve"> is strictly decreasing in the number of capacity-constrained infra-marginal exporters. Intuitively, when cheap producers reach capacity limits, residual demand spills over to more expensive suppliers, spreading market shares more evenly.</w:t>
      </w:r>
    </w:p>
    <w:p>
      <w:pPr>
        <w:spacing w:before="0" w:after="160"/>
        <w:ind w:firstLine="0"/>
        <w:jc w:val="both"/>
      </w:pPr>
      <w:r>
        <w:rPr>
          <w:b/>
          <w:i/>
        </w:rPr>
        <w:t xml:space="preserve">Proposition 3 (Sovereignty Switching Threshold). </w:t>
      </w:r>
      <w:r>
        <w:t xml:space="preserve">A country will bear the additional cost of domestic AI training only if its sovereignty premium is large enough to justify the price premium over cheaper foreign producers. Formally, country </w:t>
      </w:r>
      <m:oMath>
        <m:r>
          <m:rPr>
            <m:sty m:val="i"/>
          </m:rPr>
          <w:rPr>
            <w:rFonts w:ascii="Cambria Math" w:hAnsi="Cambria Math"/>
          </w:rPr>
          <m:t xml:space="preserve">k</m:t>
        </m:r>
      </m:oMath>
      <w:r>
        <w:t xml:space="preserve"> produces training domestically if and only if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m:t>
        </m:r>
      </m:oMath>
      <w:r>
        <w:t xml:space="preserve"> for every potential supplier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equivalently, </w:t>
      </w:r>
      <m:oMath>
        <m:r>
          <m:rPr>
            <m:sty m:val="i"/>
          </m:rPr>
          <w:rPr>
            <w:rFonts w:ascii="Cambria Math" w:hAnsi="Cambria Math"/>
          </w:rPr>
          <m:t xml:space="preserve">k</m:t>
        </m:r>
      </m:oMath>
      <w:r>
        <w:t xml:space="preserve"> imports whenever there exists a supplier </w:t>
      </w:r>
      <m:oMath>
        <m:r>
          <m:rPr>
            <m:sty m:val="i"/>
          </m:rPr>
          <w:rPr>
            <w:rFonts w:ascii="Cambria Math" w:hAnsi="Cambria Math"/>
          </w:rPr>
          <m:t xml:space="preserve">j</m:t>
        </m:r>
      </m:oMath>
      <w:r>
        <w:t xml:space="preserve"> for which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&lt;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The threshold is increasing in </w:t>
      </w:r>
      <m:oMath>
        <m:sSub>
          <m:sSubPr/>
          <m:e>
            <m:r>
              <m:rPr>
                <m:sty m:val="i"/>
              </m:rPr>
              <w:rPr>
                <w:rFonts w:ascii="Cambria Math" w:hAnsi="Cambria Math"/>
              </w:rPr>
              <m:t xml:space="preserve">c</m:t>
            </m:r>
          </m:e>
          <m:sub>
            <m:r>
              <m:rPr>
                <m:sty m:val="i"/>
              </m:rPr>
              <w:rPr>
                <w:rFonts w:ascii="Cambria Math" w:hAnsi="Cambria Math"/>
              </w:rPr>
              <m:t xml:space="preserve">k</m:t>
            </m:r>
          </m:sub>
        </m:sSub>
      </m:oMath>
      <w:r>
        <w:t xml:space="preserve"> and decreasing in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Under capacity constraints,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&gt; </m:t>
        </m:r>
        <m:sSub>
          <m:sSubPr/>
          <m:e>
            <m:r>
              <m:rPr>
                <m:sty m:val="i"/>
              </m:rPr>
              <w:rPr>
                <w:rFonts w:ascii="Cambria Math" w:hAnsi="Cambria Math"/>
              </w:rPr>
              <m:t xml:space="preserve">c</m:t>
            </m:r>
          </m:e>
          <m:sub>
            <m:r>
              <m:rPr>
                <m:sty m:val="i"/>
              </m:rPr>
              <w:rPr>
                <w:rFonts w:ascii="Cambria Math" w:hAnsi="Cambria Math"/>
              </w:rPr>
              <m:t xml:space="preserve">(1)</m:t>
            </m:r>
          </m:sub>
        </m:sSub>
      </m:oMath>
      <w:r>
        <w:t>, so the threshold is lower than in the unconstrained model. Capacity constraints reduce the sovereignty premium required for domestic production because higher world prices make imports more expensive.</w:t>
      </w:r>
      <w:r>
        <w:rPr>
          <w:rStyle w:val="FootnoteReference"/>
        </w:rPr>
        <w:footnoteReference w:id="22"/>
      </w:r>
    </w:p>
    <w:p>
      <w:pPr>
        <w:spacing w:before="0" w:after="160"/>
        <w:ind w:firstLine="0"/>
        <w:jc w:val="both"/>
      </w:pPr>
      <w:r>
        <w:rPr>
          <w:rFonts w:ascii="Times New Roman" w:hAnsi="Times New Roman"/>
          <w:b w:val="0"/>
          <w:i/>
          <w:sz w:val="24"/>
        </w:rPr>
        <w:t xml:space="preserve">Corollary. </w:t>
      </w:r>
      <w:r>
        <w:t>Capacity constraints reduce the welfare cost of sovereignty because the higher equilibrium price narrows the gap between domestic and import costs.</w:t>
      </w:r>
    </w:p>
    <w:p>
      <w:pPr>
        <w:spacing w:before="0" w:after="160"/>
        <w:ind w:firstLine="0"/>
        <w:jc w:val="both"/>
      </w:pPr>
      <w:r>
        <w:rPr>
          <w:b/>
          <w:i/>
        </w:rPr>
        <w:t xml:space="preserve">Proposition 4 (Training Exporters Nest Within Inference Exporters). </w:t>
      </w:r>
      <w:r>
        <w:t xml:space="preserve">If a country is cheap enough to export training (which can be done from anywhere), it is also cheap enough to export inference to nearby demand centers. The set of training exporters is therefore a subset of the inference exporters for demand centers within the latency threshold </w:t>
      </w:r>
      <m:oMath>
        <m:bar>
          <m:barPr>
            <m:pos m:val="top"/>
          </m:barPr>
          <m:e>
            <m:r>
              <m:rPr>
                <m:sty m:val="i"/>
              </m:rPr>
              <w:rPr>
                <w:rFonts w:ascii="Cambria Math" w:hAnsi="Cambria Math"/>
              </w:rPr>
              <m:t xml:space="preserve">l</m:t>
            </m:r>
          </m:e>
        </m:bar>
      </m:oMath>
      <w:r>
        <w:t xml:space="preserve">. A training exporter has the globally lowest </w:t>
      </w:r>
      <m:oMath>
        <m:sSub>
          <m:sSubPr/>
          <m:e>
            <m:r>
              <m:rPr>
                <m:sty m:val="i"/>
              </m:rPr>
              <w:rPr>
                <w:rFonts w:ascii="Cambria Math" w:hAnsi="Cambria Math"/>
              </w:rPr>
              <m:t xml:space="preserve">c</m:t>
            </m:r>
          </m:e>
          <m:sub>
            <m:r>
              <m:rPr>
                <m:sty m:val="i"/>
              </m:rPr>
              <w:rPr>
                <w:rFonts w:ascii="Cambria Math" w:hAnsi="Cambria Math"/>
              </w:rPr>
              <m:t xml:space="preserve">j</m:t>
            </m:r>
          </m:sub>
        </m:sSub>
      </m:oMath>
      <w:r>
        <w:t>. For inference to proximate demand centers, this cost advantage dominates the latency markup, so the same country wins the inference competition. Since training has no distance penalty while inference does, every country that exports training is also competitive in inference within its geographic neighborhood, but not vice versa.</w:t>
      </w:r>
    </w:p>
    <w:p>
      <w:pPr>
        <w:pStyle w:val="Heading1"/>
      </w:pPr>
      <w:r>
        <w:rPr>
          <w:rFonts w:ascii="Times New Roman" w:hAnsi="Times New Roman"/>
          <w:b/>
          <w:color w:val="2F5496"/>
          <w:sz w:val="28"/>
        </w:rPr>
        <w:t>5. Data</w:t>
      </w:r>
    </w:p>
    <w:p>
      <w:pPr>
        <w:spacing w:before="0" w:after="160"/>
        <w:ind w:firstLine="0"/>
        <w:jc w:val="both"/>
      </w:pPr>
      <w:r>
        <w:t xml:space="preserve">The propositions above generate testable predictions that depend on country-specific costs and bilateral frictions. Calibrating the production-cost and trade-cost parameters in equations (1)–(4) requires data on electricity prices, temperatures, construction costs, bilateral latencies, and bilateral sovereignty frictions (geopolitical alignment, regulatory compatibility, sanctions). </w:t>
      </w:r>
    </w:p>
    <w:p>
      <w:pPr>
        <w:spacing w:before="0" w:after="160"/>
        <w:ind w:firstLine="0"/>
        <w:jc w:val="both"/>
      </w:pPr>
      <w:r>
        <w:rPr>
          <w:rFonts w:ascii="Times New Roman" w:hAnsi="Times New Roman"/>
          <w:b w:val="0"/>
          <w:i/>
          <w:sz w:val="24"/>
        </w:rPr>
        <w:t xml:space="preserve">Electricity prices. </w:t>
      </w:r>
      <w:r>
        <w:t xml:space="preserve">For European countries, we use prices from Eurostat (industrial band, 20,000–69,999) (</w:t>
      </w:r>
      <w:bookmarkStart w:id="213" w:name="Eurostat2025txt"/>
      <w:hyperlink w:anchor="Eurostat2025" w:history="1">
        <w:r>
          <w:rPr>
            <w:color w:val="1F3864"/>
            <w:u w:val="single"/>
          </w:rPr>
          <w:t xml:space="preserve">Eurostat 2025</w:t>
        </w:r>
      </w:hyperlink>
      <w:bookmarkEnd w:id="213"/>
      <w:r>
        <w:t xml:space="preserve">). For non-European countries, the prices are obtained from national regulator tariff sheets and secondary sources, including the U.S. Energy Information Administration (</w:t>
      </w:r>
      <w:bookmarkStart w:id="246" w:name="EIA2025txt"/>
      <w:hyperlink w:anchor="EIA2025" w:history="1">
        <w:r>
          <w:rPr>
            <w:color w:val="1F3864"/>
            <w:u w:val="single"/>
          </w:rPr>
          <w:t xml:space="preserve">EIA 2025</w:t>
        </w:r>
      </w:hyperlink>
      <w:bookmarkEnd w:id="246"/>
      <w:r>
        <w:t xml:space="preserve">) for the United States, KEPCO for South Korea,</w:t>
      </w:r>
      <w:r>
        <w:rPr>
          <w:rStyle w:val="FootnoteReference"/>
        </w:rPr>
        <w:footnoteReference w:id="24"/>
      </w:r>
      <w:r>
        <w:t xml:space="preserve"> national utility tariffs for Central Asian countries, and </w:t>
      </w:r>
      <w:bookmarkStart w:id="214" w:name="GlobalPetrolPrices2025txt"/>
      <w:hyperlink w:anchor="GlobalPetrolPrices2025" w:history="1">
        <w:r>
          <w:rPr>
            <w:color w:val="1F3864"/>
            <w:u w:val="single"/>
          </w:rPr>
          <w:t xml:space="preserve">GlobalPetrolPrices (2025)</w:t>
        </w:r>
      </w:hyperlink>
      <w:bookmarkEnd w:id="214"/>
      <w:r>
        <w:t xml:space="preserve"> for the remaining countries. All prices are converted to $/kWh at 2024 exchange rates.</w:t>
      </w:r>
    </w:p>
    <w:p>
      <w:pPr>
        <w:spacing w:before="0" w:after="160"/>
        <w:ind w:firstLine="0"/>
        <w:jc w:val="both"/>
      </w:pPr>
      <w:r>
        <w:rPr>
          <w:rFonts w:ascii="Times New Roman" w:hAnsi="Times New Roman"/>
          <w:b w:val="0"/>
          <w:i/>
          <w:sz w:val="24"/>
        </w:rPr>
        <w:t xml:space="preserve">Temperature and construction. </w:t>
      </w:r>
      <w:r>
        <w:t xml:space="preserve">Peak summer temperature is derived from ERA5 data (</w:t>
      </w:r>
      <w:bookmarkStart w:id="215" w:name="Hersbach2020txt"/>
      <w:hyperlink w:anchor="Hersbach2020" w:history="1">
        <w:r>
          <w:rPr>
            <w:color w:val="1F3864"/>
            <w:u w:val="single"/>
          </w:rPr>
          <w:t xml:space="preserve">Hersbach et al. 2020</w:t>
        </w:r>
      </w:hyperlink>
      <w:bookmarkEnd w:id="215"/>
      <w:r>
        <w:t xml:space="preserve">) as the average monthly maximum in the three warmest months, aggregated across populated grid cells. </w:t>
      </w:r>
      <w:r>
        <w:t xml:space="preserve">Construction costs per watt of IT capacity are from the Turner &amp; Townsend Data Centre Construction Cost Index 2025 (</w:t>
      </w:r>
      <w:bookmarkStart w:id="216" w:name="TurnerTownsend2025txt"/>
      <w:hyperlink w:anchor="TurnerTownsend2025" w:history="1">
        <w:r>
          <w:rPr>
            <w:color w:val="1F3864"/>
            <w:u w:val="single"/>
          </w:rPr>
          <w:t xml:space="preserve">Turner &amp; Townsend 2025</w:t>
        </w:r>
      </w:hyperlink>
      <w:bookmarkEnd w:id="216"/>
      <w:r>
        <w:t xml:space="preserve">), for 37 countries. For the remaining countries, costs are predicted (Appendix E). Since construction is only 3–6% of total per-GPU-hour costs, imputation error has a limited impact on cost rankings.</w:t>
      </w:r>
    </w:p>
    <w:p>
      <w:pPr>
        <w:spacing w:before="0" w:after="160"/>
        <w:ind w:firstLine="0"/>
        <w:jc w:val="both"/>
      </w:pPr>
      <w:r>
        <w:rPr>
          <w:rFonts w:ascii="Times New Roman" w:hAnsi="Times New Roman"/>
          <w:b w:val="0"/>
          <w:i/>
          <w:sz w:val="24"/>
        </w:rPr>
        <w:t xml:space="preserve">Latency. </w:t>
      </w:r>
      <w:r>
        <w:t xml:space="preserve">Inter-country round-trip latency is measured using WonderNetwork’s global ping dataset (</w:t>
      </w:r>
      <w:bookmarkStart w:id="217" w:name="WonderNetwork2024txt"/>
      <w:hyperlink w:anchor="WonderNetwork2024" w:history="1">
        <w:r>
          <w:rPr>
            <w:color w:val="1F3864"/>
            <w:u w:val="single"/>
          </w:rPr>
          <w:t xml:space="preserve">WonderNetwork 2024</w:t>
        </w:r>
      </w:hyperlink>
      <w:bookmarkEnd w:id="217"/>
      <w:r>
        <w:t xml:space="preserve">). For each country pair, the median round-trip time (RTT) in milliseconds is used. Domestic latency defaults to 5 ms where no intra-country measurement is available.</w:t>
      </w:r>
    </w:p>
    <w:p>
      <w:pPr>
        <w:spacing w:before="0" w:after="160"/>
        <w:ind w:firstLine="0"/>
        <w:jc w:val="both"/>
      </w:pPr>
      <w:r>
        <w:rPr>
          <w:rFonts w:ascii="Times New Roman" w:hAnsi="Times New Roman"/>
          <w:b w:val="0"/>
          <w:i/>
          <w:sz w:val="24"/>
        </w:rPr>
        <w:t xml:space="preserve">Demand. </w:t>
      </w:r>
      <w:r>
        <w:t xml:space="preserve">Compute demand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is proxied by installed data center capacity in MW, as specified in </w:t>
      </w:r>
      <w:bookmarkStart w:id="900" w:name="Eq4txt900"/>
      <w:hyperlink w:anchor="Eq4" w:history="1">
        <w:r>
          <w:rPr>
            <w:color w:val="1F3864"/>
            <w:u w:val="single"/>
          </w:rPr>
          <w:t xml:space="preserve">equation (4)</w:t>
        </w:r>
      </w:hyperlink>
      <w:bookmarkEnd w:id="900"/>
      <w:r>
        <w:t xml:space="preserve">. For the top 15 markets, capacity estimates are based on industry reports (Synergy Research, Cushman &amp; Wakefield, CBRE, Mordor Intelligence).</w:t>
      </w:r>
      <w:r>
        <w:rPr>
          <w:rStyle w:val="FootnoteReference"/>
        </w:rPr>
        <w:footnoteReference w:id="25"/>
      </w:r>
      <w:r>
        <w:t xml:space="preserve"> For smaller markets, capacity is estimated from facility counts (</w:t>
      </w:r>
      <w:bookmarkStart w:id="218" w:name="Cloudscene2025txt"/>
      <w:hyperlink w:anchor="Cloudscene2025" w:history="1">
        <w:r>
          <w:rPr>
            <w:color w:val="1F3864"/>
            <w:u w:val="single"/>
          </w:rPr>
          <w:t xml:space="preserve">Cloudscene 2025</w:t>
        </w:r>
      </w:hyperlink>
      <w:bookmarkEnd w:id="218"/>
      <w:r>
        <w:t xml:space="preserve">) and regional averages. Since the results below depend only on demand shares, not on the absolute level </w:t>
      </w:r>
      <m:oMath>
        <m:r>
          <m:rPr>
            <m:sty m:val="i"/>
          </m:rPr>
          <w:rPr>
            <w:rFonts w:ascii="Cambria Math" w:hAnsi="Cambria Math"/>
          </w:rPr>
          <m:t xml:space="preserve">Q</m:t>
        </m:r>
      </m:oMath>
      <w:r>
        <w:t>, the calibration does not require an estimate of total global compute spending.</w:t>
      </w:r>
    </w:p>
    <w:p>
      <w:pPr>
        <w:spacing w:before="0" w:after="160"/>
        <w:ind w:firstLine="0"/>
        <w:jc w:val="both"/>
      </w:pPr>
      <w:r>
        <w:t>Because the compute export market is still emerging and bilateral trade-flow data do not yet exist, the paper calibrates the model using engineering cost parameters rather than estimating it from observed trade. The calibration identifies the cost structure under which FLOP exporting becomes viable and provides a framework that can be taken to gravity-style estimation as transaction-level data emerge.</w:t>
      </w:r>
    </w:p>
    <w:p>
      <w:pPr>
        <w:pStyle w:val="Heading1"/>
      </w:pPr>
      <w:r>
        <w:rPr>
          <w:rFonts w:ascii="Times New Roman" w:hAnsi="Times New Roman"/>
          <w:b/>
          <w:color w:val="2F5496"/>
          <w:sz w:val="28"/>
        </w:rPr>
        <w:t>6. Calibration and Results</w:t>
      </w:r>
    </w:p>
    <w:p>
      <w:pPr>
        <w:pStyle w:val="Heading2"/>
      </w:pPr>
      <w:r>
        <w:rPr>
          <w:rFonts w:ascii="Times New Roman" w:hAnsi="Times New Roman"/>
          <w:b w:val="0"/>
          <w:i/>
          <w:color w:val="2F5496"/>
          <w:sz w:val="24"/>
        </w:rPr>
        <w:t>6.1 Parameter calibration</w:t>
      </w:r>
    </w:p>
    <w:p>
      <w:pPr>
        <w:spacing w:before="0" w:after="160"/>
        <w:ind w:firstLine="0"/>
        <w:jc w:val="both"/>
      </w:pPr>
      <w:r>
        <w:rPr>
          <w:rFonts w:ascii="Times New Roman" w:hAnsi="Times New Roman"/>
          <w:b w:val="0"/>
          <w:i/>
          <w:sz w:val="24"/>
        </w:rPr>
        <w:t xml:space="preserve">PUE. </w:t>
      </w:r>
      <w:r>
        <w:t xml:space="preserve">The baseline </w:t>
      </w:r>
      <m:oMath>
        <m:r>
          <m:rPr>
            <m:sty m:val="i"/>
          </m:rPr>
          <w:rPr>
            <w:rFonts w:ascii="Cambria Math" w:hAnsi="Cambria Math"/>
          </w:rPr>
          <m:t xml:space="preserve">φ</m:t>
        </m:r>
        <m:r>
          <m:rPr>
            <m:sty m:val="p"/>
          </m:rPr>
          <w:rPr>
            <w:rFonts w:ascii="Cambria Math" w:hAnsi="Cambria Math"/>
          </w:rPr>
          <m:t xml:space="preserve"> = 1.08</m:t>
        </m:r>
      </m:oMath>
      <w:r>
        <w:t xml:space="preserve"> matches Google’s reported PUE for facilities with free-air cooling in cold climates (</w:t>
      </w:r>
      <w:bookmarkStart w:id="219" w:name="UptimeInstitute2024txt"/>
      <w:hyperlink w:anchor="UptimeInstitute2024" w:history="1">
        <w:r>
          <w:rPr>
            <w:color w:val="1F3864"/>
            <w:u w:val="single"/>
          </w:rPr>
          <w:t xml:space="preserve">Uptime Institute 2024</w:t>
        </w:r>
      </w:hyperlink>
      <w:bookmarkEnd w:id="219"/>
      <w:r>
        <w:t xml:space="preserve">). The sensitivity coefficient </w:t>
      </w:r>
      <m:oMath>
        <m:r>
          <m:rPr>
            <m:sty m:val="i"/>
          </m:rPr>
          <w:rPr>
            <w:rFonts w:ascii="Cambria Math" w:hAnsi="Cambria Math"/>
          </w:rPr>
          <m:t xml:space="preserve">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220" w:name="Liu2023txt"/>
      <w:hyperlink w:anchor="Liu2023" w:history="1">
        <w:r>
          <w:rPr>
            <w:color w:val="1F3864"/>
            <w:u w:val="single"/>
          </w:rPr>
          <w:t xml:space="preserve">Liu et al. 2023</w:t>
        </w:r>
      </w:hyperlink>
      <w:bookmarkEnd w:id="220"/>
      <w:r>
        <w:t xml:space="preserve">). The threshold </w:t>
      </w:r>
      <m:oMath>
        <m:bar>
          <m:barPr>
            <m:pos m:val="top"/>
          </m:barPr>
          <m:e>
            <m:r>
              <m:rPr>
                <m:sty m:val="i"/>
              </m:rPr>
              <w:rPr>
                <w:rFonts w:ascii="Cambria Math" w:hAnsi="Cambria Math"/>
              </w:rPr>
              <m:t xml:space="preserve">θ</m:t>
            </m:r>
          </m:e>
        </m:bar>
        <m:r>
          <m:rPr>
            <m:sty m:val="p"/>
          </m:rPr>
          <w:rPr>
            <w:rFonts w:ascii="Cambria Math" w:hAnsi="Cambria Math"/>
          </w:rPr>
          <m:t xml:space="preserve"> = 15°C</m:t>
        </m:r>
      </m:oMath>
      <w:r>
        <w:t xml:space="preserve"> is the approximate outdoor temperature above which mechanical cooling is needed, below which free-air cooling suffices. Together, these yield PUE values from 1.08 (Iceland, Scandinavia) to 1.41 (UAE), consistent with the industry average of 1.56 (</w:t>
      </w:r>
      <w:bookmarkStart w:id="221" w:name="UptimeInstitute2024txt"/>
      <w:hyperlink w:anchor="UptimeInstitute2024" w:history="1">
        <w:r>
          <w:rPr>
            <w:color w:val="1F3864"/>
            <w:u w:val="single"/>
          </w:rPr>
          <w:t xml:space="preserve">Uptime Institute 2024</w:t>
        </w:r>
      </w:hyperlink>
      <w:bookmarkEnd w:id="221"/>
      <w:r>
        <w:t xml:space="preserve">).</w:t>
      </w:r>
      <w:r>
        <w:rPr>
          <w:rStyle w:val="FootnoteReference"/>
        </w:rPr>
        <w:footnoteReference w:id="13"/>
      </w:r>
    </w:p>
    <w:p>
      <w:pPr>
        <w:spacing w:before="0" w:after="160"/>
        <w:ind w:firstLine="0"/>
        <w:jc w:val="both"/>
      </w:pPr>
      <w:r>
        <w:rPr>
          <w:rFonts w:ascii="Times New Roman" w:hAnsi="Times New Roman"/>
          <w:b w:val="0"/>
          <w:i/>
          <w:sz w:val="24"/>
        </w:rPr>
        <w:t xml:space="preserve">Hardware. </w:t>
      </w:r>
      <w:r>
        <w:t xml:space="preserve">The calibration uses the NVIDIA H100 SXM GPU as the reference hardware platform, with a list price of $25,000, a power of 700W, an economic lifetime of 3 years, and a utilization rate 70% (</w:t>
      </w:r>
      <w:bookmarkStart w:id="222" w:name="Barroso2018txt"/>
      <w:hyperlink w:anchor="Barroso2018" w:history="1">
        <w:r>
          <w:rPr>
            <w:color w:val="1F3864"/>
            <w:u w:val="single"/>
          </w:rPr>
          <w:t xml:space="preserve">Barroso et al. 2018</w:t>
        </w:r>
      </w:hyperlink>
      <w:bookmarkEnd w:id="222"/>
      <w:r>
        <w:t xml:space="preserve">). This yields an amortized hardware cost </w:t>
      </w:r>
      <m:oMath>
        <m:r>
          <m:rPr>
            <m:sty m:val="i"/>
          </m:rPr>
          <w:rPr>
            <w:rFonts w:ascii="Cambria Math" w:hAnsi="Cambria Math"/>
          </w:rPr>
          <m:t xml:space="preserve">ρ</m:t>
        </m:r>
        <m:r>
          <m:rPr>
            <m:sty m:val="p"/>
          </m:rPr>
          <w:rPr>
            <w:rFonts w:ascii="Cambria Math" w:hAnsi="Cambria Math"/>
          </w:rPr>
          <m:t xml:space="preserve"> = $1.358</m:t>
        </m:r>
      </m:oMath>
      <w:r>
        <w:t xml:space="preserve">/hr. Networking costs are calibrated at </w:t>
      </w:r>
      <m:oMath>
        <m:r>
          <m:rPr>
            <m:sty m:val="i"/>
          </m:rPr>
          <w:rPr>
            <w:rFonts w:ascii="Cambria Math" w:hAnsi="Cambria Math"/>
          </w:rPr>
          <m:t xml:space="preserve">η</m:t>
        </m:r>
        <m:r>
          <m:rPr>
            <m:sty m:val="p"/>
          </m:rPr>
          <w:rPr>
            <w:rFonts w:ascii="Cambria Math" w:hAnsi="Cambria Math"/>
          </w:rPr>
          <m:t xml:space="preserve"> = $0.15</m:t>
        </m:r>
      </m:oMath>
      <w:r>
        <w:t xml:space="preserve">/hr, based on the same three-year horizon (</w:t>
      </w:r>
      <w:bookmarkStart w:id="223" w:name="Barroso2018txt"/>
      <w:hyperlink w:anchor="Barroso2018" w:history="1">
        <w:r>
          <w:rPr>
            <w:color w:val="1F3864"/>
            <w:u w:val="single"/>
          </w:rPr>
          <w:t xml:space="preserve">Barroso et al. 2018</w:t>
        </w:r>
      </w:hyperlink>
      <w:bookmarkEnd w:id="223"/>
      <w:r>
        <w:t xml:space="preserve">). GPU and networking equipment prices are assumed to be uniform across countries.</w:t>
      </w:r>
    </w:p>
    <w:p>
      <w:pPr>
        <w:spacing w:before="0" w:after="160"/>
        <w:ind w:firstLine="0"/>
        <w:jc w:val="both"/>
      </w:pPr>
      <w:r>
        <w:rPr>
          <w:rFonts w:ascii="Times New Roman" w:hAnsi="Times New Roman"/>
          <w:b w:val="0"/>
          <w:i/>
          <w:sz w:val="24"/>
        </w:rPr>
        <w:t xml:space="preserve">Latency degradation. </w:t>
      </w:r>
      <w:r>
        <w:t xml:space="preserve">The parameter </w:t>
      </w:r>
      <m:oMath>
        <m:r>
          <m:rPr>
            <m:sty m:val="i"/>
          </m:rPr>
          <w:rPr>
            <w:rFonts w:ascii="Cambria Math" w:hAnsi="Cambria Math"/>
          </w:rPr>
          <m:t xml:space="preserve">τ</m:t>
        </m:r>
      </m:oMath>
      <w:r>
        <w:t xml:space="preserve"> is set at </w:t>
      </w:r>
      <m:oMath>
        <m:r>
          <m:rPr>
            <m:sty m:val="i"/>
          </m:rPr>
          <w:rPr>
            <w:rFonts w:ascii="Cambria Math" w:hAnsi="Cambria Math"/>
          </w:rPr>
          <m:t xml:space="preserve">τ</m:t>
        </m:r>
        <m:r>
          <m:rPr>
            <m:sty m:val="p"/>
          </m:rPr>
          <w:rPr>
            <w:rFonts w:ascii="Cambria Math" w:hAnsi="Cambria Math"/>
          </w:rPr>
          <m:t xml:space="preserve"> = 0.0008</m:t>
        </m:r>
        <m:r>
          <m:rPr>
            <m:sty m:val="p"/>
          </m:rPr>
          <w:rPr>
            <w:rFonts w:ascii="Cambria Math" w:hAnsi="Cambria Math"/>
          </w:rPr>
          <m:t xml:space="preserve"> per ms</m:t>
        </m:r>
      </m:oMath>
      <w:r>
        <w:t xml:space="preserve">, implying that 100 ms of round-trip latency (roughly the intercontinental round-trip between Europe and East Asia) inflates inference cost by 8%, consistent with the finding in </w:t>
      </w:r>
      <w:bookmarkStart w:id="224" w:name="Deloitte2020txt"/>
      <w:hyperlink w:anchor="Deloitte2020" w:history="1">
        <w:r>
          <w:rPr>
            <w:color w:val="1F3864"/>
            <w:u w:val="single"/>
          </w:rPr>
          <w:t xml:space="preserve">Deloitte (2020)</w:t>
        </w:r>
      </w:hyperlink>
      <w:bookmarkEnd w:id="224"/>
      <w:r>
        <w:t xml:space="preserve"> for e-commerce. </w:t>
      </w:r>
    </w:p>
    <w:p>
      <w:pPr>
        <w:spacing w:before="0" w:after="160"/>
        <w:ind w:firstLine="0"/>
        <w:jc w:val="both"/>
      </w:pPr>
      <w:r>
        <w:rPr>
          <w:rFonts w:ascii="Times New Roman" w:hAnsi="Times New Roman"/>
          <w:b w:val="0"/>
          <w:i/>
          <w:sz w:val="24"/>
        </w:rPr>
        <w:t xml:space="preserve">Sovereignty premium. </w:t>
      </w: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is constructed from geopolitical distance, regulatory compatibility, and sanctions exposure, (</w:t>
      </w:r>
      <w:bookmarkStart w:id="901" w:name="Eq2txt901"/>
      <w:hyperlink w:anchor="Eq2" w:history="1">
        <w:r>
          <w:rPr>
            <w:color w:val="1F3864"/>
            <w:u w:val="single"/>
          </w:rPr>
          <w:t xml:space="preserve">eq. (2)</w:t>
        </w:r>
      </w:hyperlink>
      <w:bookmarkEnd w:id="901"/>
      <w:r>
        <w:t xml:space="preserve">), with coefficient weights </w:t>
      </w:r>
      <m:oMath>
        <m:sSub>
          <m:sSubPr/>
          <m:e>
            <m:r>
              <m:rPr>
                <m:sty m:val="i"/>
              </m:rPr>
              <w:rPr>
                <w:rFonts w:ascii="Cambria Math" w:hAnsi="Cambria Math"/>
              </w:rPr>
              <m:t xml:space="preserve">α</m:t>
            </m:r>
          </m:e>
          <m:sub>
            <m:r>
              <m:rPr>
                <m:sty m:val="i"/>
              </m:rPr>
              <w:rPr>
                <w:rFonts w:ascii="Cambria Math" w:hAnsi="Cambria Math"/>
              </w:rPr>
              <m:t xml:space="preserve">1</m:t>
            </m:r>
          </m:sub>
        </m:sSub>
        <m:r>
          <m:rPr>
            <m:sty m:val="p"/>
          </m:rPr>
          <w:rPr>
            <w:rFonts w:ascii="Cambria Math" w:hAnsi="Cambria Math"/>
          </w:rPr>
          <m:t xml:space="preserve"> = 0.08</m:t>
        </m:r>
      </m:oMath>
      <w:r>
        <w:t xml:space="preserve"> (geopolitical distance), </w:t>
      </w:r>
      <m:oMath>
        <m:sSub>
          <m:sSubPr/>
          <m:e>
            <m:r>
              <m:rPr>
                <m:sty m:val="i"/>
              </m:rPr>
              <w:rPr>
                <w:rFonts w:ascii="Cambria Math" w:hAnsi="Cambria Math"/>
              </w:rPr>
              <m:t xml:space="preserve">α</m:t>
            </m:r>
          </m:e>
          <m:sub>
            <m:r>
              <m:rPr>
                <m:sty m:val="i"/>
              </m:rPr>
              <w:rPr>
                <w:rFonts w:ascii="Cambria Math" w:hAnsi="Cambria Math"/>
              </w:rPr>
              <m:t xml:space="preserve">2</m:t>
            </m:r>
          </m:sub>
        </m:sSub>
        <m:r>
          <m:rPr>
            <m:sty m:val="p"/>
          </m:rPr>
          <w:rPr>
            <w:rFonts w:ascii="Cambria Math" w:hAnsi="Cambria Math"/>
          </w:rPr>
          <m:t xml:space="preserve"> = 0.04</m:t>
        </m:r>
      </m:oMath>
      <w:r>
        <w:t xml:space="preserve"> (regulatory incompatibility), and </w:t>
      </w:r>
      <m:oMath>
        <m:sSub>
          <m:sSubPr/>
          <m:e>
            <m:r>
              <m:rPr>
                <m:sty m:val="i"/>
              </m:rPr>
              <w:rPr>
                <w:rFonts w:ascii="Cambria Math" w:hAnsi="Cambria Math"/>
              </w:rPr>
              <m:t xml:space="preserve">α</m:t>
            </m:r>
          </m:e>
          <m:sub>
            <m:r>
              <m:rPr>
                <m:sty m:val="i"/>
              </m:rPr>
              <w:rPr>
                <w:rFonts w:ascii="Cambria Math" w:hAnsi="Cambria Math"/>
              </w:rPr>
              <m:t xml:space="preserve">3</m:t>
            </m:r>
          </m:sub>
        </m:sSub>
        <m:r>
          <m:rPr>
            <m:sty m:val="p"/>
          </m:rPr>
          <w:rPr>
            <w:rFonts w:ascii="Cambria Math" w:hAnsi="Cambria Math"/>
          </w:rPr>
          <m:t xml:space="preserve"> = 0.10</m:t>
        </m:r>
      </m:oMath>
      <w:r>
        <w:t xml:space="preserve"> (sanctions). For sanctioned pairs,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oMath>
      <w:r>
        <w:t xml:space="preserve"> (trade is prohibited). For allies with mutual data-adequacy agreements (e.g., EU member states),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For non-adversarial pairs without regulatory agreements,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falls in the range 0.05–0.10.</w:t>
      </w:r>
      <w:r>
        <w:rPr>
          <w:rStyle w:val="FootnoteReference"/>
        </w:rPr>
        <w:footnoteReference w:id="15"/>
      </w:r>
      <w:r>
        <w:t xml:space="preserve"> As a robustness check, we also report results under a uniform premium </w:t>
      </w:r>
      <m:oMath>
        <m:r>
          <m:rPr>
            <m:sty m:val="i"/>
          </m:rPr>
          <w:rPr>
            <w:rFonts w:ascii="Cambria Math" w:hAnsi="Cambria Math"/>
          </w:rPr>
          <m:t xml:space="preserve">λ</m:t>
        </m:r>
        <m:r>
          <m:rPr>
            <m:sty m:val="p"/>
          </m:rPr>
          <w:rPr>
            <w:rFonts w:ascii="Cambria Math" w:hAnsi="Cambria Math"/>
          </w:rPr>
          <m:t xml:space="preserve"> = 10%</m:t>
        </m:r>
      </m:oMath>
      <w:r>
        <w:t xml:space="preserve">. The training share of compute demand is </w:t>
      </w:r>
      <m:oMath>
        <m:r>
          <m:rPr>
            <m:sty m:val="i"/>
          </m:rPr>
          <w:rPr>
            <w:rFonts w:ascii="Cambria Math" w:hAnsi="Cambria Math"/>
          </w:rPr>
          <m:t xml:space="preserve">α</m:t>
        </m:r>
        <m:r>
          <m:rPr>
            <m:sty m:val="p"/>
          </m:rPr>
          <w:rPr>
            <w:rFonts w:ascii="Cambria Math" w:hAnsi="Cambria Math"/>
          </w:rPr>
          <m:t xml:space="preserve"> = 0.50</m:t>
        </m:r>
      </m:oMath>
      <w:r>
        <w:t xml:space="preserve">, within the industry range of 0.4–0.6 (</w:t>
      </w:r>
      <w:bookmarkStart w:id="225" w:name="Deloitte2025txt"/>
      <w:hyperlink w:anchor="Deloitte2025" w:history="1">
        <w:r>
          <w:rPr>
            <w:color w:val="1F3864"/>
            <w:u w:val="single"/>
          </w:rPr>
          <w:t xml:space="preserve">Deloitte 2025</w:t>
        </w:r>
      </w:hyperlink>
      <w:bookmarkEnd w:id="225"/>
      <w:r>
        <w:t xml:space="preserve">). Construction costs are amortized over 15 years.</w:t>
      </w:r>
    </w:p>
    <w:p>
      <w:pPr>
        <w:spacing w:before="0" w:after="160"/>
        <w:ind w:firstLine="0"/>
        <w:jc w:val="both"/>
      </w:pPr>
      <w:r>
        <w:rPr>
          <w:rFonts w:ascii="Times New Roman" w:hAnsi="Times New Roman"/>
          <w:b w:val="0"/>
          <w:i/>
          <w:sz w:val="24"/>
        </w:rPr>
        <w:t xml:space="preserve">Production efficiency. </w:t>
      </w:r>
      <w:r>
        <w:t xml:space="preserve">The production-efficiency index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oMath>
      <w:r>
        <w:t xml:space="preserve"> (</w:t>
      </w:r>
      <w:bookmarkStart w:id="902" w:name="Eq3txt902"/>
      <w:hyperlink w:anchor="Eq3" w:history="1">
        <w:r>
          <w:rPr>
            <w:color w:val="1F3864"/>
            <w:u w:val="single"/>
          </w:rPr>
          <w:t xml:space="preserve">eq. (3)</w:t>
        </w:r>
      </w:hyperlink>
      <w:bookmarkEnd w:id="902"/>
      <w:r>
        <w:t xml:space="preserve">) combines a weighted geometric mean of governance quality and grid reliability (weight </w:t>
      </w:r>
      <m:oMath>
        <m:r>
          <m:rPr>
            <m:sty m:val="i"/>
          </m:rPr>
          <w:rPr>
            <w:rFonts w:ascii="Cambria Math" w:hAnsi="Cambria Math"/>
          </w:rPr>
          <m:t xml:space="preserve">ω</m:t>
        </m:r>
        <m:r>
          <m:rPr>
            <m:sty m:val="p"/>
          </m:rPr>
          <w:rPr>
            <w:rFonts w:ascii="Cambria Math" w:hAnsi="Cambria Math"/>
          </w:rPr>
          <m:t xml:space="preserve"> = 0.50</m:t>
        </m:r>
      </m:oMath>
      <w:r>
        <w:t xml:space="preserve"> on governance) with an institutional floor </w:t>
      </w:r>
      <m:oMath>
        <m:sSub>
          <m:sSubPr/>
          <m:e>
            <m:r>
              <m:rPr>
                <m:sty m:val="i"/>
              </m:rPr>
              <w:rPr>
                <w:rFonts w:ascii="Cambria Math" w:hAnsi="Cambria Math"/>
              </w:rPr>
              <m:t xml:space="preserve">ξ</m:t>
            </m:r>
          </m:e>
          <m:sub>
            <m:r>
              <m:rPr>
                <m:sty m:val="i"/>
              </m:rPr>
              <w:rPr>
                <w:rFonts w:ascii="Cambria Math" w:hAnsi="Cambria Math"/>
              </w:rPr>
              <m:t xml:space="preserve">floor</m:t>
            </m:r>
          </m:sub>
        </m:sSub>
        <m:r>
          <m:rPr>
            <m:sty m:val="p"/>
          </m:rPr>
          <w:rPr>
            <w:rFonts w:ascii="Cambria Math" w:hAnsi="Cambria Math"/>
          </w:rPr>
          <m:t xml:space="preserve"> = 0.30</m:t>
        </m:r>
      </m:oMath>
      <w:r>
        <w:t xml:space="preserve">. The equal weighting reflects the enclave character of data center operations: hyperscale facilities maintain independent backup power, making general grid reliability a weak predictor of data center uptime. Governance captures contract enforcement, expropriation risk, and regulatory stability, none of which can be mitigated through private infrastructure investment. The institutional floor reflects the minimum operational quality achievable through special economic zone provisions and international arbitration (</w:t>
      </w:r>
      <w:bookmarkStart w:id="255" w:name="Farole2011txt"/>
      <w:hyperlink w:anchor="Farole2011" w:history="1">
        <w:r>
          <w:rPr>
            <w:color w:val="1F3864"/>
            <w:u w:val="single"/>
          </w:rPr>
          <w:t xml:space="preserve">Farole 2011</w:t>
        </w:r>
      </w:hyperlink>
      <w:bookmarkEnd w:id="255"/>
      <w:r>
        <w:t xml:space="preserve">; </w:t>
      </w:r>
      <w:bookmarkStart w:id="247" w:name="WorldBank2017txt"/>
      <w:hyperlink w:anchor="WorldBank2017" w:history="1">
        <w:r>
          <w:rPr>
            <w:color w:val="1F3864"/>
            <w:u w:val="single"/>
          </w:rPr>
          <w:t xml:space="preserve">World Bank 2017</w:t>
        </w:r>
      </w:hyperlink>
      <w:bookmarkEnd w:id="247"/>
      <w:r>
        <w:t xml:space="preserve">; </w:t>
      </w:r>
      <w:bookmarkStart w:id="226" w:name="Frick2019txt"/>
      <w:hyperlink w:anchor="Frick2019" w:history="1">
        <w:r>
          <w:rPr>
            <w:color w:val="1F3864"/>
            <w:u w:val="single"/>
          </w:rPr>
          <w:t xml:space="preserve">Frick, Rodríguez-Pose, and Wong 2019</w:t>
        </w:r>
      </w:hyperlink>
      <w:bookmarkEnd w:id="226"/>
      <w:r>
        <w:t xml:space="preserve">). The floor is a political parameter, not a technological one: it depends on the durability of institutional commitments — power purchase agreements, SEZ provisions, arbitration clauses — that can be revoked if the political economy shifts. The efficiency adjustment operates only on the country-specific cost component (equation 3), since hardware is globally priced. For OECD countries, </w:t>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r>
          <m:rPr>
            <m:sty m:val="p"/>
          </m:rPr>
          <w:rPr>
            <w:rFonts w:ascii="Cambria Math" w:hAnsi="Cambria Math"/>
          </w:rPr>
          <m:t xml:space="preserve"> ≈ 1</m:t>
        </m:r>
      </m:oMath>
      <w:r>
        <w:t xml:space="preserve">. Developing countries face moderate penalties (e.g., Kyrgyzstan: 0.29, Uzbekistan: 0.40, Ethiopia: 0.38). Sensitivity to both </w:t>
      </w:r>
      <m:oMath>
        <m:r>
          <m:rPr>
            <m:sty m:val="i"/>
          </m:rPr>
          <w:rPr>
            <w:rFonts w:ascii="Cambria Math" w:hAnsi="Cambria Math"/>
          </w:rPr>
          <m:t xml:space="preserve">ω</m:t>
        </m:r>
      </m:oMath>
      <w:r>
        <w:t xml:space="preserve"> and </w:t>
      </w:r>
      <m:oMath>
        <m:sSub>
          <m:sSubPr/>
          <m:e>
            <m:r>
              <m:rPr>
                <m:sty m:val="i"/>
              </m:rPr>
              <w:rPr>
                <w:rFonts w:ascii="Cambria Math" w:hAnsi="Cambria Math"/>
              </w:rPr>
              <m:t xml:space="preserve">ξ</m:t>
            </m:r>
          </m:e>
          <m:sub>
            <m:r>
              <m:rPr>
                <m:sty m:val="i"/>
              </m:rPr>
              <w:rPr>
                <w:rFonts w:ascii="Cambria Math" w:hAnsi="Cambria Math"/>
              </w:rPr>
              <m:t xml:space="preserve">floor</m:t>
            </m:r>
          </m:sub>
        </m:sSub>
      </m:oMath>
      <w:r>
        <w:t xml:space="preserve"> is examined in Section 7.</w:t>
      </w:r>
    </w:p>
    <w:p>
      <w:pPr>
        <w:spacing w:before="0" w:after="160"/>
        <w:ind w:firstLine="0"/>
        <w:jc w:val="both"/>
      </w:pPr>
      <w:bookmarkStart w:id="103" w:name="Table2txt"/>
      <w:hyperlink w:anchor="Table2" w:history="1">
        <w:r>
          <w:rPr>
            <w:color w:val="1F3864"/>
            <w:u w:val="single"/>
          </w:rPr>
          <w:t xml:space="preserve">Table 2</w:t>
        </w:r>
      </w:hyperlink>
      <w:bookmarkEnd w:id="103"/>
      <w:r>
        <w:t xml:space="preserve"> reports all model parameters. Country-specific values, including electricity prices, temperatures, construction costs, and resulting unit costs, are reported in </w:t>
      </w:r>
      <w:bookmarkStart w:id="100" w:name="TableA1txt"/>
      <w:hyperlink w:anchor="TableA1" w:history="1">
        <w:r>
          <w:rPr>
            <w:color w:val="1F3864"/>
            <w:u w:val="single"/>
          </w:rPr>
          <w:t xml:space="preserve">Table A1</w:t>
        </w:r>
      </w:hyperlink>
      <w:bookmarkEnd w:id="100"/>
      <w:r>
        <w:t>.</w:t>
      </w:r>
    </w:p>
    <w:p>
      <w:pPr>
        <w:pStyle w:val="Heading2"/>
      </w:pPr>
      <w:r>
        <w:rPr>
          <w:rFonts w:ascii="Times New Roman" w:hAnsi="Times New Roman"/>
          <w:b w:val="0"/>
          <w:i/>
          <w:color w:val="2F5496"/>
          <w:sz w:val="24"/>
        </w:rPr>
        <w:t>6.2 Cost Rankings and Trade Patterns</w:t>
      </w:r>
    </w:p>
    <w:p>
      <w:pPr>
        <w:spacing w:before="0" w:after="160"/>
        <w:ind w:firstLine="0"/>
        <w:jc w:val="both"/>
      </w:pPr>
      <w:bookmarkStart w:id="150" w:name="Figure1calstxt"/>
      <w:hyperlink w:anchor="Figure1cals" w:history="1">
        <w:r>
          <w:rPr>
            <w:color w:val="1F3864"/>
            <w:u w:val="single"/>
          </w:rPr>
          <w:t xml:space="preserve">Figure 1</w:t>
        </w:r>
      </w:hyperlink>
      <w:bookmarkEnd w:id="150"/>
      <w:r>
        <w:t xml:space="preserve"> summarizes the calibration strategy. The analysis proceeds by adjusting production costs, applying trade frictions, and introducing hyperscaler FDI as a trust channel.</w:t>
      </w:r>
    </w:p>
    <w:p>
      <w:pPr>
        <w:spacing w:before="0" w:after="160"/>
        <w:ind w:firstLine="0"/>
        <w:jc w:val="both"/>
      </w:pPr>
      <w:r>
        <w:t xml:space="preserve">Under observed electricity tariffs and without efficiency adjustment, the cheapest producer in our sample of 85 countries is Iran, followed by Turkmenistan and Ethiopia (Column (1) of </w:t>
      </w:r>
      <w:bookmarkStart w:id="112" w:name="Table3txt"/>
      <w:hyperlink w:anchor="Table3" w:history="1">
        <w:r>
          <w:rPr>
            <w:color w:val="1F3864"/>
            <w:u w:val="single"/>
          </w:rPr>
          <w:t xml:space="preserve">Table 3a</w:t>
        </w:r>
      </w:hyperlink>
      <w:bookmarkEnd w:id="112"/>
      <w:r>
        <w:t xml:space="preserve">). But this ranking is misleading. Iran’s headline electricity cost rests on one of the world’s largest fossil fuel subsidies. Turkmenistan, Algeria, Qatar, and several other low-cost producers face similar distortions. </w:t>
      </w:r>
    </w:p>
    <w:p>
      <w:pPr>
        <w:spacing w:before="0" w:after="160"/>
        <w:ind w:firstLine="0"/>
        <w:jc w:val="both"/>
      </w:pPr>
      <w:r>
        <w:t xml:space="preserve">We replace subsidized tariffs with cost-recovery prices to distinguish real comparative advantage from fiscal artifact. The cost-recovery prices are defined as the long-run marginal cost (LRMC) of the dominant generation technology at opportunity-cost fuel prices (</w:t>
      </w:r>
      <w:bookmarkStart w:id="248" w:name="IMF2025txt"/>
      <w:hyperlink w:anchor="IMF2025" w:history="1">
        <w:r>
          <w:rPr>
            <w:color w:val="1F3864"/>
            <w:u w:val="single"/>
          </w:rPr>
          <w:t xml:space="preserve">IMF 2025</w:t>
        </w:r>
      </w:hyperlink>
      <w:bookmarkEnd w:id="248"/>
      <w:r>
        <w:t xml:space="preserve">, </w:t>
      </w:r>
      <w:bookmarkStart w:id="227" w:name="Lazard2025txt"/>
      <w:hyperlink w:anchor="Lazard2025" w:history="1">
        <w:r>
          <w:rPr>
            <w:color w:val="1F3864"/>
            <w:u w:val="single"/>
          </w:rPr>
          <w:t xml:space="preserve">Lazard 2025</w:t>
        </w:r>
      </w:hyperlink>
      <w:bookmarkEnd w:id="227"/>
      <w:r>
        <w:t xml:space="preserve">). We apply this adjustment to 13 countries whose retail electricity prices fall below the estimated LRMC.</w:t>
      </w:r>
      <w:r>
        <w:rPr>
          <w:rStyle w:val="FootnoteReference"/>
        </w:rPr>
        <w:footnoteReference w:id="16"/>
      </w:r>
      <w:r>
        <w:t xml:space="preserve"> The subsidy gap ranges from $0.019 to $0.080/kWh. For Iran, a 100 MW IT-load data center would receive roughly $93 million per year in implicit fiscal transfer. At hyperscale scale, such subsidies are fiscally unsustainable. The resulting cost-recovery ranking (column (2) of </w:t>
      </w:r>
      <w:hyperlink w:anchor="Table3" w:history="1">
        <w:r>
          <w:rPr>
            <w:color w:val="1F3864"/>
            <w:u w:val="single"/>
          </w:rPr>
          <w:t xml:space="preserve">Table 3a</w:t>
        </w:r>
      </w:hyperlink>
      <w:r>
        <w:t>) shifts the top of the ranking toward hydropower-rich countries: Kyrgyzstan, Canada, Ethiopia, Kosovo, and Tajikistan. Iran drops from first to 21st. 33 countries change their trade regimes.</w:t>
      </w:r>
    </w:p>
    <w:p>
      <w:pPr>
        <w:spacing w:before="0" w:after="160"/>
        <w:ind w:firstLine="0"/>
        <w:jc w:val="both"/>
      </w:pPr>
      <w:r>
        <w:t>Cost advantages must be weighed against institutional quality. Private infrastructure mitigates grid unreliability, but governance weaknesses lie outside the investor’s control. Efficiency adjustment applies only to the country-specific cost component (energy procurement, cooling infrastructure, construction, and grid connection), assigning equal weight to governance quality and grid reliability (</w:t>
      </w:r>
      <m:oMath>
        <m:r>
          <m:rPr>
            <m:sty m:val="i"/>
          </m:rPr>
          <w:rPr>
            <w:rFonts w:ascii="Cambria Math" w:hAnsi="Cambria Math"/>
          </w:rPr>
          <m:t xml:space="preserve">ω</m:t>
        </m:r>
        <m:r>
          <m:rPr>
            <m:sty m:val="p"/>
          </m:rPr>
          <w:rPr>
            <w:rFonts w:ascii="Cambria Math" w:hAnsi="Cambria Math"/>
          </w:rPr>
          <m:t xml:space="preserve"> = 0.50</m:t>
        </m:r>
      </m:oMath>
      <w:r>
        <w:t xml:space="preserve">). Column (3) of </w:t>
      </w:r>
      <w:hyperlink w:anchor="Table3" w:history="1">
        <w:r>
          <w:rPr>
            <w:color w:val="1F3864"/>
            <w:u w:val="single"/>
          </w:rPr>
          <w:t xml:space="preserve">Table 3a</w:t>
        </w:r>
      </w:hyperlink>
      <w:r>
        <w:t xml:space="preserve"> reports the efficiency-adjusted ranking (</w:t>
      </w:r>
      <w:bookmarkStart w:id="141" w:name="TableA2txt"/>
      <w:hyperlink w:anchor="TableA2" w:history="1">
        <w:r>
          <w:rPr>
            <w:color w:val="1F3864"/>
            <w:u w:val="single"/>
          </w:rPr>
          <w:t xml:space="preserve">Table A2</w:t>
        </w:r>
      </w:hyperlink>
      <w:bookmarkEnd w:id="141"/>
      <w:r>
        <w:t xml:space="preserve"> extends it to all countries). Under cost-recovery pricing with efficiency adjustment, the five cheapest producers are </w:t>
      </w:r>
      <w:r>
        <w:t xml:space="preserve">Canada, Norway, Finland, Sweden, and Iceland. </w:t>
      </w:r>
      <w:r>
        <w:t xml:space="preserve">All top-fifteen producers are OECD member states; China, the highest-ranked developing country, appears at rank 19. The Δ column shows the rank change from raw tariffs to the preferred specification (column 1 to column 4): Turkmenistan drops 83 places, Tajikistan drops 71, while Denmark and Iceland rise 54 places. Countries that combine cheap energy with strong institutions retain their cost advantage after governance adjustment, while those with very weak governance (Turkmenistan, Tajikistan, Russia) lose ground. Because hardware dominates unit costs, the remaining cross-country variation is narrow, and even modest governance penalties reshuffle adjacent ranks. Cheap energy is necessary but not sufficient for FLOP exporting. </w:t>
      </w:r>
      <w:bookmarkStart w:id="121" w:name="Figure2txt"/>
      <w:hyperlink w:anchor="Figure2" w:history="1">
        <w:r>
          <w:rPr>
            <w:color w:val="1F3864"/>
            <w:u w:val="single"/>
          </w:rPr>
          <w:t xml:space="preserve">Figure 2</w:t>
        </w:r>
      </w:hyperlink>
      <w:bookmarkEnd w:id="121"/>
      <w:r>
        <w:t xml:space="preserve"> illustrates the resulting rank reshuffling. </w:t>
      </w:r>
    </w:p>
    <w:p>
      <w:pPr>
        <w:spacing w:before="0" w:after="160"/>
        <w:ind w:firstLine="0"/>
        <w:jc w:val="both"/>
      </w:pPr>
      <w:r>
        <w:t xml:space="preserve">The gap between cost-based comparative advantage and actual investment is wide. Among the twenty cheapest producers after efficiency adjustment, four have less than 100 MW of installed data center capacity: Iceland (rank 5, 60 MW), Luxembourg (rank 10, 70 MW), Estonia (rank 17, 50 MW), Latvia (rank 20, 80 MW). Meanwhile, several countries outside the top twenty host large data center clusters: the Netherlands (rank 13, 1,800 MW), Ireland (rank 36, 1,260 MW), and Singapore (rank 31, 1,130 MW). These patterns reflect agglomeration economies, hyperscaler location strategies, and network infrastructure that the cost-based ranking captures only through the capacity ceiling </w:t>
      </w:r>
      <m:oMath>
        <m:sSub>
          <m:sSubPr/>
          <m:e>
            <m:r>
              <m:rPr>
                <m:sty m:val="i"/>
              </m:rPr>
              <w:rPr>
                <w:rFonts w:ascii="Cambria Math" w:hAnsi="Cambria Math"/>
              </w:rPr>
              <m:t xml:space="preserve">K̄</m:t>
            </m:r>
          </m:e>
          <m:sub>
            <m:r>
              <m:rPr>
                <m:sty m:val="i"/>
              </m:rPr>
              <w:rPr>
                <w:rFonts w:ascii="Cambria Math" w:hAnsi="Cambria Math"/>
              </w:rPr>
              <m:t xml:space="preserve">j</m:t>
            </m:r>
          </m:sub>
        </m:sSub>
      </m:oMath>
      <w:r>
        <w:t>. The cost ranking should therefore be read as identifying the feasible set of exporters, not predicting which countries will attract investment absent the institutional and market-structure conditions discussed in Section 7.</w:t>
      </w:r>
    </w:p>
    <w:p>
      <w:pPr>
        <w:spacing w:before="0" w:after="160"/>
        <w:ind w:firstLine="0"/>
        <w:jc w:val="both"/>
      </w:pP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reshapes trade patterns along geopolitical lines. Between allies with mutual data adequacy agreements (e.g., EU member states), the effective premium is near zero. For geopolitical adversaries, it is effectively infinite—the United States would not source training from Iran regardless of cost, and current sanctions make such transactions illegal. Column (4) of </w:t>
      </w:r>
      <w:bookmarkStart w:id="115" w:name="Table3btxt"/>
      <w:hyperlink w:anchor="Table3b" w:history="1">
        <w:r>
          <w:rPr>
            <w:color w:val="1F3864"/>
            <w:u w:val="single"/>
          </w:rPr>
          <w:t xml:space="preserve">Table 3b</w:t>
        </w:r>
      </w:hyperlink>
      <w:bookmarkEnd w:id="115"/>
      <w:r>
        <w:t xml:space="preserve"> reports the bilateral specification. The last column reports the switching threshold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from Proposition 3. The threshold is negative whenever a country’s unit cost lies below the equilibrium price, with the magnitude measuring the cost cushion available to absorb sovereignty frictions before the country loses export competitiveness. Canada’s large negative value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−1.4%</m:t>
        </m:r>
      </m:oMath>
      <w:r>
        <w:t xml:space="preserve">) means buyers could impose a substantial sovereignty premium and still find Canadian compute cheaper than the marginal supplier; values closer to zero flag thinner cost advantages more easily erased by sovereignty frictions (Japan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−9.4%</m:t>
        </m:r>
      </m:oMath>
      <w:r>
        <w:t xml:space="preserve">, China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−7.6%</m:t>
        </m:r>
      </m:oMath>
      <w:r>
        <w:t xml:space="preserve">, Switzerland </w:t>
      </w:r>
      <m:oMath>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−8.5%</m:t>
        </m:r>
      </m:oMath>
      <w:r>
        <w:t>). The bilateral sovereignty premium is particularly powerful for inference, since the latency markup within Europe is moderate (10–40 ms, adding 1–3%), and even a small domestic preference can tip the decision away from importing.</w:t>
      </w:r>
    </w:p>
    <w:p>
      <w:pPr>
        <w:spacing w:before="0" w:after="160"/>
        <w:ind w:firstLine="0"/>
        <w:jc w:val="both"/>
      </w:pPr>
      <w:r>
        <w:rPr>
          <w:rFonts w:ascii="Times New Roman" w:hAnsi="Times New Roman"/>
          <w:b w:val="0"/>
          <w:i/>
          <w:sz w:val="24"/>
        </w:rPr>
        <w:t xml:space="preserve">Trade flows under capacity constraints. </w:t>
      </w:r>
      <w:r>
        <w:t xml:space="preserve">Weighing the sourcing patterns by demand shares from </w:t>
      </w:r>
      <w:bookmarkStart w:id="903" w:name="Eq4txt903"/>
      <w:hyperlink w:anchor="Eq4" w:history="1">
        <w:r>
          <w:rPr>
            <w:color w:val="1F3864"/>
            <w:u w:val="single"/>
          </w:rPr>
          <w:t xml:space="preserve">equation (4)</w:t>
        </w:r>
      </w:hyperlink>
      <w:bookmarkEnd w:id="903"/>
      <w:r>
        <w:t xml:space="preserve"> and applying capacity constraints, 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$1.60</m:t>
        </m:r>
      </m:oMath>
      <w:r>
        <w:t xml:space="preserve">/hr, set by the marginal exporter’s cost. Training demand is served by 1 exporter (HHI = 1.00), confirming Proposition 2. </w:t>
      </w:r>
      <w:r>
        <w:t>Under the bilateral sovereignty premium, most training demand shifts to domestic production, and the residual export market is served by a single exporter at $1.60/hr.</w:t>
      </w:r>
    </w:p>
    <w:p>
      <w:pPr>
        <w:spacing w:before="0" w:after="160"/>
        <w:ind w:firstLine="0"/>
        <w:jc w:val="both"/>
      </w:pPr>
      <w:r>
        <w:t xml:space="preserve">Inference exports are more dispersed, with the top five exporters being Canada (45%), Finland (7%), Norway (7%), Singapore (4%), and the United Arab Emirates (0.3%), collectively accounting for 63% of cross-border inference demand (HHI = 0.21). </w:t>
      </w:r>
    </w:p>
    <w:p>
      <w:pPr>
        <w:spacing w:before="0" w:after="160"/>
        <w:ind w:firstLine="0"/>
        <w:jc w:val="both"/>
      </w:pPr>
      <w:r>
        <w:rPr>
          <w:rFonts w:ascii="Times New Roman" w:hAnsi="Times New Roman"/>
          <w:b w:val="0"/>
          <w:i/>
          <w:sz w:val="24"/>
        </w:rPr>
        <w:t xml:space="preserve">Major demand centers. </w:t>
      </w:r>
      <w:r>
        <w:t>The model’s predictions vary across major AI demand centers because each faces a different latency geography. For the United States, the cost-recovery optimum sources training from the cheapest available producer, and inference from Canada. For Germany, inference is sourced from Norway, for the United Kingdom from Finland, and for France from Finland. For China, the cheapest foreign source of inference is Japan. Inference supply thus concentrates around latency-bounded regional hubs, each major market sourcing from a distinct nearby producer.</w:t>
      </w:r>
    </w:p>
    <w:p>
      <w:pPr>
        <w:spacing w:before="0" w:after="160"/>
        <w:ind w:firstLine="0"/>
        <w:jc w:val="both"/>
      </w:pPr>
      <w:r>
        <w:t>Under cost-recovery pricing, the narrow cost spread means that even a 10% sovereignty premium is sufficient to make domestic training viable for nearly all countries, leaving the share of global training demand available to foreign exporters negligible. Raising the premium to 20% shifts 1 additional country to domestic production, but the marginal effect is small. Inference exports are more resilient to sovereignty premia because the latency advantage of proximity partially insulates regional hubs. The ease with which modest premia eliminate trade explains the welfare costs documented below.</w:t>
      </w:r>
    </w:p>
    <w:p>
      <w:pPr>
        <w:spacing w:before="0" w:after="40"/>
        <w:ind w:firstLine="0"/>
        <w:jc w:val="both"/>
      </w:pPr>
      <w:r>
        <w:rPr>
          <w:rFonts w:ascii="Times New Roman" w:hAnsi="Times New Roman"/>
          <w:b w:val="0"/>
          <w:i/>
          <w:sz w:val="24"/>
        </w:rPr>
        <w:t xml:space="preserve">Hyperscaler FDI and the trust channel. </w:t>
      </w:r>
      <w:r>
        <w:t xml:space="preserve">The bilateral specification assumes that buyers evaluate the host country’s trustworthiness directly. In practice, the dominant delivery channel is hyperscaler FDI: AWS, Azure, or Google Cloud builds and operates the facility, and the buyer’s contract is with the hyperscaler, not the host government. Under this arrangement, the effective sovereignty premium reflects the buyer–operator relationship rather than the buyer–host-country relationship. For a facility in host country </w:t>
      </w:r>
      <m:oMath>
        <m:r>
          <m:rPr>
            <m:sty m:val="i"/>
          </m:rPr>
          <w:rPr>
            <w:rFonts w:ascii="Cambria Math" w:hAnsi="Cambria Math"/>
          </w:rPr>
          <m:t xml:space="preserve">j</m:t>
        </m:r>
      </m:oMath>
      <w:r>
        <w:t xml:space="preserve"> operated by a hyperscaler headquartered in country </w:t>
      </w:r>
      <m:oMath>
        <m:r>
          <m:rPr>
            <m:sty m:val="i"/>
          </m:rPr>
          <w:rPr>
            <w:rFonts w:ascii="Cambria Math" w:hAnsi="Cambria Math"/>
          </w:rPr>
          <m:t xml:space="preserve">h</m:t>
        </m:r>
      </m:oMath>
      <w:r>
        <w:t>, the effective premium becomes: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Sup>
                <m:sSubSupPr/>
                <m:e>
                  <m:r>
                    <m:rPr>
                      <m:sty m:val="i"/>
                    </m:rPr>
                    <w:rPr>
                      <w:rFonts w:ascii="Cambria Math" w:hAnsi="Cambria Math"/>
                    </w:rPr>
                    <m:t xml:space="preserve">λ</m:t>
                  </m:r>
                </m:e>
                <m:sub>
                  <m:r>
                    <m:rPr>
                      <m:sty m:val="i"/>
                    </m:rPr>
                    <w:rPr>
                      <w:rFonts w:ascii="Cambria Math" w:hAnsi="Cambria Math"/>
                    </w:rPr>
                    <m:t xml:space="preserve">jk</m:t>
                  </m:r>
                </m:sub>
                <m:sup>
                  <m:r>
                    <m:rPr>
                      <m:sty m:val="i"/>
                    </m:rPr>
                    <w:rPr>
                      <w:rFonts w:ascii="Cambria Math" w:hAnsi="Cambria Math"/>
                    </w:rPr>
                    <m:t xml:space="preserve">FDI</m:t>
                  </m:r>
                </m:sup>
              </m:sSubSup>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1</m:t>
                  </m:r>
                </m:sub>
              </m:sSub>
              <m:r>
                <m:rPr>
                  <m:sty m:val="p"/>
                </m:rPr>
                <w:rPr>
                  <w:rFonts w:ascii="Cambria Math" w:hAnsi="Cambria Math"/>
                </w:rPr>
                <m:t xml:space="preserve"> · </m:t>
              </m:r>
              <m:r>
                <m:rPr>
                  <m:sty m:val="i"/>
                </m:rPr>
                <w:rPr>
                  <w:rFonts w:ascii="Cambria Math" w:hAnsi="Cambria Math"/>
                </w:rPr>
                <m:t xml:space="preserve">G</m:t>
              </m:r>
              <m:r>
                <m:rPr>
                  <m:sty m:val="p"/>
                </m:rPr>
                <w:rPr>
                  <w:rFonts w:ascii="Cambria Math" w:hAnsi="Cambria Math"/>
                </w:rPr>
                <m:t xml:space="preserve">(</m:t>
              </m:r>
              <m:r>
                <m:rPr>
                  <m:sty m:val="i"/>
                </m:rPr>
                <w:rPr>
                  <w:rFonts w:ascii="Cambria Math" w:hAnsi="Cambria Math"/>
                </w:rPr>
                <m:t xml:space="preserve">h</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2</m:t>
                  </m:r>
                </m:sub>
              </m:sSub>
              <m:r>
                <m:rPr>
                  <m:sty m:val="p"/>
                </m:rPr>
                <w:rPr>
                  <w:rFonts w:ascii="Cambria Math" w:hAnsi="Cambria Math"/>
                </w:rPr>
                <m:t xml:space="preserve"> · (1 − </m:t>
              </m:r>
              <m:r>
                <m:rPr>
                  <m:sty m:val="i"/>
                </m:rPr>
                <w:rPr>
                  <w:rFonts w:ascii="Cambria Math" w:hAnsi="Cambria Math"/>
                </w:rPr>
                <m:t xml:space="preserve">R</m:t>
              </m:r>
              <m:r>
                <m:rPr>
                  <m:sty m:val="p"/>
                </m:rPr>
                <w:rPr>
                  <w:rFonts w:ascii="Cambria Math" w:hAnsi="Cambria Math"/>
                </w:rPr>
                <m:t xml:space="preserve">(</m:t>
              </m:r>
              <m:r>
                <m:rPr>
                  <m:sty m:val="i"/>
                </m:rPr>
                <w:rPr>
                  <w:rFonts w:ascii="Cambria Math" w:hAnsi="Cambria Math"/>
                </w:rPr>
                <m:t xml:space="preserve">h</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α</m:t>
                  </m:r>
                </m:e>
                <m:sub>
                  <m:r>
                    <m:rPr>
                      <m:sty m:val="i"/>
                    </m:rPr>
                    <w:rPr>
                      <w:rFonts w:ascii="Cambria Math" w:hAnsi="Cambria Math"/>
                    </w:rPr>
                    <m:t xml:space="preserve">3</m:t>
                  </m:r>
                </m:sub>
              </m:sSub>
              <m:r>
                <m:rPr>
                  <m:sty m:val="p"/>
                </m:rPr>
                <w:rPr>
                  <w:rFonts w:ascii="Cambria Math" w:hAnsi="Cambria Math"/>
                </w:rPr>
                <m:t xml:space="preserve"> · </m:t>
              </m:r>
              <m:r>
                <m:rPr>
                  <m:sty m:val="i"/>
                </m:rPr>
                <w:rPr>
                  <w:rFonts w:ascii="Cambria Math" w:hAnsi="Cambria Math"/>
                </w:rPr>
                <m:t xml:space="preserve">S</m:t>
              </m:r>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p>
        </w:tc>
        <w:tc>
          <w:tcPr>
            <w:tcW w:w="1400" w:type="dxa"/>
            <w:vAlign w:val="center"/>
          </w:tcPr>
          <w:p>
            <w:pPr>
              <w:jc w:val="right"/>
              <w:spacing w:before="60" w:after="60"/>
            </w:pPr>
            <w:bookmarkStart w:id="829" w:name="Eq2′"/>
            <w:r>
              <w:t>(2′)</w:t>
            </w:r>
            <w:bookmarkEnd w:id="829"/>
          </w:p>
        </w:tc>
      </w:tr>
    </w:tbl>
    <w:p>
      <w:pPr>
        <w:spacing w:before="0" w:after="160"/>
        <w:ind w:firstLine="0"/>
        <w:jc w:val="both"/>
      </w:pPr>
      <w:r>
        <w:t xml:space="preserve">Equation (2′) nests </w:t>
      </w:r>
      <w:bookmarkStart w:id="904" w:name="Eq2txt904"/>
      <w:hyperlink w:anchor="Eq2" w:history="1">
        <w:r>
          <w:rPr>
            <w:color w:val="1F3864"/>
            <w:u w:val="single"/>
          </w:rPr>
          <w:t xml:space="preserve">equation (2)</w:t>
        </w:r>
      </w:hyperlink>
      <w:bookmarkEnd w:id="904"/>
      <w:r>
        <w:t xml:space="preserve">: when </w:t>
      </w:r>
      <m:oMath>
        <m:r>
          <m:rPr>
            <m:sty m:val="i"/>
          </m:rPr>
          <w:rPr>
            <w:rFonts w:ascii="Cambria Math" w:hAnsi="Cambria Math"/>
          </w:rPr>
          <m:t xml:space="preserve">h</m:t>
        </m:r>
        <m:r>
          <m:rPr>
            <m:sty m:val="p"/>
          </m:rPr>
          <w:rPr>
            <w:rFonts w:ascii="Cambria Math" w:hAnsi="Cambria Math"/>
          </w:rPr>
          <m:t xml:space="preserve"> = </m:t>
        </m:r>
        <m:r>
          <m:rPr>
            <m:sty m:val="i"/>
          </m:rPr>
          <w:rPr>
            <w:rFonts w:ascii="Cambria Math" w:hAnsi="Cambria Math"/>
          </w:rPr>
          <m:t xml:space="preserve">j</m:t>
        </m:r>
      </m:oMath>
      <w:r>
        <w:t xml:space="preserve"> (domestically owned facility), the two coincide. For the three US-headquartered hyperscalers that control roughly 65 percent of the global cloud market, </w:t>
      </w:r>
      <m:oMath>
        <m:r>
          <m:rPr>
            <m:sty m:val="i"/>
          </m:rPr>
          <w:rPr>
            <w:rFonts w:ascii="Cambria Math" w:hAnsi="Cambria Math"/>
          </w:rPr>
          <m:t xml:space="preserve">G</m:t>
        </m:r>
        <m:r>
          <m:rPr>
            <m:sty m:val="p"/>
          </m:rPr>
          <w:rPr>
            <w:rFonts w:ascii="Cambria Math" w:hAnsi="Cambria Math"/>
          </w:rPr>
          <m:t xml:space="preserve">(</m:t>
        </m:r>
        <m:r>
          <m:rPr>
            <m:sty m:val="i"/>
          </m:rPr>
          <w:rPr>
            <w:rFonts w:ascii="Cambria Math" w:hAnsi="Cambria Math"/>
          </w:rPr>
          <m:t xml:space="preserve">h</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0</m:t>
        </m:r>
      </m:oMath>
      <w:r>
        <w:t xml:space="preserve"> and </w:t>
      </w:r>
      <m:oMath>
        <m:r>
          <m:rPr>
            <m:sty m:val="i"/>
          </m:rPr>
          <w:rPr>
            <w:rFonts w:ascii="Cambria Math" w:hAnsi="Cambria Math"/>
          </w:rPr>
          <m:t xml:space="preserve">R</m:t>
        </m:r>
        <m:r>
          <m:rPr>
            <m:sty m:val="p"/>
          </m:rPr>
          <w:rPr>
            <w:rFonts w:ascii="Cambria Math" w:hAnsi="Cambria Math"/>
          </w:rPr>
          <m:t xml:space="preserve">(</m:t>
        </m:r>
        <m:r>
          <m:rPr>
            <m:sty m:val="i"/>
          </m:rPr>
          <w:rPr>
            <w:rFonts w:ascii="Cambria Math" w:hAnsi="Cambria Math"/>
          </w:rPr>
          <m:t xml:space="preserve">h</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m:t>
        </m:r>
      </m:oMath>
      <w:r>
        <w:t xml:space="preserve"> for allied buyers, so the premium collapses to the sanctions indicator alone. Sanctions still bind on the host country because GPUs cannot be shipped to Iran, Russia, Belarus, or Turkmenistan regardless of who operates the facility. GPU export controls partially restrict China’s access to training-grade hardware.</w:t>
      </w:r>
    </w:p>
    <w:p>
      <w:pPr>
        <w:spacing w:before="0" w:after="160"/>
        <w:ind w:firstLine="0"/>
        <w:jc w:val="both"/>
      </w:pPr>
      <w:r>
        <w:t xml:space="preserve">Column (7) of </w:t>
      </w:r>
      <w:hyperlink w:anchor="Table3b" w:history="1">
        <w:r>
          <w:rPr>
            <w:color w:val="1F3864"/>
            <w:u w:val="single"/>
          </w:rPr>
          <w:t xml:space="preserve">Table 3b</w:t>
        </w:r>
      </w:hyperlink>
      <w:r>
        <w:t xml:space="preserve"> reports regime assignments under the FDI specification. Under bilateral sovereignty (column 4), only Canada exports; all other countries either produce domestically or import. Under hyperscaler FDI (column 7), 15 countries become exporters, 10 of them developing economies: Argentina, Brazil, Georgia, Indonesia, Kosovo, Kyrgyzstan, Montenegro, Tajikistan, Ukraine, and Vietnam. The developing-country export opportunity identified in the cost rankings (column 3) is not eliminated by sovereignty — it is blocked by the absence of a trust intermediary and restored when one is present.</w:t>
      </w:r>
      <w:r>
        <w:t xml:space="preserve"> Within the top 25 countries shown in Table 3b, Argentina, Georgia, Kosovo, Kyrgyzstan, Montenegro, Vietnam are the visible developing-country exporters; the remaining developing-country exporters (Indonesia (rank 55), Brazil (rank 59), Ukraine (rank 74), and Tajikistan (rank 83)) appear at lower efficiency-adjusted ranks where their FDI-intermediated costs fall below the import threshold.</w:t>
      </w:r>
    </w:p>
    <w:p>
      <w:pPr>
        <w:spacing w:before="0" w:after="160"/>
        <w:ind w:firstLine="0"/>
        <w:jc w:val="both"/>
      </w:pPr>
      <w:r>
        <w:t xml:space="preserve">This result aligns with observed investment patterns. Countries actively attracting hyperscaler data center investment, such as India ($15 billion AdaniConneX/Google campus), Indonesia (120 MW Jakarta), Malaysia (300 MW Johor), Kenya ($1 billion Microsoft/G42 geothermal campus), and Armenia ($4 billion Firebird project), are developing economies that the bilateral specification assigns to DD or II but that the FDI specification identifies as potential exporters. The gap between columns (4) and (7) in </w:t>
      </w:r>
      <w:hyperlink w:anchor="Table3b" w:history="1">
        <w:r>
          <w:rPr>
            <w:color w:val="1F3864"/>
            <w:u w:val="single"/>
          </w:rPr>
          <w:t xml:space="preserve">Table 3b</w:t>
        </w:r>
      </w:hyperlink>
      <w:r>
        <w:t xml:space="preserve"> measures the value of hyperscaler intermediation as a trust mechanism.</w:t>
      </w:r>
    </w:p>
    <w:p>
      <w:pPr>
        <w:spacing w:before="0" w:after="160"/>
        <w:ind w:firstLine="0"/>
        <w:jc w:val="both"/>
      </w:pPr>
      <w:r>
        <w:t>Two caveats apply. First, the FDI specification assumes the hyperscaler absorbs all bilateral trust. In practice, data still physically resides in the host country’s jurisdiction, and some buyers, particularly governments and regulated industries, may retain a residual sovereignty premium even when a trusted operator is present. Second, whether a hyperscaler chooses to build in a given country depends on agglomeration economies, network infrastructure, and market size that the cost ranking does not capture. The FDI column identifies the cost-feasible set of host countries; which ones actually attract investment is a separate question.</w:t>
      </w:r>
    </w:p>
    <w:p>
      <w:pPr>
        <w:spacing w:before="0" w:after="160"/>
        <w:ind w:firstLine="0"/>
        <w:jc w:val="both"/>
      </w:pPr>
      <w:r>
        <w:rPr>
          <w:rFonts w:ascii="Times New Roman" w:hAnsi="Times New Roman"/>
          <w:b w:val="0"/>
          <w:i/>
          <w:sz w:val="24"/>
        </w:rPr>
        <w:t xml:space="preserve">Welfare cost of sovereignty. </w:t>
      </w:r>
      <w:r>
        <w:t xml:space="preserve">The bilateral sovereignty premium imposes a welfare cost with two components, an import markup (importers pay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per unit above the competitive price) and an allocative inefficiency (countries with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produce domestically at above-world-price costs). Under capacity constraints, both components are smaller than in the unconstrained model because the higher world price narrows the gap between domestic and import costs. The demand-weighted welfare cost is 1.9% of average compute spending, comparable to the 0.2–10% welfare losses from trade barriers estimated for goods trade (</w:t>
      </w:r>
      <w:bookmarkStart w:id="228" w:name="EatonKortum2002txt"/>
      <w:hyperlink w:anchor="EatonKortum2002" w:history="1">
        <w:r>
          <w:rPr>
            <w:color w:val="1F3864"/>
            <w:u w:val="single"/>
          </w:rPr>
          <w:t xml:space="preserve">Eaton and Kortum 2002</w:t>
        </w:r>
      </w:hyperlink>
      <w:bookmarkEnd w:id="228"/>
      <w:r>
        <w:t xml:space="preserve">, </w:t>
      </w:r>
      <w:bookmarkStart w:id="249" w:name="ACR2012txt"/>
      <w:hyperlink w:anchor="ACR2012" w:history="1">
        <w:r>
          <w:rPr>
            <w:color w:val="1F3864"/>
            <w:u w:val="single"/>
          </w:rPr>
          <w:t xml:space="preserve">Arkolakis et al. 2012</w:t>
        </w:r>
      </w:hyperlink>
      <w:bookmarkEnd w:id="249"/>
      <w:r>
        <w:t xml:space="preserve">). At current demand levels (approximately 6 × 10¹⁰ GPU-hours at $1.50/hr), this amounts to roughly $1.3 billion per year. This cost is small enough that governments with legitimate data-sovereignty objectives — military applications, health records, national statistical systems — may rationally prefer domestic production even at the efficiency loss the model documents.</w:t>
      </w:r>
    </w:p>
    <w:p>
      <w:pPr>
        <w:spacing w:before="0" w:after="160"/>
        <w:ind w:firstLine="0"/>
        <w:jc w:val="both"/>
      </w:pPr>
      <w:r>
        <w:t xml:space="preserve">The welfare implications of the sovereignty premium depend on whether it reflects genuine security externalities or regulatory overreach. Some domestic processing preference is justified for genuinely confidential data, but much of the current policy push extends the sovereignty logic to routine commercial computation. The welfare cost is nontrivial: the bilateral premium shifts most countries toward domestic production, forgoing the cost savings from specialization. The premium is also partly endogenous to the absence of credible international data governance: where enforceable data-protection agreements exist (as within the EU), the premium falls; where they do not, even commercially motivated buyers face rational reasons to prefer domestic processing. Developing countries that adopt broad data localization requirements risk foreclosing both import savings and regional export opportunities — the very specialization gains the model predicts. The </w:t>
      </w:r>
      <w:bookmarkStart w:id="229" w:name="WorldBank2025txt"/>
      <w:hyperlink w:anchor="WorldBank2025" w:history="1">
        <w:r>
          <w:rPr>
            <w:color w:val="1F3864"/>
            <w:u w:val="single"/>
          </w:rPr>
          <w:t xml:space="preserve">World Bank (2025)</w:t>
        </w:r>
      </w:hyperlink>
      <w:bookmarkEnd w:id="229"/>
      <w:r>
        <w:t xml:space="preserve"> frames this as a core policy trade-off: building domestic capacity versus securing affordable access to international cloud services.</w:t>
      </w:r>
    </w:p>
    <w:p>
      <w:pPr>
        <w:pStyle w:val="Heading1"/>
      </w:pPr>
      <w:r>
        <w:rPr>
          <w:rFonts w:ascii="Times New Roman" w:hAnsi="Times New Roman"/>
          <w:b/>
          <w:color w:val="2F5496"/>
          <w:sz w:val="28"/>
        </w:rPr>
        <w:t>7. Robustness and Extensions</w:t>
      </w:r>
    </w:p>
    <w:p>
      <w:pPr>
        <w:pStyle w:val="Heading2"/>
      </w:pPr>
      <w:r>
        <w:rPr>
          <w:rFonts w:ascii="Times New Roman" w:hAnsi="Times New Roman"/>
          <w:b w:val="0"/>
          <w:i/>
          <w:color w:val="2F5496"/>
          <w:sz w:val="24"/>
        </w:rPr>
        <w:t>7.1 Robustness and Caveats</w:t>
      </w:r>
    </w:p>
    <w:p>
      <w:pPr>
        <w:spacing w:before="0" w:after="160"/>
        <w:ind w:firstLine="0"/>
        <w:jc w:val="both"/>
      </w:pPr>
      <w:r>
        <w:t xml:space="preserve">The calibration adjusts for energy subsidies and institutional quality, but several constraints remain outside the model and would further narrow the set of viable exporters. GPU export controls bar Iran, Russia, and Belarus from acquiring current-generation hardware. Water scarcity constrains cooling in the Middle East and North Africa. Fiscal sustainability is a concern: regulated tariffs in many developing countries cover operating expenses but not full capital cost, so exporting compute at scale while the domestic energy sector cannot maintain its capital stock may prove politically unsustainable. Finally, export controls, logistics costs, and local distribution markups can raise effective GPU prices by 5–15% in developing countries, substantially eroding the thin cost advantages documented in </w:t>
      </w:r>
      <w:hyperlink w:anchor="TableA1" w:history="1">
        <w:r>
          <w:rPr>
            <w:color w:val="1F3864"/>
            <w:u w:val="single"/>
          </w:rPr>
          <w:t xml:space="preserve">Table A1</w:t>
        </w:r>
      </w:hyperlink>
      <w:r>
        <w:t>. These omitted constraints all work against developing-country competitiveness; the calibration results should therefore be read as upper bounds.</w:t>
      </w:r>
    </w:p>
    <w:p>
      <w:pPr>
        <w:spacing w:before="0" w:after="160"/>
        <w:ind w:firstLine="0"/>
        <w:jc w:val="both"/>
      </w:pPr>
      <w:r>
        <w:rPr>
          <w:rFonts w:ascii="Times New Roman" w:hAnsi="Times New Roman"/>
          <w:b w:val="0"/>
          <w:i/>
          <w:sz w:val="24"/>
        </w:rPr>
        <w:t xml:space="preserve">Endogenous electricity prices. </w:t>
      </w:r>
      <w:r>
        <w:t xml:space="preserve">The model treats electricity prices as exogenous. For small, cheap-energy countries, a hyperscale facility can be large relative to the host grid — a 100 MW data center would consume roughly 3% of Kyrgyzstan’s 3,800 MW national output. At multi-facility scale, data centers would compete with residential heating, likely triggering regulatory intervention. The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partially addresses this, but the fixed-price assumption means cost advantages in </w:t>
      </w:r>
      <w:hyperlink w:anchor="TableA1" w:history="1">
        <w:r>
          <w:rPr>
            <w:color w:val="1F3864"/>
            <w:u w:val="single"/>
          </w:rPr>
          <w:t xml:space="preserve">Table A1</w:t>
        </w:r>
      </w:hyperlink>
      <w:r>
        <w:t xml:space="preserve"> are upper bounds. An extension with upward-sloping supply curves would compress these advantages.</w:t>
      </w:r>
    </w:p>
    <w:p>
      <w:pPr>
        <w:spacing w:before="0" w:after="160"/>
        <w:ind w:firstLine="0"/>
        <w:jc w:val="both"/>
      </w:pPr>
      <w:r>
        <w:rPr>
          <w:rFonts w:ascii="Times New Roman" w:hAnsi="Times New Roman"/>
          <w:b w:val="0"/>
          <w:i/>
          <w:sz w:val="24"/>
        </w:rPr>
        <w:t xml:space="preserve">Cost of capital. </w:t>
      </w:r>
      <w:r>
        <w:t xml:space="preserve">The calibration assumes uniform financing via straight-line depreciation. In practice, the financing gap is large (</w:t>
      </w:r>
      <w:bookmarkStart w:id="230" w:name="Calcaterra2024txt"/>
      <w:hyperlink w:anchor="Calcaterra2024" w:history="1">
        <w:r>
          <w:rPr>
            <w:color w:val="1F3864"/>
            <w:u w:val="single"/>
          </w:rPr>
          <w:t xml:space="preserve">Calcaterra et al. 2024</w:t>
        </w:r>
      </w:hyperlink>
      <w:bookmarkEnd w:id="230"/>
      <w:r>
        <w:t xml:space="preserve">). An OECD hyperscaler at 8% WACC faces hardware costs of $1.58/hr; a developing-country operator at 18% pays $1.87 — a $0.29 gap on hardware alone, roughly four times the electricity cost spread across the top 20 countries. If hyperscalers finance at their own WACC regardless of host country, baseline rankings hold. If locally financed, the same institutional weaknesses that lower ξ also raise the cost of capital.</w:t>
      </w:r>
    </w:p>
    <w:p>
      <w:pPr>
        <w:spacing w:before="0" w:after="160"/>
        <w:ind w:firstLine="0"/>
        <w:jc w:val="both"/>
      </w:pPr>
      <w:r>
        <w:rPr>
          <w:rFonts w:ascii="Times New Roman" w:hAnsi="Times New Roman"/>
          <w:b w:val="0"/>
          <w:i/>
          <w:sz w:val="24"/>
        </w:rPr>
        <w:t xml:space="preserve">GPU upgrades. </w:t>
      </w:r>
      <w:r>
        <w:t>Successor GPUs (B200, shipping 2025) deliver roughly four times the training throughput at about 1 kW. Higher power draw widens the absolute electricity cost gap across countries, modestly strengthening developing-country comparative advantage. Countries operating older hardware must discount to compete, potentially eroding their cost advantage. Qualitative findings are robust to GPU generation choices.</w:t>
      </w:r>
    </w:p>
    <w:p>
      <w:pPr>
        <w:spacing w:before="0" w:after="160"/>
        <w:ind w:firstLine="0"/>
        <w:jc w:val="both"/>
      </w:pPr>
      <w:r>
        <w:rPr>
          <w:rFonts w:ascii="Times New Roman" w:hAnsi="Times New Roman"/>
          <w:b w:val="0"/>
          <w:i/>
          <w:sz w:val="24"/>
        </w:rPr>
        <w:t xml:space="preserve">Sensitivity analysis. </w:t>
      </w:r>
      <w:r>
        <w:t xml:space="preserve">Cost rankings are robust to substantial parameter variation. </w:t>
      </w:r>
      <w:bookmarkStart w:id="143" w:name="TableA3txt"/>
      <w:hyperlink w:anchor="TableA3" w:history="1">
        <w:r>
          <w:rPr>
            <w:color w:val="1F3864"/>
            <w:u w:val="single"/>
          </w:rPr>
          <w:t xml:space="preserve">Table A3</w:t>
        </w:r>
      </w:hyperlink>
      <w:bookmarkEnd w:id="143"/>
      <w:r>
        <w:t xml:space="preserve"> reports results across five robustness specifications, varying the governance weight, hardware cost share, and functional form.</w:t>
      </w:r>
    </w:p>
    <w:p>
      <w:pPr>
        <w:spacing w:before="0" w:after="160"/>
        <w:ind w:firstLine="0"/>
        <w:jc w:val="both"/>
      </w:pPr>
      <w:r>
        <w:t>The sensitivity results can be read as comparative statics. A rise in global hardware costs increases the globally-priced cost share, compressing the locally-penalized component and muting governance penalties for developing-country exporters. Conversely, improved cooling technology that flattens the PUE–temperature curve narrows the advantage of cold-climate countries but leaves energy-price differences intact. A reduction in sovereignty frictions shifts countries from domestic production to importing, expanding trade volumes but reducing rents for exporters. An increase in local energy prices — whether from subsidy removal or demand-driven grid strain — erodes the cost advantage that defines FLOP-exporting potential, as the endogenous electricity price extension above illustrates.</w:t>
      </w:r>
    </w:p>
    <w:p>
      <w:pPr>
        <w:spacing w:before="0" w:after="160"/>
        <w:ind w:firstLine="0"/>
        <w:jc w:val="both"/>
      </w:pPr>
      <w:r>
        <w:rPr>
          <w:rFonts w:ascii="Times New Roman" w:hAnsi="Times New Roman"/>
          <w:b w:val="0"/>
          <w:i/>
          <w:sz w:val="24"/>
        </w:rPr>
        <w:t xml:space="preserve">Efficiency parameters. </w:t>
      </w:r>
      <w:r>
        <w:t>The baseline assigns equal weight (</w:t>
      </w:r>
      <m:oMath>
        <m:r>
          <m:rPr>
            <m:sty m:val="i"/>
          </m:rPr>
          <w:rPr>
            <w:rFonts w:ascii="Cambria Math" w:hAnsi="Cambria Math"/>
          </w:rPr>
          <m:t xml:space="preserve">ω</m:t>
        </m:r>
        <m:r>
          <m:rPr>
            <m:sty m:val="p"/>
          </m:rPr>
          <w:rPr>
            <w:rFonts w:ascii="Cambria Math" w:hAnsi="Cambria Math"/>
          </w:rPr>
          <m:t xml:space="preserve"> = 0.50</m:t>
        </m:r>
      </m:oMath>
      <w:r>
        <w:t xml:space="preserve">) to governance and grid reliability. </w:t>
      </w:r>
      <w:hyperlink w:anchor="TableA3" w:history="1">
        <w:r>
          <w:rPr>
            <w:color w:val="1F3864"/>
            <w:u w:val="single"/>
          </w:rPr>
          <w:t xml:space="preserve">Table A3</w:t>
        </w:r>
      </w:hyperlink>
      <w:r>
        <w:t xml:space="preserve"> reports sensitivity along two dimensions. First, varying </w:t>
      </w:r>
      <m:oMath>
        <m:r>
          <m:rPr>
            <m:sty m:val="i"/>
          </m:rPr>
          <w:rPr>
            <w:rFonts w:ascii="Cambria Math" w:hAnsi="Cambria Math"/>
          </w:rPr>
          <m:t xml:space="preserve">ω</m:t>
        </m:r>
      </m:oMath>
      <w:r>
        <w:t xml:space="preserve"> from 0.50 to 0.85 leaves the top five exporters largely unchanged. Second, the results are most sensitive to the hardware cost share </w:t>
      </w:r>
      <m:oMath>
        <m:r>
          <m:rPr>
            <m:sty m:val="i"/>
          </m:rPr>
          <w:rPr>
            <w:rFonts w:ascii="Cambria Math" w:hAnsi="Cambria Math"/>
          </w:rPr>
          <m:t xml:space="preserve">ρ</m:t>
        </m:r>
      </m:oMath>
      <w:r>
        <w:t xml:space="preserve">: varying </w:t>
      </w:r>
      <m:oMath>
        <m:r>
          <m:rPr>
            <m:sty m:val="i"/>
          </m:rPr>
          <w:rPr>
            <w:rFonts w:ascii="Cambria Math" w:hAnsi="Cambria Math"/>
          </w:rPr>
          <m:t xml:space="preserve">ρ</m:t>
        </m:r>
      </m:oMath>
      <w:r>
        <w:t xml:space="preserve"> by ±4 percent shifts the composition of the top fifteen. The qualitative result, that countries combining cheap energy with adequate governance retain their cost advantage, follows from hardware being globally priced, not from any particular parameter choice. The qualitative finding is robust across all specifications.</w:t>
      </w:r>
    </w:p>
    <w:p>
      <w:pPr>
        <w:spacing w:before="0" w:after="160"/>
        <w:ind w:firstLine="0"/>
        <w:jc w:val="both"/>
      </w:pPr>
      <w:r>
        <w:t xml:space="preserve">The comparative statics have clear economic intuition. Raising the governance weight ω penalizes countries with weak rule of law, pushing Kyrgyzstan and Ethiopia down the ranking while rewarding Scandinavian producers. Raising the institutional floor </w:t>
      </w:r>
      <m:oMath>
        <m:sSub>
          <m:sSubPr/>
          <m:e>
            <m:r>
              <m:rPr>
                <m:sty m:val="i"/>
              </m:rPr>
              <w:rPr>
                <w:rFonts w:ascii="Cambria Math" w:hAnsi="Cambria Math"/>
              </w:rPr>
              <m:t xml:space="preserve">ξ</m:t>
            </m:r>
          </m:e>
          <m:sub>
            <m:r>
              <m:rPr>
                <m:sty m:val="i"/>
              </m:rPr>
              <w:rPr>
                <w:rFonts w:ascii="Cambria Math" w:hAnsi="Cambria Math"/>
              </w:rPr>
              <m:t xml:space="preserve">floor</m:t>
            </m:r>
          </m:sub>
        </m:sSub>
      </m:oMath>
      <w:r>
        <w:t xml:space="preserve"> compresses the governance penalty, allowing more developing countries into the top fifteen. The hardware cost share ρ is the most consequential parameter: when hardware’s share rises, the (identical) hardware cost dominates the unit cost, narrowing the cross-country spread and making governance differences less decisive — widening the door for developing-country entry.</w:t>
      </w:r>
    </w:p>
    <w:p>
      <w:pPr>
        <w:spacing w:before="0" w:after="160"/>
        <w:ind w:firstLine="0"/>
        <w:jc w:val="both"/>
      </w:pPr>
      <w:r>
        <w:rPr>
          <w:rFonts w:ascii="Times New Roman" w:hAnsi="Times New Roman"/>
          <w:b w:val="0"/>
          <w:i/>
          <w:sz w:val="24"/>
        </w:rPr>
        <w:t xml:space="preserve">Uniform sovereignty premium. </w:t>
      </w:r>
      <w:r>
        <w:t xml:space="preserve">Column (6) of </w:t>
      </w:r>
      <w:hyperlink w:anchor="Table3b" w:history="1">
        <w:r>
          <w:rPr>
            <w:color w:val="1F3864"/>
            <w:u w:val="single"/>
          </w:rPr>
          <w:t xml:space="preserve">Table 3b</w:t>
        </w:r>
      </w:hyperlink>
      <w:r>
        <w:t xml:space="preserve"> reports results under a uniform premium </w:t>
      </w:r>
      <m:oMath>
        <m:r>
          <m:rPr>
            <m:sty m:val="i"/>
          </m:rPr>
          <w:rPr>
            <w:rFonts w:ascii="Cambria Math" w:hAnsi="Cambria Math"/>
          </w:rPr>
          <m:t xml:space="preserve">λ</m:t>
        </m:r>
        <m:r>
          <m:rPr>
            <m:sty m:val="p"/>
          </m:rPr>
          <w:rPr>
            <w:rFonts w:ascii="Cambria Math" w:hAnsi="Cambria Math"/>
          </w:rPr>
          <m:t xml:space="preserve"> = 0.10</m:t>
        </m:r>
      </m:oMath>
      <w:r>
        <w:t>. The uniform premium produces broadly similar regime assignments: most countries produce domestically under either specification. The main difference is that the bilateral premium excludes sanctioned countries from serving any demand center, while the uniform premium treats all pairs identically. The bilateral specification is preferred because it captures observed heterogeneity in sovereignty preferences.</w:t>
      </w:r>
    </w:p>
    <w:p>
      <w:pPr>
        <w:spacing w:before="0" w:after="160"/>
        <w:ind w:firstLine="0"/>
        <w:jc w:val="both"/>
      </w:pPr>
      <w:r>
        <w:rPr>
          <w:rFonts w:ascii="Times New Roman" w:hAnsi="Times New Roman"/>
          <w:b w:val="0"/>
          <w:i/>
          <w:sz w:val="24"/>
        </w:rPr>
        <w:t xml:space="preserve">Sovereignty tiers. </w:t>
      </w:r>
      <w:r>
        <w:t xml:space="preserve">The model segments each country’s demand into three tiers: sovereign workloads (10%, domestic only), regulated workloads (20%, higher regulatory compatibility weight), and commercial workloads (70%, geopolitical alignment only). Under calibrated parameters, tiering leaves regime assignments unchanged for all countries, hence columns (4) and (5) of </w:t>
      </w:r>
      <w:hyperlink w:anchor="Table3b" w:history="1">
        <w:r>
          <w:rPr>
            <w:color w:val="1F3864"/>
            <w:u w:val="single"/>
          </w:rPr>
          <w:t xml:space="preserve">Table 3b</w:t>
        </w:r>
      </w:hyperlink>
      <w:r>
        <w:t xml:space="preserve"> are merged. The main impact is on inference sourcing: regulated workloads shift toward suppliers with strong data governance, favoring EU and APEC CBPR participants over closer but less regulated alternatives.</w:t>
      </w:r>
      <w:r>
        <w:rPr>
          <w:rStyle w:val="FootnoteReference"/>
        </w:rPr>
        <w:footnoteReference w:id="17"/>
      </w:r>
    </w:p>
    <w:p>
      <w:pPr>
        <w:pStyle w:val="Heading2"/>
      </w:pPr>
      <w:r>
        <w:rPr>
          <w:rFonts w:ascii="Times New Roman" w:hAnsi="Times New Roman"/>
          <w:b w:val="0"/>
          <w:i/>
          <w:color w:val="2F5496"/>
          <w:sz w:val="24"/>
        </w:rPr>
        <w:t>7.2 Model extensions</w:t>
      </w:r>
    </w:p>
    <w:p>
      <w:pPr>
        <w:spacing w:before="0" w:after="160"/>
        <w:ind w:firstLine="0"/>
        <w:jc w:val="both"/>
      </w:pPr>
      <w:r>
        <w:t>The model can be extended to incorporate carbon pricing (“green premia”), demand segmentation by latency tolerance, and stochastic disruptions that create incentives for supply diversification.</w:t>
      </w:r>
    </w:p>
    <w:p>
      <w:pPr>
        <w:spacing w:before="0" w:after="160"/>
        <w:ind w:firstLine="0"/>
        <w:jc w:val="both"/>
      </w:pPr>
      <w:r>
        <w:rPr>
          <w:rFonts w:ascii="Times New Roman" w:hAnsi="Times New Roman"/>
          <w:b w:val="0"/>
          <w:i/>
          <w:sz w:val="24"/>
        </w:rPr>
        <w:t xml:space="preserve">Agglomeration and market structure. </w:t>
      </w:r>
      <w:r>
        <w:t>As noted in Section 3, the competitive framework abstracts from the industrial organization of the cloud market. The concentration of data centers in locations such as Northern Virginia — despite above-median electricity costs — reflects centripetal forces that the cost-based ranking cannot capture. The cost-competitive set identified in Section 6 should be interpreted as a necessary condition: a country must be cheap enough to attract investment, but whether investment materializes depends on agglomeration economies and network effects.</w:t>
      </w:r>
    </w:p>
    <w:p>
      <w:pPr>
        <w:pStyle w:val="Heading1"/>
      </w:pPr>
      <w:r>
        <w:rPr>
          <w:rFonts w:ascii="Times New Roman" w:hAnsi="Times New Roman"/>
          <w:b/>
          <w:color w:val="2F5496"/>
          <w:sz w:val="28"/>
        </w:rPr>
        <w:t>8. Conclusion</w:t>
      </w:r>
    </w:p>
    <w:p>
      <w:pPr>
        <w:spacing w:before="0" w:after="160"/>
        <w:ind w:firstLine="0"/>
        <w:jc w:val="both"/>
      </w:pPr>
      <w:r>
        <w:t xml:space="preserve">This paper develops a capacity-constrained Ricardian model of compute trade, distinguishing latency-insensitive training from latency-sensitive inference and incorporating bilateral sovereignty premia. The calibration reveals a paradox: energy-rich developing countries hold a genuine cost advantage in compute production, but bilateral trust deficits eliminate that advantage for nearly all of them. Under the standard bilateral specification, only Canada exports; sovereignty premia shift every other country toward domestic production or importing, at a demand-weighted welfare cost of 1.9% of compute spending. The resolution lies in the hyperscaler FDI channel: when a trusted cloud provider operates the facility, the buyer’s sovereignty concern attaches to the operator, not the host country. Under this specification, ten developing countries re-enter as exporters, and the model’s predictions align with observed hyperscaler investment in India, Kenya, Malaysia, and Southeast Asia. Because hardware accounts for roughly 90 percent of unit cost and is globally priced, the cross-country cost spread is only 12–20 percent — narrower than virtually any other tradable good. This makes compute both the easiest sector for developing countries to enter on cost grounds and the one most vulnerable to small frictions: a modest sovereignty premium, a slight governance penalty, or a higher cost of capital is sufficient to shift a country from exporter to importer. </w:t>
      </w:r>
    </w:p>
    <w:p>
      <w:pPr>
        <w:spacing w:before="0" w:after="160"/>
        <w:ind w:firstLine="0"/>
        <w:jc w:val="both"/>
      </w:pPr>
      <w:r>
        <w:t xml:space="preserve">For developing countries, the results identify both the opportunity and the barrier. Countries like Kyrgyzstan, Kosovo, Ethiopia, and Vietnam rank among the fifteen cheapest FLOP producers after governance adjustment, and could use their energy resource endowments (hydropower, natural gas, and solar irradiance) to turn cheap power into exportable compute without building a domestic AI research ecosystem. But the bilateral specification shows that this opportunity is blocked by trust deficits — and restored only when a hyperscaler intermediates the transaction. The binding constraint is therefore not electricity cost but institutional credibility: a country must be non-sanctioned, offer credible power purchase agreements, maintain adequate network connectivity, and present a regulatory environment stable enough for a hyperscaler to commit capital over a 15-year horizon. These are achievable conditions. The countries currently attracting hyperscaler investment — India, Kenya, Malaysia, Indonesia — meet them. Those that do not, despite lower electricity costs, lack one or more of these prerequisites. The gap between columns (3) and (7) of Table 3b measures what institutional reform is worth. FLOP exporting resembles aluminum smelting near cheap hydropower — imported capital equipment transforms local electricity into an exportable product with minimal domestic labor — but electricity, unlike oil or minerals, is renewable where generated from hydro, solar, or geothermal sources, and compute demand is growing faster than demand for any physical commodity. The resource curse literature (</w:t>
      </w:r>
      <w:bookmarkStart w:id="231" w:name="vanderPloeg2011txt"/>
      <w:hyperlink w:anchor="vanderPloeg2011" w:history="1">
        <w:r>
          <w:rPr>
            <w:color w:val="1F3864"/>
            <w:u w:val="single"/>
          </w:rPr>
          <w:t xml:space="preserve">van der Ploeg 2011</w:t>
        </w:r>
      </w:hyperlink>
      <w:bookmarkEnd w:id="231"/>
      <w:r>
        <w:t xml:space="preserve">) warns, however, that concentrated export revenues can lead to Dutch disease, institutional degradation, and exposure to demand cycles. Large-scale compute export revenues could also appreciate the real exchange rate, crowding out other tradable sectors, a channel particularly relevant for small, open economies where data center electricity consumption rivals existing industrial load. Whether FLOP exporting countries share these risks depends on the revenue-sharing model they adopt: a sovereign wealth fund approach (Norway) versus elite capture (Dutch disease). The share of surplus retained in the host country depends on ownership and fiscal structure: if the facility is foreign-owned, most operating surplus is repatriated, and the host retains only the electricity payment unless the government captures rent through taxation, equity participation, or resource royalties.</w:t>
      </w:r>
    </w:p>
    <w:p>
      <w:pPr>
        <w:spacing w:before="0" w:after="160"/>
        <w:ind w:firstLine="0"/>
        <w:jc w:val="both"/>
      </w:pPr>
      <w:r>
        <w:t>The policy implications are asymmetric across training and inference. Training workloads tolerate high latency, so restricting training imports raises costs without offsetting proximity gains. Inference, by contrast, is latency-sensitive, giving domestic production a genuine quality-of-service advantage — though this rationale weakens for countries close to low-cost neighbors. For developing countries, the five-column progression in Table 3b makes the policy challenge concrete: cheap energy gets a country into the cost-feasible set (column 3), but bilateral trust eliminates the opportunity (column 4), and only hyperscaler intermediation restores it (column 7). The binding constraints are not technological but institutional: non-sanctioned status, credible power purchase agreements, network connectivity, and a regulatory environment stable enough to justify a 15-year capital commitment.</w:t>
      </w:r>
    </w:p>
    <w:p>
      <w:pPr>
        <w:spacing w:before="0" w:after="0"/>
      </w:pPr>
      <w:r>
        <w:br w:type="page"/>
      </w:r>
    </w:p>
    <w:p>
      <w:pPr>
        <w:pStyle w:val="Heading1"/>
      </w:pPr>
      <w:r>
        <w:rPr>
          <w:rFonts w:ascii="Times New Roman" w:hAnsi="Times New Roman"/>
          <w:b/>
          <w:color w:val="2F5496"/>
          <w:sz w:val="28"/>
        </w:rPr>
        <w:t>References</w:t>
      </w:r>
    </w:p>
    <w:p>
      <w:pPr>
        <w:spacing w:before="0" w:after="80" w:line="240" w:lineRule="exact"/>
        <w:ind w:hanging="720" w:left="720"/>
        <w:jc w:val="both"/>
      </w:pPr>
      <w:bookmarkStart w:id="500" w:name="ACR2012"/>
      <w:hyperlink w:anchor="ACR2012txt" w:history="1">
        <w:r>
          <w:rPr>
            <w:color w:val="1F3864"/>
            <w:u w:val="single"/>
          </w:rPr>
          <w:t xml:space="preserve">Arkolakis, C., A. Costinot, and A. Rodríguez-Clare. (2012). </w:t>
        </w:r>
      </w:hyperlink>
      <w:r>
        <w:t xml:space="preserve">“New Trade Models, Same Old Gains?” </w:t>
      </w:r>
      <w:r>
        <w:rPr>
          <w:i/>
        </w:rPr>
        <w:t>American Economic Review</w:t>
      </w:r>
      <w:r>
        <w:t>, 102(1): 94–130.</w:t>
      </w:r>
      <w:bookmarkEnd w:id="500"/>
    </w:p>
    <w:p>
      <w:pPr>
        <w:spacing w:before="0" w:after="80" w:line="240" w:lineRule="exact"/>
        <w:ind w:hanging="720" w:left="720"/>
        <w:jc w:val="both"/>
      </w:pPr>
      <w:bookmarkStart w:id="501" w:name="ABD2020"/>
      <w:r>
        <w:rPr>
          <w:color w:val="1F3864"/>
          <w:u w:val="single"/>
        </w:rPr>
        <w:t xml:space="preserve">Asian Development Bank. (2020). </w:t>
      </w:r>
      <w:r>
        <w:t>“Toktogul Rehabilitation Project Phase 3: Sector Assessment.” Asian Development Bank. Report No. 49013-002.</w:t>
      </w:r>
      <w:bookmarkEnd w:id="501"/>
    </w:p>
    <w:p>
      <w:pPr>
        <w:spacing w:before="0" w:after="80" w:line="240" w:lineRule="exact"/>
        <w:ind w:hanging="720" w:left="720"/>
        <w:jc w:val="both"/>
      </w:pPr>
      <w:bookmarkStart w:id="502" w:name="BaileyEtAl2017"/>
      <w:hyperlink w:anchor="BaileyEtAl2017txt" w:history="1">
        <w:r>
          <w:rPr>
            <w:color w:val="1F3864"/>
            <w:u w:val="single"/>
          </w:rPr>
          <w:t xml:space="preserve">Bailey, M., A. Strezhnev, and E. Voeten. (2017). </w:t>
        </w:r>
      </w:hyperlink>
      <w:r>
        <w:t xml:space="preserve">“Estimating Dynamic State Preferences from United Nations Voting Data.” </w:t>
      </w:r>
      <w:r>
        <w:rPr>
          <w:i/>
        </w:rPr>
        <w:t>Journal of Conflict Resolution</w:t>
      </w:r>
      <w:r>
        <w:t>, 61(2): 430–456.</w:t>
      </w:r>
      <w:bookmarkEnd w:id="502"/>
    </w:p>
    <w:p>
      <w:pPr>
        <w:spacing w:before="0" w:after="80" w:line="240" w:lineRule="exact"/>
        <w:ind w:hanging="720" w:left="720"/>
        <w:jc w:val="both"/>
      </w:pPr>
      <w:bookmarkStart w:id="503" w:name="Barroso2018"/>
      <w:hyperlink w:anchor="Barroso2018txt" w:history="1">
        <w:r>
          <w:rPr>
            <w:color w:val="1F3864"/>
            <w:u w:val="single"/>
          </w:rPr>
          <w:t xml:space="preserve">Barroso, L., U. Hölzle, and P. Ranganathan. </w:t>
        </w:r>
      </w:hyperlink>
      <w:r>
        <w:t xml:space="preserve">(2018). </w:t>
      </w:r>
      <w:r>
        <w:rPr>
          <w:i/>
        </w:rPr>
        <w:t>The Datacenter as a Computer</w:t>
      </w:r>
      <w:r>
        <w:t>: Designing Warehouse-Scale Machines, 3rd ed. San Rafael, CA: Morgan &amp; Claypool.</w:t>
      </w:r>
      <w:bookmarkEnd w:id="503"/>
    </w:p>
    <w:p>
      <w:pPr>
        <w:spacing w:before="0" w:after="80" w:line="240" w:lineRule="exact"/>
        <w:ind w:hanging="720" w:left="720"/>
        <w:jc w:val="both"/>
      </w:pPr>
      <w:bookmarkStart w:id="504" w:name="Biglaiser2024"/>
      <w:hyperlink w:anchor="Biglaiser2024txt" w:history="1">
        <w:r>
          <w:rPr>
            <w:color w:val="1F3864"/>
            <w:u w:val="single"/>
          </w:rPr>
          <w:t xml:space="preserve">Biglaiser, G., J. Crémer, and A. Mantovani. (2024). </w:t>
        </w:r>
      </w:hyperlink>
      <w:r>
        <w:t xml:space="preserve">“The Economics of the Cloud.” </w:t>
      </w:r>
      <w:r>
        <w:rPr>
          <w:i/>
        </w:rPr>
        <w:t>Toulouse School of Economics Working Paper</w:t>
      </w:r>
      <w:r>
        <w:t xml:space="preserve"> No. 24-1520.</w:t>
      </w:r>
      <w:bookmarkEnd w:id="504"/>
    </w:p>
    <w:p>
      <w:pPr>
        <w:spacing w:before="0" w:after="80" w:line="240" w:lineRule="exact"/>
        <w:ind w:hanging="720" w:left="720"/>
        <w:jc w:val="both"/>
      </w:pPr>
      <w:bookmarkStart w:id="505" w:name="Blinder2006"/>
      <w:hyperlink w:anchor="Blinder2006txt" w:history="1">
        <w:r>
          <w:rPr>
            <w:color w:val="1F3864"/>
            <w:u w:val="single"/>
          </w:rPr>
          <w:t xml:space="preserve">Blinder, A. (2006). </w:t>
        </w:r>
      </w:hyperlink>
      <w:r>
        <w:t xml:space="preserve">“Offshoring: The Next Industrial Revolution?” </w:t>
      </w:r>
      <w:r>
        <w:rPr>
          <w:i/>
        </w:rPr>
        <w:t>Foreign Affairs</w:t>
      </w:r>
      <w:r>
        <w:t>, 85(2): 113–128.</w:t>
      </w:r>
      <w:bookmarkEnd w:id="505"/>
    </w:p>
    <w:p>
      <w:pPr>
        <w:spacing w:before="0" w:after="80" w:line="240" w:lineRule="exact"/>
        <w:ind w:hanging="720" w:left="720"/>
        <w:jc w:val="both"/>
      </w:pPr>
      <w:bookmarkStart w:id="506" w:name="Brainard1997"/>
      <w:hyperlink w:anchor="Brainard1997txt" w:history="1">
        <w:r>
          <w:rPr>
            <w:color w:val="1F3864"/>
            <w:u w:val="single"/>
          </w:rPr>
          <w:t xml:space="preserve">Brainard, S. (1997). </w:t>
        </w:r>
      </w:hyperlink>
      <w:r>
        <w:t xml:space="preserve">“An Empirical Assessment of the Proximity-Concentration Trade-off.” </w:t>
      </w:r>
      <w:r>
        <w:rPr>
          <w:i/>
        </w:rPr>
        <w:t>American Economic Review</w:t>
      </w:r>
      <w:r>
        <w:t>, 87(4): 520–544.</w:t>
      </w:r>
      <w:bookmarkEnd w:id="506"/>
    </w:p>
    <w:p>
      <w:pPr>
        <w:spacing w:before="0" w:after="80" w:line="240" w:lineRule="exact"/>
        <w:ind w:hanging="720" w:left="720"/>
        <w:jc w:val="both"/>
      </w:pPr>
      <w:bookmarkStart w:id="507" w:name="Calcaterra2024"/>
      <w:hyperlink w:anchor="Calcaterra2024txt" w:history="1">
        <w:r>
          <w:rPr>
            <w:color w:val="1F3864"/>
            <w:u w:val="single"/>
          </w:rPr>
          <w:t xml:space="preserve">Calcaterra, M., L. Reis, P. Fragkos, T. Briera, H. Boer, F. Egli, J. Emmerling, G. Iyer, S. Mittal, F. Polzin, M. Sanders, T. Schmidt, A. Serebriakova, and B. Steffen. (2024). </w:t>
        </w:r>
      </w:hyperlink>
      <w:r>
        <w:t xml:space="preserve">“Reducing the Cost of Capital to Finance the Energy Transition in Developing Countries.” </w:t>
      </w:r>
      <w:r>
        <w:rPr>
          <w:i/>
        </w:rPr>
        <w:t>Nature Energy</w:t>
      </w:r>
      <w:r>
        <w:t>, 9(10): 1241–1251.</w:t>
      </w:r>
      <w:bookmarkEnd w:id="507"/>
    </w:p>
    <w:p>
      <w:pPr>
        <w:spacing w:before="0" w:after="80" w:line="240" w:lineRule="exact"/>
        <w:ind w:hanging="720" w:left="720"/>
        <w:jc w:val="both"/>
      </w:pPr>
      <w:bookmarkStart w:id="508" w:name="Cloudscene2025"/>
      <w:hyperlink w:anchor="Cloudscene2025txt" w:history="1">
        <w:r>
          <w:rPr>
            <w:color w:val="1F3864"/>
            <w:u w:val="single"/>
          </w:rPr>
          <w:t xml:space="preserve">Cloudscene. </w:t>
        </w:r>
      </w:hyperlink>
      <w:r>
        <w:t xml:space="preserve">(2025). </w:t>
      </w:r>
      <w:r>
        <w:rPr>
          <w:i/>
        </w:rPr>
        <w:t>Global Data Center Directory</w:t>
      </w:r>
      <w:r>
        <w:t>. cloudscene.com.</w:t>
      </w:r>
      <w:bookmarkEnd w:id="508"/>
    </w:p>
    <w:p>
      <w:pPr>
        <w:spacing w:before="0" w:after="80" w:line="240" w:lineRule="exact"/>
        <w:ind w:hanging="720" w:left="720"/>
        <w:jc w:val="both"/>
      </w:pPr>
      <w:bookmarkStart w:id="509" w:name="Deloitte2020"/>
      <w:hyperlink w:anchor="Deloitte2020txt" w:history="1">
        <w:r>
          <w:rPr>
            <w:color w:val="1F3864"/>
            <w:u w:val="single"/>
          </w:rPr>
          <w:t xml:space="preserve">Deloitte and Google. (2020). </w:t>
        </w:r>
      </w:hyperlink>
      <w:r>
        <w:t>“Milliseconds Make Millions.” Deloitte Digital and Google.</w:t>
      </w:r>
      <w:bookmarkEnd w:id="509"/>
    </w:p>
    <w:p>
      <w:pPr>
        <w:spacing w:before="0" w:after="80" w:line="240" w:lineRule="exact"/>
        <w:ind w:hanging="720" w:left="720"/>
        <w:jc w:val="both"/>
      </w:pPr>
      <w:bookmarkStart w:id="510" w:name="Deloitte2025"/>
      <w:hyperlink w:anchor="Deloitte2025txt" w:history="1">
        <w:r>
          <w:rPr>
            <w:color w:val="1F3864"/>
            <w:u w:val="single"/>
          </w:rPr>
          <w:t xml:space="preserve">Deloitte. (2025). </w:t>
        </w:r>
      </w:hyperlink>
      <w:r>
        <w:t xml:space="preserve">“Technology, Media, and Telecommunications Predictions 2026.” </w:t>
      </w:r>
      <w:r>
        <w:rPr>
          <w:i/>
        </w:rPr>
        <w:t>Deloitte Insights</w:t>
      </w:r>
      <w:r>
        <w:t>.</w:t>
      </w:r>
      <w:bookmarkEnd w:id="510"/>
    </w:p>
    <w:p>
      <w:pPr>
        <w:spacing w:before="0" w:after="80" w:line="240" w:lineRule="exact"/>
        <w:ind w:hanging="720" w:left="720"/>
        <w:jc w:val="both"/>
      </w:pPr>
      <w:bookmarkStart w:id="511" w:name="EatonKortum2002"/>
      <w:hyperlink w:anchor="EatonKortum2002txt" w:history="1">
        <w:r>
          <w:rPr>
            <w:color w:val="1F3864"/>
            <w:u w:val="single"/>
          </w:rPr>
          <w:t xml:space="preserve">Eaton, J., and S. Kortum. (2002). </w:t>
        </w:r>
      </w:hyperlink>
      <w:r>
        <w:t xml:space="preserve">“Technology, Geography, and Trade.” </w:t>
      </w:r>
      <w:r>
        <w:rPr>
          <w:i/>
        </w:rPr>
        <w:t>Econometrica</w:t>
      </w:r>
      <w:r>
        <w:t>, 70(5): 1741–1779.</w:t>
      </w:r>
      <w:bookmarkEnd w:id="511"/>
    </w:p>
    <w:p>
      <w:pPr>
        <w:spacing w:before="0" w:after="80" w:line="240" w:lineRule="exact"/>
        <w:ind w:hanging="720" w:left="720"/>
        <w:jc w:val="both"/>
      </w:pPr>
      <w:bookmarkStart w:id="512" w:name="EIA2025"/>
      <w:hyperlink w:anchor="EIA2025txt" w:history="1">
        <w:r>
          <w:rPr>
            <w:color w:val="1F3864"/>
            <w:u w:val="single"/>
          </w:rPr>
          <w:t xml:space="preserve">EIA. </w:t>
        </w:r>
      </w:hyperlink>
      <w:r>
        <w:t xml:space="preserve">(2025). </w:t>
      </w:r>
      <w:r>
        <w:rPr>
          <w:i/>
        </w:rPr>
        <w:t>Electric Power Monthly</w:t>
      </w:r>
      <w:r>
        <w:t>. U.S. Energy Information Administration.</w:t>
      </w:r>
      <w:bookmarkEnd w:id="512"/>
    </w:p>
    <w:p>
      <w:pPr>
        <w:spacing w:before="0" w:after="80" w:line="240" w:lineRule="exact"/>
        <w:ind w:hanging="720" w:left="720"/>
        <w:jc w:val="both"/>
      </w:pPr>
      <w:bookmarkStart w:id="513" w:name="EpochAI2024"/>
      <w:hyperlink w:anchor="EpochAI2024txt" w:history="1">
        <w:r>
          <w:rPr>
            <w:color w:val="1F3864"/>
            <w:u w:val="single"/>
          </w:rPr>
          <w:t xml:space="preserve">Epoch AI. (2024). </w:t>
        </w:r>
      </w:hyperlink>
      <w:r>
        <w:t>“The Training Compute of Notable AI Models.” epochai.org.</w:t>
      </w:r>
      <w:bookmarkEnd w:id="513"/>
    </w:p>
    <w:p>
      <w:pPr>
        <w:spacing w:before="0" w:after="80" w:line="240" w:lineRule="exact"/>
        <w:ind w:hanging="720" w:left="720"/>
        <w:jc w:val="both"/>
      </w:pPr>
      <w:bookmarkStart w:id="514" w:name="Eurostat2025"/>
      <w:hyperlink w:anchor="Eurostat2025txt" w:history="1">
        <w:r>
          <w:rPr>
            <w:color w:val="1F3864"/>
            <w:u w:val="single"/>
          </w:rPr>
          <w:t xml:space="preserve">Eurostat. </w:t>
        </w:r>
      </w:hyperlink>
      <w:r>
        <w:t xml:space="preserve">(2025). </w:t>
      </w:r>
      <w:r>
        <w:rPr>
          <w:i/>
        </w:rPr>
        <w:t>Electricity Prices for Non-Household Consumers (nrg_pc_205)</w:t>
      </w:r>
      <w:r>
        <w:t>. Luxembourg: Eurostat.</w:t>
      </w:r>
      <w:bookmarkEnd w:id="514"/>
    </w:p>
    <w:p>
      <w:pPr>
        <w:spacing w:before="0" w:after="80" w:line="240" w:lineRule="exact"/>
        <w:ind w:hanging="720" w:left="720"/>
        <w:jc w:val="both"/>
      </w:pPr>
      <w:bookmarkStart w:id="515" w:name="Farole2011"/>
      <w:hyperlink w:anchor="Farole2011txt" w:history="1">
        <w:r>
          <w:rPr>
            <w:color w:val="1F3864"/>
            <w:u w:val="single"/>
          </w:rPr>
          <w:t xml:space="preserve">Farole, T. </w:t>
        </w:r>
      </w:hyperlink>
      <w:r>
        <w:t xml:space="preserve">(2011). </w:t>
      </w:r>
      <w:r>
        <w:rPr>
          <w:i/>
        </w:rPr>
        <w:t>Special Economic Zones in Africa: Comparing Performance and Learning from Global Experiences</w:t>
      </w:r>
      <w:r>
        <w:t xml:space="preserve">. Washington, DC: </w:t>
      </w:r>
      <w:bookmarkStart w:id="232" w:name="WorldBank2024txt"/>
      <w:hyperlink w:anchor="WorldBank2024" w:history="1">
        <w:r>
          <w:rPr>
            <w:color w:val="1F3864"/>
            <w:u w:val="single"/>
          </w:rPr>
          <w:t xml:space="preserve">World Bank</w:t>
        </w:r>
      </w:hyperlink>
      <w:bookmarkEnd w:id="232"/>
      <w:r>
        <w:t xml:space="preserve">.</w:t>
      </w:r>
      <w:bookmarkEnd w:id="515"/>
    </w:p>
    <w:p>
      <w:pPr>
        <w:spacing w:before="0" w:after="80" w:line="240" w:lineRule="exact"/>
        <w:ind w:hanging="720" w:left="720"/>
        <w:jc w:val="both"/>
      </w:pPr>
      <w:bookmarkStart w:id="516" w:name="Firebird2026"/>
      <w:hyperlink w:anchor="Firebird2026txt" w:history="1">
        <w:r>
          <w:rPr>
            <w:color w:val="1F3864"/>
            <w:u w:val="single"/>
          </w:rPr>
          <w:t xml:space="preserve">Firebird. (2026). </w:t>
        </w:r>
      </w:hyperlink>
      <w:r>
        <w:t>“Phase 2 of Armenia AI Megaproject, Scaling to $4 Billion and 50,000 GPUs.” Press release, January 2026.</w:t>
      </w:r>
      <w:bookmarkEnd w:id="516"/>
    </w:p>
    <w:p>
      <w:pPr>
        <w:spacing w:before="0" w:after="80" w:line="240" w:lineRule="exact"/>
        <w:ind w:hanging="720" w:left="720"/>
        <w:jc w:val="both"/>
      </w:pPr>
      <w:bookmarkStart w:id="517" w:name="Flucker2013"/>
      <w:hyperlink w:anchor="Flucker2013txt" w:history="1">
        <w:r>
          <w:rPr>
            <w:color w:val="1F3864"/>
            <w:u w:val="single"/>
          </w:rPr>
          <w:t xml:space="preserve">Flucker, S., R. Tozer, and R. Whitehead. (2013). </w:t>
        </w:r>
      </w:hyperlink>
      <w:r>
        <w:t xml:space="preserve">“Data Centre Energy Efficiency Analysis to Minimize Total Cost of Ownership.” </w:t>
      </w:r>
      <w:r>
        <w:rPr>
          <w:i/>
        </w:rPr>
        <w:t>Building Services Engineering Research and Technology</w:t>
      </w:r>
      <w:r>
        <w:t>, 34(1): 103–117.</w:t>
      </w:r>
      <w:bookmarkEnd w:id="517"/>
    </w:p>
    <w:p>
      <w:pPr>
        <w:spacing w:before="0" w:after="80" w:line="240" w:lineRule="exact"/>
        <w:ind w:hanging="720" w:left="720"/>
        <w:jc w:val="both"/>
      </w:pPr>
      <w:bookmarkStart w:id="518" w:name="Frick2019"/>
      <w:hyperlink w:anchor="Frick2019txt" w:history="1">
        <w:r>
          <w:rPr>
            <w:color w:val="1F3864"/>
            <w:u w:val="single"/>
          </w:rPr>
          <w:t xml:space="preserve">Frick, S., A. Rodríguez-Pose, and M. Wong. (2019). </w:t>
        </w:r>
      </w:hyperlink>
      <w:r>
        <w:t xml:space="preserve">“Toward Economically Dynamic Special Economic Zones in Emerging Countries.” </w:t>
      </w:r>
      <w:r>
        <w:rPr>
          <w:i/>
        </w:rPr>
        <w:t>Economic Geography</w:t>
      </w:r>
      <w:r>
        <w:t>, 95(1): 30–64.</w:t>
      </w:r>
      <w:bookmarkEnd w:id="518"/>
    </w:p>
    <w:p>
      <w:pPr>
        <w:spacing w:before="0" w:after="80" w:line="240" w:lineRule="exact"/>
        <w:ind w:hanging="720" w:left="720"/>
        <w:jc w:val="both"/>
      </w:pPr>
      <w:bookmarkStart w:id="519" w:name="GlobalPetrolPrices2025"/>
      <w:hyperlink w:anchor="GlobalPetrolPrices2025txt" w:history="1">
        <w:r>
          <w:rPr>
            <w:color w:val="1F3864"/>
            <w:u w:val="single"/>
          </w:rPr>
          <w:t xml:space="preserve">GlobalPetrolPrices. </w:t>
        </w:r>
      </w:hyperlink>
      <w:r>
        <w:t xml:space="preserve">(2025). </w:t>
      </w:r>
      <w:r>
        <w:rPr>
          <w:i/>
        </w:rPr>
        <w:t>Electricity Prices Around the World</w:t>
      </w:r>
      <w:r>
        <w:t>. globalpetrolprices.com.</w:t>
      </w:r>
      <w:bookmarkEnd w:id="519"/>
    </w:p>
    <w:p>
      <w:pPr>
        <w:spacing w:before="0" w:after="80" w:line="240" w:lineRule="exact"/>
        <w:ind w:hanging="720" w:left="720"/>
        <w:jc w:val="both"/>
      </w:pPr>
      <w:bookmarkStart w:id="520" w:name="Goldfarb2018"/>
      <w:hyperlink w:anchor="Goldfarb2018txt" w:history="1">
        <w:r>
          <w:rPr>
            <w:color w:val="1F3864"/>
            <w:u w:val="single"/>
          </w:rPr>
          <w:t xml:space="preserve">Goldfarb, A., and D. Trefler. (2018). </w:t>
        </w:r>
      </w:hyperlink>
      <w:r>
        <w:t xml:space="preserve">“AI and International Trade.” In </w:t>
      </w:r>
      <w:r>
        <w:rPr>
          <w:i/>
        </w:rPr>
        <w:t>The Economics of Artificial Intelligence</w:t>
      </w:r>
      <w:r>
        <w:t>. Chicago: Univ. of Chicago Press, pp. 463–492.</w:t>
      </w:r>
      <w:bookmarkEnd w:id="520"/>
    </w:p>
    <w:p>
      <w:pPr>
        <w:spacing w:before="0" w:after="80" w:line="240" w:lineRule="exact"/>
        <w:ind w:hanging="720" w:left="720"/>
        <w:jc w:val="both"/>
      </w:pPr>
      <w:bookmarkStart w:id="521" w:name="Google2024"/>
      <w:r>
        <w:rPr>
          <w:color w:val="1F3864"/>
          <w:u w:val="single"/>
        </w:rPr>
        <w:t xml:space="preserve">Google. </w:t>
      </w:r>
      <w:r>
        <w:t xml:space="preserve">(2024). </w:t>
      </w:r>
      <w:r>
        <w:rPr>
          <w:i/>
        </w:rPr>
        <w:t>2024 Environmental Report</w:t>
      </w:r>
      <w:r>
        <w:t>. sustainability.google.</w:t>
      </w:r>
      <w:bookmarkEnd w:id="521"/>
    </w:p>
    <w:p>
      <w:pPr>
        <w:spacing w:before="0" w:after="80" w:line="240" w:lineRule="exact"/>
        <w:ind w:hanging="720" w:left="720"/>
        <w:jc w:val="both"/>
      </w:pPr>
      <w:bookmarkStart w:id="522" w:name="Hausmann2007"/>
      <w:hyperlink w:anchor="Hausmann2007txt" w:history="1">
        <w:r>
          <w:rPr>
            <w:color w:val="1F3864"/>
            <w:u w:val="single"/>
          </w:rPr>
          <w:t xml:space="preserve">Hausmann, R., J. Hwang, and D. Rodrik. (2007). </w:t>
        </w:r>
      </w:hyperlink>
      <w:r>
        <w:t xml:space="preserve">“What You Export Matters.” </w:t>
      </w:r>
      <w:r>
        <w:rPr>
          <w:i/>
        </w:rPr>
        <w:t>Journal of Economic Growth</w:t>
      </w:r>
      <w:r>
        <w:t>, 12(1): 1–25.</w:t>
      </w:r>
      <w:bookmarkEnd w:id="522"/>
    </w:p>
    <w:p>
      <w:pPr>
        <w:spacing w:before="0" w:after="80" w:line="240" w:lineRule="exact"/>
        <w:ind w:hanging="720" w:left="720"/>
        <w:jc w:val="both"/>
      </w:pPr>
      <w:bookmarkStart w:id="523" w:name="HMY2004"/>
      <w:hyperlink w:anchor="HMY2004txt" w:history="1">
        <w:r>
          <w:rPr>
            <w:color w:val="1F3864"/>
            <w:u w:val="single"/>
          </w:rPr>
          <w:t xml:space="preserve">Helpman, E., M. Melitz, and S. Yeaple. (2004). </w:t>
        </w:r>
      </w:hyperlink>
      <w:r>
        <w:t xml:space="preserve">“Export Versus FDI with Heterogeneous Firms.” </w:t>
      </w:r>
      <w:r>
        <w:rPr>
          <w:i/>
        </w:rPr>
        <w:t>American Economic Review</w:t>
      </w:r>
      <w:r>
        <w:t>, 94(1): 300–316.</w:t>
      </w:r>
      <w:bookmarkEnd w:id="523"/>
    </w:p>
    <w:p>
      <w:pPr>
        <w:spacing w:before="0" w:after="80" w:line="240" w:lineRule="exact"/>
        <w:ind w:hanging="720" w:left="720"/>
        <w:jc w:val="both"/>
      </w:pPr>
      <w:bookmarkStart w:id="524" w:name="Hersbach2020"/>
      <w:hyperlink w:anchor="Hersbach2020txt" w:history="1">
        <w:r>
          <w:rPr>
            <w:color w:val="1F3864"/>
            <w:u w:val="single"/>
          </w:rPr>
          <w:t xml:space="preserve">Hersbach, H., et al. (2020). </w:t>
        </w:r>
      </w:hyperlink>
      <w:r>
        <w:t xml:space="preserve">“The ERA5 Global Reanalysis.” </w:t>
      </w:r>
      <w:r>
        <w:rPr>
          <w:i/>
        </w:rPr>
        <w:t>Quarterly Journal of the Royal Meteorological Society</w:t>
      </w:r>
      <w:r>
        <w:t>, 146(730): 1999–2049.</w:t>
      </w:r>
      <w:bookmarkEnd w:id="524"/>
    </w:p>
    <w:p>
      <w:pPr>
        <w:spacing w:before="0" w:after="80" w:line="240" w:lineRule="exact"/>
        <w:ind w:hanging="720" w:left="720"/>
        <w:jc w:val="both"/>
      </w:pPr>
      <w:bookmarkStart w:id="525" w:name="IEA2025"/>
      <w:hyperlink w:anchor="IEA2025txt" w:history="1">
        <w:r>
          <w:rPr>
            <w:color w:val="1F3864"/>
            <w:u w:val="single"/>
          </w:rPr>
          <w:t xml:space="preserve">IEA. (2025). </w:t>
        </w:r>
      </w:hyperlink>
      <w:r>
        <w:t>“Energy Demand from AI.” Published online at iea.org.</w:t>
      </w:r>
      <w:bookmarkEnd w:id="525"/>
    </w:p>
    <w:p>
      <w:pPr>
        <w:spacing w:before="0" w:after="80" w:line="240" w:lineRule="exact"/>
        <w:ind w:hanging="720" w:left="720"/>
        <w:jc w:val="both"/>
      </w:pPr>
      <w:bookmarkStart w:id="526" w:name="IMF2025"/>
      <w:hyperlink w:anchor="IMF2025txt" w:history="1">
        <w:r>
          <w:rPr>
            <w:color w:val="1F3864"/>
            <w:u w:val="single"/>
          </w:rPr>
          <w:t xml:space="preserve">IMF. (2025). </w:t>
        </w:r>
      </w:hyperlink>
      <w:r>
        <w:t xml:space="preserve">“Fossil Fuel Subsidies Data: 2025 Update.” </w:t>
      </w:r>
      <w:r>
        <w:rPr>
          <w:i/>
        </w:rPr>
        <w:t>IMF Working Paper</w:t>
      </w:r>
      <w:r>
        <w:t xml:space="preserve"> WP/25/270.</w:t>
      </w:r>
      <w:bookmarkEnd w:id="526"/>
    </w:p>
    <w:p>
      <w:pPr>
        <w:spacing w:before="0" w:after="80" w:line="240" w:lineRule="exact"/>
        <w:ind w:hanging="720" w:left="720"/>
        <w:jc w:val="both"/>
      </w:pPr>
      <w:bookmarkStart w:id="527" w:name="Korinek2021"/>
      <w:hyperlink w:anchor="Korinek2021txt" w:history="1">
        <w:r>
          <w:rPr>
            <w:color w:val="1F3864"/>
            <w:u w:val="single"/>
          </w:rPr>
          <w:t xml:space="preserve">Korinek, A., and J. Stiglitz. (2021). </w:t>
        </w:r>
      </w:hyperlink>
      <w:r>
        <w:t xml:space="preserve">“AI, Globalization, and Strategies for Economic Development.” </w:t>
      </w:r>
      <w:r>
        <w:rPr>
          <w:i/>
        </w:rPr>
        <w:t>NBER Working Paper</w:t>
      </w:r>
      <w:r>
        <w:t xml:space="preserve"> No. 28453.</w:t>
      </w:r>
      <w:bookmarkEnd w:id="527"/>
    </w:p>
    <w:p>
      <w:pPr>
        <w:spacing w:before="0" w:after="80" w:line="240" w:lineRule="exact"/>
        <w:ind w:hanging="720" w:left="720"/>
        <w:jc w:val="both"/>
      </w:pPr>
      <w:bookmarkStart w:id="528" w:name="Krugman1991"/>
      <w:hyperlink w:anchor="Krugman1991txt" w:history="1">
        <w:r>
          <w:rPr>
            <w:color w:val="1F3864"/>
            <w:u w:val="single"/>
          </w:rPr>
          <w:t xml:space="preserve">Krugman, P. (1991). </w:t>
        </w:r>
      </w:hyperlink>
      <w:r>
        <w:t xml:space="preserve">“Increasing Returns and Economic Geography.” </w:t>
      </w:r>
      <w:r>
        <w:rPr>
          <w:i/>
        </w:rPr>
        <w:t>Journal of Political Economy</w:t>
      </w:r>
      <w:r>
        <w:t>, 99(3): 483–499.</w:t>
      </w:r>
      <w:bookmarkEnd w:id="528"/>
    </w:p>
    <w:p>
      <w:pPr>
        <w:spacing w:before="0" w:after="80" w:line="240" w:lineRule="exact"/>
        <w:ind w:hanging="720" w:left="720"/>
        <w:jc w:val="both"/>
      </w:pPr>
      <w:bookmarkStart w:id="529" w:name="Lazard2025"/>
      <w:hyperlink w:anchor="Lazard2025txt" w:history="1">
        <w:r>
          <w:rPr>
            <w:color w:val="1F3864"/>
            <w:u w:val="single"/>
          </w:rPr>
          <w:t xml:space="preserve">Lazard. </w:t>
        </w:r>
      </w:hyperlink>
      <w:r>
        <w:t xml:space="preserve">(2025). </w:t>
      </w:r>
      <w:r>
        <w:rPr>
          <w:i/>
        </w:rPr>
        <w:t>Lazard’s Levelized Cost of Energy Analysis, Version 17.0</w:t>
      </w:r>
      <w:r>
        <w:t>. lazard.com.</w:t>
      </w:r>
      <w:bookmarkEnd w:id="529"/>
    </w:p>
    <w:p>
      <w:pPr>
        <w:spacing w:before="0" w:after="80" w:line="240" w:lineRule="exact"/>
        <w:ind w:hanging="720" w:left="720"/>
        <w:jc w:val="both"/>
      </w:pPr>
      <w:bookmarkStart w:id="530" w:name="Lehdonvirta2024"/>
      <w:hyperlink w:anchor="Lehdonvirta2024txt" w:history="1">
        <w:r>
          <w:rPr>
            <w:color w:val="1F3864"/>
            <w:u w:val="single"/>
          </w:rPr>
          <w:t xml:space="preserve">Lehdonvirta, V., B. Wu, and Z. Hawkins. (2024). </w:t>
        </w:r>
      </w:hyperlink>
      <w:r>
        <w:t xml:space="preserve">“Compute North vs. Compute South: The Uneven Possibilities of Compute-Based AI Governance Around the Globe.” </w:t>
      </w:r>
      <w:r>
        <w:rPr>
          <w:i/>
        </w:rPr>
        <w:t>Proceedings of the AAAI/ACM Conference on AI, Ethics, and Society</w:t>
      </w:r>
      <w:r>
        <w:t>, 7(1): 828–838.</w:t>
      </w:r>
      <w:bookmarkEnd w:id="530"/>
    </w:p>
    <w:p>
      <w:pPr>
        <w:spacing w:before="0" w:after="80" w:line="240" w:lineRule="exact"/>
        <w:ind w:hanging="720" w:left="720"/>
        <w:jc w:val="both"/>
      </w:pPr>
      <w:bookmarkStart w:id="531" w:name="Limao2001"/>
      <w:hyperlink w:anchor="Limao2001txt" w:history="1">
        <w:r>
          <w:rPr>
            <w:color w:val="1F3864"/>
            <w:u w:val="single"/>
          </w:rPr>
          <w:t xml:space="preserve">Limão, N., and A. Venables. (2001). </w:t>
        </w:r>
      </w:hyperlink>
      <w:r>
        <w:t xml:space="preserve">“Infrastructure, Geographical Disadvantage, Transport Costs, and Trade.” </w:t>
      </w:r>
      <w:r>
        <w:rPr>
          <w:i/>
        </w:rPr>
        <w:t xml:space="preserve"/>
      </w:r>
      <w:bookmarkStart w:id="233" w:name="WorldBank2024txt"/>
      <w:hyperlink w:anchor="WorldBank2024" w:history="1">
        <w:r>
          <w:rPr>
            <w:i/>
            <w:color w:val="1F3864"/>
            <w:u w:val="single"/>
          </w:rPr>
          <w:t xml:space="preserve">World Bank</w:t>
        </w:r>
      </w:hyperlink>
      <w:bookmarkEnd w:id="233"/>
      <w:r>
        <w:rPr>
          <w:i/>
        </w:rPr>
        <w:t xml:space="preserve"> Economic Review</w:t>
      </w:r>
      <w:r>
        <w:t>, 15(3): 451–479.</w:t>
      </w:r>
      <w:bookmarkEnd w:id="531"/>
    </w:p>
    <w:p>
      <w:pPr>
        <w:spacing w:before="0" w:after="80" w:line="240" w:lineRule="exact"/>
        <w:ind w:hanging="720" w:left="720"/>
        <w:jc w:val="both"/>
      </w:pPr>
      <w:bookmarkStart w:id="532" w:name="Liu2023"/>
      <w:hyperlink w:anchor="Liu2023txt" w:history="1">
        <w:r>
          <w:rPr>
            <w:color w:val="1F3864"/>
            <w:u w:val="single"/>
          </w:rPr>
          <w:t xml:space="preserve">Liu, Z., A. Wierman, Y. Chen, B. Raber, and J. Moriarty. (2023). </w:t>
        </w:r>
      </w:hyperlink>
      <w:r>
        <w:t xml:space="preserve">“Sustainability of Data Center Digital Twins.” </w:t>
      </w:r>
      <w:r>
        <w:rPr>
          <w:i/>
        </w:rPr>
        <w:t>Proceedings of ACM e-Energy</w:t>
      </w:r>
      <w:r>
        <w:t>, pp. 178–189.</w:t>
      </w:r>
      <w:bookmarkEnd w:id="532"/>
    </w:p>
    <w:p>
      <w:pPr>
        <w:spacing w:before="0" w:after="80" w:line="240" w:lineRule="exact"/>
        <w:ind w:hanging="720" w:left="720"/>
        <w:jc w:val="both"/>
      </w:pPr>
      <w:bookmarkStart w:id="533" w:name="NVIDIA2024"/>
      <w:r>
        <w:rPr>
          <w:color w:val="1F3864"/>
          <w:u w:val="single"/>
        </w:rPr>
        <w:t xml:space="preserve">NVIDIA. </w:t>
      </w:r>
      <w:r>
        <w:t xml:space="preserve">(2024). </w:t>
      </w:r>
      <w:r>
        <w:rPr>
          <w:i/>
        </w:rPr>
        <w:t>NVIDIA H100 Tensor Core GPU Datasheet</w:t>
      </w:r>
      <w:r>
        <w:t>. nvidia.com.</w:t>
      </w:r>
      <w:bookmarkEnd w:id="533"/>
    </w:p>
    <w:p>
      <w:pPr>
        <w:spacing w:before="0" w:after="80" w:line="240" w:lineRule="exact"/>
        <w:ind w:hanging="720" w:left="720"/>
        <w:jc w:val="both"/>
      </w:pPr>
      <w:bookmarkStart w:id="534" w:name="Ohlin1933"/>
      <w:hyperlink w:anchor="Ohlin1933txt" w:history="1">
        <w:r>
          <w:rPr>
            <w:color w:val="1F3864"/>
            <w:u w:val="single"/>
          </w:rPr>
          <w:t xml:space="preserve">Ohlin, B. </w:t>
        </w:r>
      </w:hyperlink>
      <w:r>
        <w:t xml:space="preserve">(1933). </w:t>
      </w:r>
      <w:r>
        <w:rPr>
          <w:i/>
        </w:rPr>
        <w:t>Interregional and International Trade</w:t>
      </w:r>
      <w:r>
        <w:t>. Cambridge, MA: Harvard University Press.</w:t>
      </w:r>
      <w:bookmarkEnd w:id="534"/>
    </w:p>
    <w:p>
      <w:pPr>
        <w:spacing w:before="0" w:after="80" w:line="240" w:lineRule="exact"/>
        <w:ind w:hanging="720" w:left="720"/>
        <w:jc w:val="both"/>
      </w:pPr>
      <w:bookmarkStart w:id="535" w:name="Pilz2025"/>
      <w:hyperlink w:anchor="Pilz2025txt" w:history="1">
        <w:r>
          <w:rPr>
            <w:color w:val="1F3864"/>
            <w:u w:val="single"/>
          </w:rPr>
          <w:t xml:space="preserve">Pilz, K., Y. Mahmood, and L. Heim. </w:t>
        </w:r>
      </w:hyperlink>
      <w:r>
        <w:t xml:space="preserve">(2025). </w:t>
      </w:r>
      <w:r>
        <w:rPr>
          <w:i/>
        </w:rPr>
        <w:t>AI’s Power Requirements Under Exponential Growth</w:t>
      </w:r>
      <w:r>
        <w:t>. Santa Monica, CA: RAND Corporation, RR-A3572-1.</w:t>
      </w:r>
      <w:bookmarkEnd w:id="535"/>
    </w:p>
    <w:p>
      <w:pPr>
        <w:spacing w:before="0" w:after="80" w:line="240" w:lineRule="exact"/>
        <w:ind w:hanging="720" w:left="720"/>
        <w:jc w:val="both"/>
      </w:pPr>
      <w:bookmarkStart w:id="536" w:name="Sastry2024"/>
      <w:hyperlink w:anchor="Sastry2024txt" w:history="1">
        <w:r>
          <w:rPr>
            <w:color w:val="1F3864"/>
            <w:u w:val="single"/>
          </w:rPr>
          <w:t xml:space="preserve">Sastry, G., L. Heim, et al. (2024). </w:t>
        </w:r>
      </w:hyperlink>
      <w:r>
        <w:t>“Computing Power and the Governance of Artificial Intelligence.” arXiv:2402.08797.</w:t>
      </w:r>
      <w:bookmarkEnd w:id="536"/>
    </w:p>
    <w:p>
      <w:pPr>
        <w:spacing w:before="0" w:after="80" w:line="240" w:lineRule="exact"/>
        <w:ind w:hanging="720" w:left="720"/>
        <w:jc w:val="both"/>
      </w:pPr>
      <w:bookmarkStart w:id="537" w:name="Stojkoski2024"/>
      <w:hyperlink w:anchor="Stojkoski2024txt" w:history="1">
        <w:r>
          <w:rPr>
            <w:color w:val="1F3864"/>
            <w:u w:val="single"/>
          </w:rPr>
          <w:t xml:space="preserve">Stojkoski, V., P. Koch, E. Coll, and C. A. Hidalgo. (2024). </w:t>
        </w:r>
      </w:hyperlink>
      <w:r>
        <w:t xml:space="preserve">“Estimating Digital Product Trade through Corporate Revenue Data.” </w:t>
      </w:r>
      <w:r>
        <w:rPr>
          <w:i/>
        </w:rPr>
        <w:t>Nature Communications</w:t>
      </w:r>
      <w:r>
        <w:t>, 15: 5262.</w:t>
      </w:r>
      <w:bookmarkEnd w:id="537"/>
    </w:p>
    <w:p>
      <w:pPr>
        <w:spacing w:before="0" w:after="80" w:line="240" w:lineRule="exact"/>
        <w:ind w:hanging="720" w:left="720"/>
        <w:jc w:val="both"/>
      </w:pPr>
      <w:bookmarkStart w:id="538" w:name="TurnerTownsend2025"/>
      <w:hyperlink w:anchor="TurnerTownsend2025txt" w:history="1">
        <w:r>
          <w:rPr>
            <w:color w:val="1F3864"/>
            <w:u w:val="single"/>
          </w:rPr>
          <w:t xml:space="preserve">Turner &amp; Townsend. </w:t>
        </w:r>
      </w:hyperlink>
      <w:r>
        <w:t xml:space="preserve">(2025). </w:t>
      </w:r>
      <w:r>
        <w:rPr>
          <w:i/>
        </w:rPr>
        <w:t>Data Centre Construction Cost Index 2025</w:t>
      </w:r>
      <w:r>
        <w:t>. turnerandtownsend.com.</w:t>
      </w:r>
      <w:bookmarkEnd w:id="538"/>
    </w:p>
    <w:p>
      <w:pPr>
        <w:spacing w:before="0" w:after="80" w:line="240" w:lineRule="exact"/>
        <w:ind w:hanging="720" w:left="720"/>
        <w:jc w:val="both"/>
      </w:pPr>
      <w:bookmarkStart w:id="539" w:name="TurnerLee2025"/>
      <w:hyperlink w:anchor="TurnerLee2025txt" w:history="1">
        <w:r>
          <w:rPr>
            <w:color w:val="1F3864"/>
            <w:u w:val="single"/>
          </w:rPr>
          <w:t xml:space="preserve">Turner Lee, N., and D. West. (2025). </w:t>
        </w:r>
      </w:hyperlink>
      <w:r>
        <w:t>“The Future of Data Centers.” Brookings Institution, November 2025.</w:t>
      </w:r>
      <w:bookmarkEnd w:id="539"/>
    </w:p>
    <w:p>
      <w:pPr>
        <w:spacing w:before="0" w:after="80" w:line="240" w:lineRule="exact"/>
        <w:ind w:hanging="720" w:left="720"/>
        <w:jc w:val="both"/>
      </w:pPr>
      <w:bookmarkStart w:id="540" w:name="UNCTAD2025"/>
      <w:r>
        <w:rPr>
          <w:color w:val="1F3864"/>
          <w:u w:val="single"/>
        </w:rPr>
        <w:t xml:space="preserve">UNCTAD. </w:t>
      </w:r>
      <w:r>
        <w:t xml:space="preserve">(2025). </w:t>
      </w:r>
      <w:r>
        <w:rPr>
          <w:i/>
        </w:rPr>
        <w:t>Technology and Innovation Report 2025</w:t>
      </w:r>
      <w:r>
        <w:t>. Geneva: United Nations.</w:t>
      </w:r>
      <w:bookmarkEnd w:id="540"/>
    </w:p>
    <w:p>
      <w:pPr>
        <w:spacing w:before="0" w:after="80" w:line="240" w:lineRule="exact"/>
        <w:ind w:hanging="720" w:left="720"/>
        <w:jc w:val="both"/>
      </w:pPr>
      <w:bookmarkStart w:id="541" w:name="UptimeInstitute2024"/>
      <w:hyperlink w:anchor="UptimeInstitute2024txt" w:history="1">
        <w:r>
          <w:rPr>
            <w:color w:val="1F3864"/>
            <w:u w:val="single"/>
          </w:rPr>
          <w:t xml:space="preserve">Uptime Institute. </w:t>
        </w:r>
      </w:hyperlink>
      <w:r>
        <w:t xml:space="preserve">(2024). </w:t>
      </w:r>
      <w:r>
        <w:rPr>
          <w:i/>
        </w:rPr>
        <w:t>Global Data Center Survey Results 2024</w:t>
      </w:r>
      <w:r>
        <w:t>. uptimeinstitute.com.</w:t>
      </w:r>
      <w:bookmarkEnd w:id="541"/>
    </w:p>
    <w:p>
      <w:pPr>
        <w:spacing w:before="0" w:after="80" w:line="240" w:lineRule="exact"/>
        <w:ind w:hanging="720" w:left="720"/>
        <w:jc w:val="both"/>
      </w:pPr>
      <w:bookmarkStart w:id="542" w:name="vanderPloeg2011"/>
      <w:hyperlink w:anchor="vanderPloeg2011txt" w:history="1">
        <w:r>
          <w:rPr>
            <w:color w:val="1F3864"/>
            <w:u w:val="single"/>
          </w:rPr>
          <w:t xml:space="preserve">van der Ploeg, F. (2011). </w:t>
        </w:r>
      </w:hyperlink>
      <w:r>
        <w:t xml:space="preserve">“Natural Resources: Curse or Blessing?” </w:t>
      </w:r>
      <w:r>
        <w:rPr>
          <w:i/>
        </w:rPr>
        <w:t>Journal of Economic Literature</w:t>
      </w:r>
      <w:r>
        <w:t>, 49(2): 366–420.</w:t>
      </w:r>
      <w:bookmarkEnd w:id="542"/>
    </w:p>
    <w:p>
      <w:pPr>
        <w:spacing w:before="0" w:after="80" w:line="240" w:lineRule="exact"/>
        <w:ind w:hanging="720" w:left="720"/>
        <w:jc w:val="both"/>
      </w:pPr>
      <w:bookmarkStart w:id="543" w:name="WonderNetwork2024"/>
      <w:hyperlink w:anchor="WonderNetwork2024txt" w:history="1">
        <w:r>
          <w:rPr>
            <w:color w:val="1F3864"/>
            <w:u w:val="single"/>
          </w:rPr>
          <w:t xml:space="preserve">WonderNetwork. </w:t>
        </w:r>
      </w:hyperlink>
      <w:r>
        <w:t xml:space="preserve">(2024). </w:t>
      </w:r>
      <w:r>
        <w:rPr>
          <w:i/>
        </w:rPr>
        <w:t>Global Ping Statistics</w:t>
      </w:r>
      <w:r>
        <w:t>. wondernetwork.com.</w:t>
      </w:r>
      <w:bookmarkEnd w:id="543"/>
    </w:p>
    <w:p>
      <w:pPr>
        <w:spacing w:before="0" w:after="80" w:line="240" w:lineRule="exact"/>
        <w:ind w:hanging="720" w:left="720"/>
        <w:jc w:val="both"/>
      </w:pPr>
      <w:bookmarkStart w:id="544" w:name="WorldBank2017"/>
      <w:hyperlink w:anchor="WorldBank2017txt" w:history="1">
        <w:r>
          <w:rPr>
            <w:color w:val="1F3864"/>
            <w:u w:val="single"/>
          </w:rPr>
          <w:t xml:space="preserve">World Bank. </w:t>
        </w:r>
      </w:hyperlink>
      <w:r>
        <w:t xml:space="preserve">(2017). </w:t>
      </w:r>
      <w:r>
        <w:rPr>
          <w:i/>
        </w:rPr>
        <w:t>Special Economic Zones: An Operational Review of Their Impacts</w:t>
      </w:r>
      <w:r>
        <w:t xml:space="preserve">. Washington, DC: </w:t>
      </w:r>
      <w:bookmarkStart w:id="234" w:name="WorldBank2024txt"/>
      <w:hyperlink w:anchor="WorldBank2024" w:history="1">
        <w:r>
          <w:rPr>
            <w:color w:val="1F3864"/>
            <w:u w:val="single"/>
          </w:rPr>
          <w:t xml:space="preserve">World Bank</w:t>
        </w:r>
      </w:hyperlink>
      <w:bookmarkEnd w:id="234"/>
      <w:r>
        <w:t xml:space="preserve">.</w:t>
      </w:r>
      <w:bookmarkEnd w:id="544"/>
    </w:p>
    <w:p>
      <w:pPr>
        <w:spacing w:before="0" w:after="80" w:line="240" w:lineRule="exact"/>
        <w:ind w:hanging="720" w:left="720"/>
        <w:jc w:val="both"/>
      </w:pPr>
      <w:bookmarkStart w:id="545" w:name="WorldBank2024"/>
      <w:hyperlink w:anchor="WorldBank2024txt" w:history="1">
        <w:r>
          <w:rPr>
            <w:color w:val="1F3864"/>
            <w:u w:val="single"/>
          </w:rPr>
          <w:t xml:space="preserve">World Bank. </w:t>
        </w:r>
      </w:hyperlink>
      <w:r>
        <w:t xml:space="preserve">(2024). </w:t>
      </w:r>
      <w:r>
        <w:rPr>
          <w:i/>
        </w:rPr>
        <w:t>World Development Indicators</w:t>
      </w:r>
      <w:r>
        <w:t>. Washington, DC.</w:t>
      </w:r>
      <w:bookmarkEnd w:id="545"/>
    </w:p>
    <w:p>
      <w:pPr>
        <w:spacing w:before="0" w:after="80" w:line="240" w:lineRule="exact"/>
        <w:ind w:hanging="720" w:left="720"/>
        <w:jc w:val="both"/>
      </w:pPr>
      <w:bookmarkStart w:id="546" w:name="WorldBank2025"/>
      <w:hyperlink w:anchor="WorldBank2025txt" w:history="1">
        <w:r>
          <w:rPr>
            <w:color w:val="1F3864"/>
            <w:u w:val="single"/>
          </w:rPr>
          <w:t xml:space="preserve">World Bank. </w:t>
        </w:r>
      </w:hyperlink>
      <w:r>
        <w:t xml:space="preserve">(2025). </w:t>
      </w:r>
      <w:r>
        <w:rPr>
          <w:i/>
        </w:rPr>
        <w:t>Digital Progress and Trends Report 2025</w:t>
      </w:r>
      <w:r>
        <w:t xml:space="preserve">: Strengthening AI Foundations. Washington, DC: </w:t>
      </w:r>
      <w:bookmarkStart w:id="235" w:name="WorldBank2024txt"/>
      <w:hyperlink w:anchor="WorldBank2024" w:history="1">
        <w:r>
          <w:rPr>
            <w:color w:val="1F3864"/>
            <w:u w:val="single"/>
          </w:rPr>
          <w:t xml:space="preserve">World Bank</w:t>
        </w:r>
      </w:hyperlink>
      <w:bookmarkEnd w:id="235"/>
      <w:r>
        <w:t xml:space="preserve">.</w:t>
      </w:r>
      <w:bookmarkEnd w:id="546"/>
    </w:p>
    <w:p>
      <w:pPr>
        <w:spacing w:before="0" w:after="80" w:line="240" w:lineRule="exact"/>
        <w:ind w:hanging="720" w:left="720"/>
        <w:jc w:val="both"/>
      </w:pPr>
      <w:bookmarkStart w:id="547" w:name="WBES2025"/>
      <w:hyperlink w:anchor="WBES2025txt" w:history="1">
        <w:r>
          <w:rPr>
            <w:color w:val="1F3864"/>
            <w:u w:val="single"/>
          </w:rPr>
          <w:t xml:space="preserve">World Bank. </w:t>
        </w:r>
      </w:hyperlink>
      <w:r>
        <w:t xml:space="preserve">(2025). </w:t>
      </w:r>
      <w:r>
        <w:rPr>
          <w:i/>
        </w:rPr>
        <w:t>Enterprise Surveys</w:t>
      </w:r>
      <w:r>
        <w:t xml:space="preserve">. Washington, DC: </w:t>
      </w:r>
      <w:bookmarkStart w:id="236" w:name="WorldBank2024txt"/>
      <w:hyperlink w:anchor="WorldBank2024" w:history="1">
        <w:r>
          <w:rPr>
            <w:color w:val="1F3864"/>
            <w:u w:val="single"/>
          </w:rPr>
          <w:t xml:space="preserve">World Bank</w:t>
        </w:r>
      </w:hyperlink>
      <w:bookmarkEnd w:id="236"/>
      <w:r>
        <w:t xml:space="preserve">. enterprisesurveys.org.</w:t>
      </w:r>
      <w:bookmarkEnd w:id="547"/>
    </w:p>
    <w:p>
      <w:pPr>
        <w:spacing w:before="0" w:after="0"/>
      </w:pPr>
      <w:r>
        <w:br w:type="page"/>
      </w:r>
    </w:p>
    <w:p>
      <w:pPr>
        <w:spacing w:before="120" w:after="80"/>
        <w:ind w:firstLine="0"/>
        <w:jc w:val="both"/>
      </w:pPr>
      <w:bookmarkStart w:id="152" w:name="Figure1cals"/>
      <w:hyperlink w:anchor="Figure1calstxt" w:history="1">
        <w:r>
          <w:rPr>
            <w:b/>
            <w:sz w:val="20"/>
            <w:color w:val="1F3864"/>
            <w:u w:val="single"/>
          </w:rPr>
          <w:t>Figure 1</w:t>
        </w:r>
      </w:hyperlink>
      <w:bookmarkEnd w:id="152"/>
      <w:r>
        <w:rPr>
          <w:b/>
          <w:sz w:val="20"/>
        </w:rPr>
        <w:t>. Calibration strategy</w:t>
      </w:r>
    </w:p>
    <w:p>
      <w:pPr>
        <w:spacing w:before="80" w:after="80"/>
        <w:jc w:val="center"/>
      </w:pPr>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calibration_strategy_v28_slide2.png"/>
                    <pic:cNvPicPr/>
                  </pic:nvPicPr>
                  <pic:blipFill>
                    <a:blip r:embed="rId10"/>
                    <a:stretch>
                      <a:fillRect/>
                    </a:stretch>
                  </pic:blipFill>
                  <pic:spPr>
                    <a:xfrm>
                      <a:off x="0" y="0"/>
                      <a:ext cx="5029200" cy="2828925"/>
                    </a:xfrm>
                    <a:prstGeom prst="rect"/>
                  </pic:spPr>
                </pic:pic>
              </a:graphicData>
            </a:graphic>
          </wp:inline>
        </w:drawing>
      </w:r>
    </w:p>
    <w:p>
      <w:pPr>
        <w:spacing w:before="80" w:after="120" w:line="240" w:lineRule="auto"/>
        <w:ind w:firstLine="0" w:left="720" w:right="720"/>
        <w:jc w:val="both"/>
      </w:pPr>
      <w:r>
        <w:rPr>
          <w:b/>
          <w:sz w:val="20"/>
        </w:rPr>
        <w:t xml:space="preserve">Notes: </w:t>
      </w:r>
      <w:r>
        <w:rPr>
          <w:sz w:val="20"/>
        </w:rPr>
        <w:t>Step 1 adjusts production costs from observed tariffs through cost-recovery pricing to efficiency-adjusted costs. Step 2 applies bilateral sovereignty premiums, with a uniform premium (λ = 0.10) as robustness check. Step 3 replaces host-country trust with hyperscaler-intermediated FDI.</w:t>
      </w:r>
    </w:p>
    <w:p>
      <w:pPr>
        <w:spacing w:before="0" w:after="0"/>
      </w:pPr>
      <w:r>
        <w:br w:type="page"/>
      </w:r>
    </w:p>
    <w:p>
      <w:pPr>
        <w:spacing w:before="120" w:after="80"/>
        <w:ind w:firstLine="0"/>
        <w:jc w:val="both"/>
      </w:pPr>
      <w:bookmarkStart w:id="120" w:name="Figure2"/>
      <w:hyperlink w:anchor="Figure2txt" w:history="1">
        <w:r>
          <w:rPr>
            <w:b/>
            <w:sz w:val="20"/>
            <w:color w:val="1F3864"/>
            <w:u w:val="single"/>
          </w:rPr>
          <w:t>Figure 2</w:t>
        </w:r>
      </w:hyperlink>
      <w:bookmarkEnd w:id="120"/>
      <w:r>
        <w:rPr>
          <w:b/>
          <w:sz w:val="20"/>
        </w:rPr>
        <w:t>. Rank change with efficiency adjustment</w:t>
      </w:r>
    </w:p>
    <w:p>
      <w:pPr>
        <w:spacing w:before="80" w:after="80"/>
        <w:jc w:val="center"/>
      </w:pPr>
      <w:r>
        <w:drawing>
          <wp:inline xmlns:a="http://schemas.openxmlformats.org/drawingml/2006/main" xmlns:pic="http://schemas.openxmlformats.org/drawingml/2006/picture">
            <wp:extent cx="4114800" cy="4114800"/>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4114800"/>
                    </a:xfrm>
                    <a:prstGeom prst="rect"/>
                  </pic:spPr>
                </pic:pic>
              </a:graphicData>
            </a:graphic>
          </wp:inline>
        </w:drawing>
      </w:r>
    </w:p>
    <w:p>
      <w:pPr>
        <w:spacing w:before="80" w:after="120" w:line="240" w:lineRule="auto"/>
        <w:ind w:firstLine="0" w:left="720" w:right="720"/>
        <w:jc w:val="left"/>
      </w:pPr>
      <w:r>
        <w:rPr>
          <w:b/>
          <w:sz w:val="20"/>
        </w:rPr>
        <w:t xml:space="preserve">Notes: </w:t>
      </w:r>
      <w:r>
        <w:rPr>
          <w:sz w:val="20"/>
        </w:rPr>
        <w:t>Each point is one country. The dashed line marks unchanged rank. Countries above the line improve their position after efficiency adjustment; countries below it fall. Stars (★) indicate countries with active data center construction announcements. Values in parentheses show the production-efficiency index ξᵉᶠᶠ. Even countries with ξᵉᶠᶠ ≈ 1 shift off the diagonal because penalizing low-ξᵉᶠᶠ competitors pushes them down, mechanically raising higher-ξᵉᶠᶠ countries.</w:t>
      </w:r>
    </w:p>
    <w:p>
      <w:pPr>
        <w:spacing w:before="0" w:after="0"/>
      </w:pPr>
      <w:r>
        <w:br w:type="page"/>
      </w:r>
    </w:p>
    <w:p>
      <w:pPr>
        <w:spacing w:before="200" w:after="80"/>
        <w:ind w:firstLine="0"/>
        <w:jc w:val="both"/>
      </w:pPr>
      <w:bookmarkStart w:id="131" w:name="Table1"/>
      <w:hyperlink w:anchor="Table1txt" w:history="1">
        <w:r>
          <w:rPr>
            <w:b/>
            <w:sz w:val="20"/>
            <w:color w:val="1F3864"/>
            <w:u w:val="single"/>
          </w:rPr>
          <w:t>Table 1</w:t>
        </w:r>
      </w:hyperlink>
      <w:bookmarkEnd w:id="131"/>
      <w:r>
        <w:rPr>
          <w:b/>
          <w:sz w:val="20"/>
        </w:rPr>
        <w:t>. Country regime taxonomy (Proposition 1)</w:t>
      </w:r>
    </w:p>
    <w:tbl>
      <w:tblPr>
        <w:tblStyle w:val="TableGrid"/>
        <w:tblW w:type="pct" w:w="480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28"/>
        <w:gridCol w:w="1728"/>
        <w:gridCol w:w="1728"/>
        <w:gridCol w:w="1728"/>
        <w:gridCol w:w="1728"/>
      </w:tblGrid>
      <w:tr>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1728"/>
            <w:vMerge w:val="restart"/>
          </w:tcPr>
          <w:p>
            <w:pPr>
              <w:jc w:val="center"/>
              <w:spacing w:before="20" w:after="20"/>
              <w:spacing w:before="20" w:after="20"/>
            </w:pPr>
            <w:r/>
            <w:r>
              <w:rPr>
                <w:b w:val="0"/>
                <w:i w:val="0"/>
                <w:sz w:val="14"/>
              </w:rPr>
            </w:r>
          </w:p>
          <w:p>
            <w:pPr>
              <w:jc w:val="center"/>
              <w:spacing w:before="20" w:after="20"/>
              <w:spacing w:before="20" w:after="20"/>
            </w:pPr>
            <w:r/>
            <w:r>
              <w:rPr>
                <w:b w:val="0"/>
                <w:i w:val="0"/>
                <w:sz w:val="14"/>
              </w:rPr>
            </w:r>
          </w:p>
        </w:tc>
        <w:tc>
          <w:tcPr>
            <w:tcW w:type="dxa" w:w="5184"/>
            <w:gridSpan w:val="3"/>
          </w:tcPr>
          <w:p>
            <w:pPr>
              <w:jc w:val="center"/>
              <w:spacing w:before="20" w:after="20"/>
              <w:spacing w:before="20" w:after="20"/>
              <w:spacing w:before="20" w:after="20"/>
            </w:pPr>
            <w:r/>
            <w:r>
              <w:rPr>
                <w:b/>
                <w:sz w:val="18"/>
              </w:rPr>
              <w:t>Training</w:t>
            </w:r>
            <w:r>
              <w:br/>
            </w:r>
            <w:r>
              <w:rPr>
                <w:i/>
                <w:sz w:val="14"/>
              </w:rPr>
              <w:t>domestic production cost →</w:t>
            </w:r>
          </w:p>
        </w:tc>
      </w:tr>
      <w:tr>
        <w:tc>
          <w:tcPr>
            <w:tcW w:type="dxa" w:w="1728"/>
            <w:vMerge/>
          </w:tcPr>
          <w:p/>
        </w:tc>
        <w:tc>
          <w:tcPr>
            <w:tcW w:type="dxa" w:w="1728"/>
            <w:vMerge/>
          </w:tcPr>
          <w:p/>
        </w:tc>
        <w:tc>
          <w:tcPr>
            <w:tcW w:type="dxa" w:w="1728"/>
          </w:tcPr>
          <w:p>
            <w:pPr>
              <w:jc w:val="center"/>
              <w:spacing w:before="20" w:after="20"/>
            </w:pPr>
            <w:r/>
            <w:r>
              <w:rPr>
                <w:b/>
                <w:i w:val="0"/>
                <w:sz w:val="16"/>
              </w:rPr>
              <w:t>Export</w:t>
            </w:r>
          </w:p>
        </w:tc>
        <w:tc>
          <w:tcPr>
            <w:tcW w:type="dxa" w:w="1728"/>
          </w:tcPr>
          <w:p>
            <w:pPr>
              <w:jc w:val="center"/>
              <w:spacing w:before="20" w:after="20"/>
            </w:pPr>
            <w:r/>
            <w:r>
              <w:rPr>
                <w:b/>
                <w:i w:val="0"/>
                <w:sz w:val="16"/>
              </w:rPr>
              <w:t>Domestic</w:t>
            </w:r>
          </w:p>
        </w:tc>
        <w:tc>
          <w:tcPr>
            <w:tcW w:type="dxa" w:w="1728"/>
          </w:tcPr>
          <w:p>
            <w:pPr>
              <w:jc w:val="center"/>
              <w:spacing w:before="20" w:after="20"/>
            </w:pPr>
            <w:r/>
            <w:r>
              <w:rPr>
                <w:b/>
                <w:i w:val="0"/>
                <w:sz w:val="16"/>
              </w:rPr>
              <w:t>Import</w:t>
            </w:r>
          </w:p>
        </w:tc>
      </w:tr>
      <w:tr>
        <w:tc>
          <w:tcPr>
            <w:tcW w:type="dxa" w:w="1728"/>
            <w:vMerge w:val="restart"/>
            <w:textDirection w:val="btLr"/>
            <w:vAlign w:val="center"/>
          </w:tcPr>
          <w:p>
            <w:pPr>
              <w:jc w:val="center"/>
              <w:spacing w:before="20" w:after="20"/>
              <w:spacing w:before="20" w:after="20"/>
              <w:spacing w:before="20" w:after="20"/>
            </w:pPr>
            <w:r/>
            <w:r>
              <w:rPr>
                <w:b/>
                <w:sz w:val="18"/>
              </w:rPr>
              <w:t>Inference</w:t>
            </w:r>
            <w:r>
              <w:br/>
            </w:r>
            <w:r>
              <w:rPr>
                <w:i/>
                <w:sz w:val="14"/>
              </w:rPr>
              <w:t>← domestic production cost</w:t>
            </w:r>
          </w:p>
        </w:tc>
        <w:tc>
          <w:tcPr>
            <w:tcW w:type="dxa" w:w="1728"/>
          </w:tcPr>
          <w:p>
            <w:pPr>
              <w:jc w:val="center"/>
              <w:spacing w:before="20" w:after="20"/>
            </w:pPr>
            <w:r/>
            <w:r>
              <w:rPr>
                <w:b/>
                <w:i w:val="0"/>
                <w:sz w:val="16"/>
              </w:rPr>
              <w:t>Export</w:t>
            </w:r>
          </w:p>
        </w:tc>
        <w:tc>
          <w:tcPr>
            <w:tcW w:type="dxa" w:w="1728"/>
          </w:tcPr>
          <w:p>
            <w:pPr>
              <w:jc w:val="center"/>
              <w:spacing w:before="20" w:after="20"/>
            </w:pPr>
            <w:r/>
            <w:r>
              <w:rPr>
                <w:b w:val="0"/>
                <w:i w:val="0"/>
                <w:sz w:val="15"/>
              </w:rPr>
              <w:t>✓  (i) EE</w:t>
            </w:r>
            <w:r>
              <w:br/>
            </w:r>
            <w:r>
              <w:rPr>
                <w:b w:val="0"/>
                <w:i w:val="0"/>
                <w:sz w:val="15"/>
              </w:rPr>
              <w:t>T+I exporter</w:t>
            </w:r>
            <w:r>
              <w:br/>
            </w:r>
            <w:r>
              <w:rPr>
                <w:b w:val="0"/>
                <w:i w:val="0"/>
                <w:sz w:val="15"/>
              </w:rPr>
              <w:t>Cheapest producers</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(ii) IE</w:t>
            </w:r>
            <w:r>
              <w:br/>
            </w:r>
            <w:r>
              <w:rPr>
                <w:b w:val="0"/>
                <w:i w:val="0"/>
                <w:sz w:val="15"/>
              </w:rPr>
              <w:t>Inference hub</w:t>
            </w:r>
            <w:r>
              <w:br/>
            </w:r>
            <w:r>
              <w:rPr>
                <w:b w:val="0"/>
                <w:i w:val="0"/>
                <w:sz w:val="15"/>
              </w:rPr>
              <w:t>Regional low-cost hubs</w:t>
            </w:r>
          </w:p>
        </w:tc>
      </w:tr>
      <w:tr>
        <w:tc>
          <w:tcPr>
            <w:tcW w:type="dxa" w:w="1728"/>
            <w:vMerge/>
          </w:tcPr>
          <w:p/>
        </w:tc>
        <w:tc>
          <w:tcPr>
            <w:tcW w:type="dxa" w:w="1728"/>
          </w:tcPr>
          <w:p>
            <w:pPr>
              <w:jc w:val="center"/>
              <w:spacing w:before="20" w:after="20"/>
            </w:pPr>
            <w:r/>
            <w:r>
              <w:rPr>
                <w:b/>
                <w:i w:val="0"/>
                <w:sz w:val="16"/>
              </w:rPr>
              <w:t>Domestic</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(iv) DD</w:t>
            </w:r>
            <w:r>
              <w:br/>
            </w:r>
            <w:r>
              <w:rPr>
                <w:b w:val="0"/>
                <w:i w:val="0"/>
                <w:sz w:val="15"/>
              </w:rPr>
              <w:t>Domestic</w:t>
            </w:r>
            <w:r>
              <w:br/>
            </w:r>
            <w:r>
              <w:rPr>
                <w:b w:val="0"/>
                <w:i w:val="0"/>
                <w:sz w:val="15"/>
              </w:rPr>
              <w:t>High sovereignty</w:t>
            </w:r>
          </w:p>
        </w:tc>
        <w:tc>
          <w:tcPr>
            <w:tcW w:type="dxa" w:w="1728"/>
          </w:tcPr>
          <w:p>
            <w:pPr>
              <w:jc w:val="center"/>
              <w:spacing w:before="20" w:after="20"/>
            </w:pPr>
            <w:r/>
            <w:r>
              <w:rPr>
                <w:b w:val="0"/>
                <w:i w:val="0"/>
                <w:sz w:val="15"/>
              </w:rPr>
              <w:t>✓  (iii) ID</w:t>
            </w:r>
            <w:r>
              <w:br/>
            </w:r>
            <w:r>
              <w:rPr>
                <w:b w:val="0"/>
                <w:i w:val="0"/>
                <w:sz w:val="15"/>
              </w:rPr>
              <w:t>Hybrid</w:t>
            </w:r>
            <w:r>
              <w:br/>
            </w:r>
            <w:r>
              <w:rPr>
                <w:b w:val="0"/>
                <w:i w:val="0"/>
                <w:sz w:val="15"/>
              </w:rPr>
              <w:t>Isolated / moderate cost</w:t>
            </w:r>
          </w:p>
        </w:tc>
      </w:tr>
      <w:tr>
        <w:tc>
          <w:tcPr>
            <w:tcW w:type="dxa" w:w="1728"/>
            <w:vMerge/>
          </w:tcPr>
          <w:p/>
        </w:tc>
        <w:tc>
          <w:tcPr>
            <w:tcW w:type="dxa" w:w="1728"/>
          </w:tcPr>
          <w:p>
            <w:pPr>
              <w:jc w:val="center"/>
              <w:spacing w:before="20" w:after="20"/>
            </w:pPr>
            <w:r/>
            <w:r>
              <w:rPr>
                <w:b/>
                <w:i w:val="0"/>
                <w:sz w:val="16"/>
              </w:rPr>
              <w:t>Import</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shd w:val="clear" w:color="auto" w:fill="E0E0E0"/>
          </w:tcPr>
          <w:p>
            <w:pPr>
              <w:jc w:val="center"/>
              <w:spacing w:before="20" w:after="20"/>
            </w:pPr>
            <w:r/>
            <w:r>
              <w:rPr>
                <w:b w:val="0"/>
                <w:i w:val="0"/>
                <w:sz w:val="15"/>
              </w:rPr>
              <w:t>✗</w:t>
            </w:r>
            <w:r>
              <w:br/>
            </w:r>
            <w:r>
              <w:rPr>
                <w:b w:val="0"/>
                <w:i w:val="0"/>
                <w:sz w:val="15"/>
              </w:rPr>
              <w:t>Sovereignty</w:t>
            </w:r>
            <w:r>
              <w:br/>
            </w:r>
            <w:r>
              <w:rPr>
                <w:b w:val="0"/>
                <w:i w:val="0"/>
                <w:sz w:val="15"/>
              </w:rPr>
              <w:t>dominates</w:t>
            </w:r>
          </w:p>
        </w:tc>
        <w:tc>
          <w:tcPr>
            <w:tcW w:type="dxa" w:w="1728"/>
          </w:tcPr>
          <w:p>
            <w:pPr>
              <w:jc w:val="center"/>
              <w:spacing w:before="20" w:after="20"/>
            </w:pPr>
            <w:r/>
            <w:r>
              <w:rPr>
                <w:b w:val="0"/>
                <w:i w:val="0"/>
                <w:sz w:val="15"/>
              </w:rPr>
              <w:t>✓  (v) II</w:t>
            </w:r>
            <w:r>
              <w:br/>
            </w:r>
            <w:r>
              <w:rPr>
                <w:b w:val="0"/>
                <w:i w:val="0"/>
                <w:sz w:val="15"/>
              </w:rPr>
              <w:t>Full importer</w:t>
            </w:r>
            <w:r>
              <w:br/>
            </w:r>
            <w:r>
              <w:rPr>
                <w:b w:val="0"/>
                <w:i w:val="0"/>
                <w:sz w:val="15"/>
              </w:rPr>
              <w:t>High-cost countries</w:t>
            </w:r>
          </w:p>
        </w:tc>
      </w:tr>
    </w:tbl>
    <w:p>
      <w:pPr>
        <w:spacing w:before="40" w:after="160" w:line="240" w:lineRule="auto"/>
        <w:ind w:firstLine="0"/>
        <w:jc w:val="left"/>
      </w:pPr>
      <w:r>
        <w:rPr>
          <w:sz w:val="20"/>
        </w:rPr>
        <w:t xml:space="preserve">Notes: ✓ = feasible in equilibrium. ✗ = ruled out. Grey cells cannot arise. Roman numerals correspond to regime labels in Proposition 1. Letter codes (EE, IE, ID, DD, II) denote training status (first letter: E = export, I = import, D = domestic) and inference status (second letter), used in </w:t>
      </w:r>
      <w:hyperlink w:anchor="Table3" w:history="1">
        <w:r>
          <w:rPr>
            <w:sz w:val="20"/>
            <w:color w:val="1F3864"/>
            <w:u w:val="single"/>
          </w:rPr>
          <w:t xml:space="preserve">Table 3a</w:t>
        </w:r>
      </w:hyperlink>
      <w:r>
        <w:rPr>
          <w:sz w:val="20"/>
        </w:rPr>
        <w:t>.</w:t>
      </w:r>
    </w:p>
    <w:p>
      <w:pPr>
        <w:spacing w:before="0" w:after="0"/>
      </w:pPr>
      <w:r>
        <w:br w:type="page"/>
      </w:r>
    </w:p>
    <w:p>
      <w:pPr>
        <w:spacing w:before="120" w:after="60"/>
        <w:ind w:firstLine="0"/>
        <w:jc w:val="both"/>
      </w:pPr>
      <w:bookmarkStart w:id="110" w:name="Table2"/>
      <w:hyperlink w:anchor="Table2txt" w:history="1">
        <w:r>
          <w:rPr>
            <w:b/>
            <w:sz w:val="20"/>
            <w:color w:val="1F3864"/>
            <w:u w:val="single"/>
          </w:rPr>
          <w:t>Table 2</w:t>
        </w:r>
      </w:hyperlink>
      <w:bookmarkEnd w:id="110"/>
      <w:r>
        <w:rPr>
          <w:b/>
          <w:sz w:val="20"/>
        </w:rPr>
        <w:t>. Model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60"/>
        <w:gridCol w:w="2160"/>
        <w:gridCol w:w="2160"/>
        <w:gridCol w:w="2160"/>
      </w:tblGrid>
      <w:tr>
        <w:tc>
          <w:tcPr>
            <w:tcW w:type="dxa" w:w="3744"/>
            <w:tcBorders>
              <w:top w:val="single" w:sz="4" w:space="0" w:color="auto"/>
              <w:bottom w:val="single" w:sz="4" w:space="0" w:color="auto"/>
            </w:tcBorders>
          </w:tcPr>
          <w:p>
            <w:pPr>
              <w:jc w:val="center"/>
              <w:spacing w:before="10" w:after="10"/>
            </w:pPr>
            <w:r/>
            <w:r>
              <w:rPr>
                <w:rFonts w:ascii="Times New Roman" w:hAnsi="Times New Roman"/>
                <w:b/>
                <w:sz w:val="20"/>
              </w:rPr>
              <w:t>Parameter</w:t>
            </w:r>
          </w:p>
        </w:tc>
        <w:tc>
          <w:tcPr>
            <w:tcW w:type="dxa" w:w="864"/>
            <w:tcBorders>
              <w:top w:val="single" w:sz="4" w:space="0" w:color="auto"/>
              <w:bottom w:val="single" w:sz="4" w:space="0" w:color="auto"/>
            </w:tcBorders>
          </w:tcPr>
          <w:p>
            <w:pPr>
              <w:jc w:val="center"/>
              <w:spacing w:before="10" w:after="10"/>
            </w:pPr>
            <w:r/>
            <w:r>
              <w:rPr>
                <w:rFonts w:ascii="Times New Roman" w:hAnsi="Times New Roman"/>
                <w:b/>
                <w:sz w:val="20"/>
              </w:rPr>
              <w:t>Symbol</w:t>
            </w:r>
          </w:p>
        </w:tc>
        <w:tc>
          <w:tcPr>
            <w:tcW w:type="dxa" w:w="2160"/>
            <w:tcBorders>
              <w:top w:val="single" w:sz="4" w:space="0" w:color="auto"/>
              <w:bottom w:val="single" w:sz="4" w:space="0" w:color="auto"/>
            </w:tcBorders>
          </w:tcPr>
          <w:p>
            <w:pPr>
              <w:jc w:val="center"/>
              <w:spacing w:before="10" w:after="10"/>
            </w:pPr>
            <w:r/>
            <w:r>
              <w:rPr>
                <w:rFonts w:ascii="Times New Roman" w:hAnsi="Times New Roman"/>
                <w:b/>
                <w:sz w:val="20"/>
              </w:rPr>
              <w:t>Value</w:t>
            </w:r>
          </w:p>
        </w:tc>
        <w:tc>
          <w:tcPr>
            <w:tcW w:type="dxa" w:w="2592"/>
            <w:tcBorders>
              <w:top w:val="single" w:sz="4" w:space="0" w:color="auto"/>
              <w:bottom w:val="single" w:sz="4" w:space="0" w:color="auto"/>
            </w:tcBorders>
          </w:tcPr>
          <w:p>
            <w:pPr>
              <w:jc w:val="center"/>
              <w:spacing w:before="10" w:after="10"/>
            </w:pPr>
            <w:r/>
            <w:r>
              <w:rPr>
                <w:rFonts w:ascii="Times New Roman" w:hAnsi="Times New Roman"/>
                <w:b/>
                <w:sz w:val="20"/>
              </w:rPr>
              <w:t>Source</w:t>
            </w:r>
          </w:p>
        </w:tc>
      </w:tr>
      <w:tr>
        <w:tc>
          <w:tcPr>
            <w:tcW w:type="dxa" w:w="3744"/>
          </w:tcPr>
          <w:p>
            <w:pPr>
              <w:jc w:val="left"/>
              <w:spacing w:before="10" w:after="10"/>
            </w:pPr>
            <w:r/>
            <w:r>
              <w:rPr>
                <w:rFonts w:ascii="Times New Roman" w:hAnsi="Times New Roman"/>
                <w:sz w:val="20"/>
              </w:rPr>
              <w:t>GPU thermal design power</w:t>
            </w:r>
          </w:p>
        </w:tc>
        <w:tc>
          <w:tcPr>
            <w:tcW w:type="dxa" w:w="864"/>
          </w:tcPr>
          <w:p>
            <w:pPr>
              <w:jc w:val="center"/>
              <w:spacing w:before="10" w:after="10"/>
            </w:pPr>
            <w:r/>
            <w:r>
              <w:rPr>
                <w:rFonts w:ascii="Times New Roman" w:hAnsi="Times New Roman"/>
                <w:sz w:val="20"/>
              </w:rPr>
              <w:t>γ</w:t>
            </w:r>
          </w:p>
        </w:tc>
        <w:tc>
          <w:tcPr>
            <w:tcW w:type="dxa" w:w="2160"/>
          </w:tcPr>
          <w:p>
            <w:pPr>
              <w:jc w:val="center"/>
              <w:spacing w:before="10" w:after="10"/>
            </w:pPr>
            <w:r/>
            <w:r>
              <w:rPr>
                <w:rFonts w:ascii="Times New Roman" w:hAnsi="Times New Roman"/>
                <w:sz w:val="20"/>
              </w:rPr>
              <w:t>0.700 kW</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purchase price</w:t>
            </w:r>
          </w:p>
        </w:tc>
        <w:tc>
          <w:tcPr>
            <w:tcW w:type="dxa" w:w="864"/>
          </w:tcPr>
          <w:p>
            <w:pPr>
              <w:jc w:val="center"/>
              <w:spacing w:before="10" w:after="10"/>
            </w:pPr>
            <w:r/>
            <w:r>
              <w:rPr>
                <w:rFonts w:ascii="Times New Roman" w:hAnsi="Times New Roman"/>
                <w:i/>
                <w:sz w:val="20"/>
              </w:rPr>
              <w:t>P</w:t>
            </w:r>
            <w:r>
              <w:rPr>
                <w:rFonts w:ascii="Times New Roman" w:hAnsi="Times New Roman"/>
                <w:sz w:val="20"/>
                <w:vertAlign w:val="subscript"/>
              </w:rPr>
              <w:t>GPU</w:t>
            </w:r>
          </w:p>
        </w:tc>
        <w:tc>
          <w:tcPr>
            <w:tcW w:type="dxa" w:w="2160"/>
          </w:tcPr>
          <w:p>
            <w:pPr>
              <w:jc w:val="center"/>
              <w:spacing w:before="10" w:after="10"/>
            </w:pPr>
            <w:r/>
            <w:r>
              <w:rPr>
                <w:rFonts w:ascii="Times New Roman" w:hAnsi="Times New Roman"/>
                <w:sz w:val="20"/>
              </w:rPr>
              <w:t>$25,000</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useful life</w:t>
            </w:r>
          </w:p>
        </w:tc>
        <w:tc>
          <w:tcPr>
            <w:tcW w:type="dxa" w:w="864"/>
          </w:tcPr>
          <w:p>
            <w:pPr>
              <w:jc w:val="center"/>
              <w:spacing w:before="10" w:after="10"/>
            </w:pPr>
            <w:r/>
            <w:r>
              <w:rPr>
                <w:rFonts w:ascii="Times New Roman" w:hAnsi="Times New Roman"/>
                <w:sz w:val="20"/>
              </w:rPr>
              <w:t>L</w:t>
            </w:r>
          </w:p>
        </w:tc>
        <w:tc>
          <w:tcPr>
            <w:tcW w:type="dxa" w:w="2160"/>
          </w:tcPr>
          <w:p>
            <w:pPr>
              <w:jc w:val="center"/>
              <w:spacing w:before="10" w:after="10"/>
            </w:pPr>
            <w:r/>
            <w:r>
              <w:rPr>
                <w:rFonts w:ascii="Times New Roman" w:hAnsi="Times New Roman"/>
                <w:sz w:val="20"/>
              </w:rPr>
              <w:t>3 years</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GPU utilization rate</w:t>
            </w:r>
          </w:p>
        </w:tc>
        <w:tc>
          <w:tcPr>
            <w:tcW w:type="dxa" w:w="864"/>
          </w:tcPr>
          <w:p>
            <w:pPr>
              <w:jc w:val="center"/>
              <w:spacing w:before="10" w:after="10"/>
            </w:pPr>
            <w:r/>
            <w:r>
              <w:rPr>
                <w:rFonts w:ascii="Times New Roman" w:hAnsi="Times New Roman"/>
                <w:sz w:val="20"/>
              </w:rPr>
              <w:t>β</w:t>
            </w:r>
          </w:p>
        </w:tc>
        <w:tc>
          <w:tcPr>
            <w:tcW w:type="dxa" w:w="2160"/>
          </w:tcPr>
          <w:p>
            <w:pPr>
              <w:jc w:val="center"/>
              <w:spacing w:before="10" w:after="10"/>
            </w:pPr>
            <w:r/>
            <w:r>
              <w:rPr>
                <w:rFonts w:ascii="Times New Roman" w:hAnsi="Times New Roman"/>
                <w:sz w:val="20"/>
              </w:rPr>
              <w:t>0.70</w:t>
            </w:r>
          </w:p>
        </w:tc>
        <w:tc>
          <w:tcPr>
            <w:tcW w:type="dxa" w:w="2592"/>
          </w:tcPr>
          <w:p>
            <w:pPr>
              <w:jc w:val="left"/>
              <w:spacing w:before="10" w:after="10"/>
            </w:pPr>
            <w:r/>
            <w:hyperlink w:anchor="Barroso2018" w:history="1">
              <w:r>
                <w:rPr>
                  <w:sz w:val="20"/>
                  <w:rFonts w:ascii="Times New Roman" w:hAnsi="Times New Roman"/>
                  <w:color w:val="1F3864"/>
                  <w:u w:val="single"/>
                </w:rPr>
                <w:t xml:space="preserve">Barroso et al. (2018)</w:t>
              </w:r>
            </w:hyperlink>
          </w:p>
        </w:tc>
      </w:tr>
      <w:tr>
        <w:tc>
          <w:tcPr>
            <w:tcW w:type="dxa" w:w="3744"/>
          </w:tcPr>
          <w:p>
            <w:pPr>
              <w:jc w:val="left"/>
              <w:spacing w:before="10" w:after="10"/>
            </w:pPr>
            <w:r/>
            <w:r>
              <w:rPr>
                <w:rFonts w:ascii="Times New Roman" w:hAnsi="Times New Roman"/>
                <w:sz w:val="20"/>
              </w:rPr>
              <w:t>Hours per year (365.25 x 24)</w:t>
            </w:r>
          </w:p>
        </w:tc>
        <w:tc>
          <w:tcPr>
            <w:tcW w:type="dxa" w:w="864"/>
          </w:tcPr>
          <w:p>
            <w:pPr>
              <w:jc w:val="center"/>
              <w:spacing w:before="10" w:after="10"/>
            </w:pPr>
            <w:r/>
            <w:r>
              <w:rPr>
                <w:rFonts w:ascii="Times New Roman" w:hAnsi="Times New Roman"/>
                <w:sz w:val="20"/>
              </w:rPr>
              <w:t>H</w:t>
            </w:r>
          </w:p>
        </w:tc>
        <w:tc>
          <w:tcPr>
            <w:tcW w:type="dxa" w:w="2160"/>
          </w:tcPr>
          <w:p>
            <w:pPr>
              <w:jc w:val="center"/>
              <w:spacing w:before="10" w:after="10"/>
            </w:pPr>
            <w:r/>
            <w:r>
              <w:rPr>
                <w:rFonts w:ascii="Times New Roman" w:hAnsi="Times New Roman"/>
                <w:sz w:val="20"/>
              </w:rPr>
              <w:t>8766 hr/yr</w:t>
            </w:r>
          </w:p>
        </w:tc>
        <w:tc>
          <w:tcPr>
            <w:tcW w:type="dxa" w:w="2592"/>
          </w:tcPr>
          <w:p>
            <w:pPr>
              <w:jc w:val="left"/>
              <w:spacing w:before="10" w:after="10"/>
            </w:pPr>
            <w:r/>
            <w:r>
              <w:rPr>
                <w:rFonts w:ascii="Times New Roman" w:hAnsi="Times New Roman"/>
                <w:sz w:val="20"/>
              </w:rPr>
              <w:t>Calendar</w:t>
            </w:r>
          </w:p>
        </w:tc>
      </w:tr>
      <w:tr>
        <w:tc>
          <w:tcPr>
            <w:tcW w:type="dxa" w:w="3744"/>
          </w:tcPr>
          <w:p>
            <w:pPr>
              <w:jc w:val="left"/>
              <w:spacing w:before="10" w:after="10"/>
            </w:pPr>
            <w:r/>
            <w:r>
              <w:rPr>
                <w:rFonts w:ascii="Times New Roman" w:hAnsi="Times New Roman"/>
                <w:sz w:val="20"/>
              </w:rPr>
              <w:t>Amortized hardware cost per GPU-hour</w:t>
            </w:r>
          </w:p>
        </w:tc>
        <w:tc>
          <w:tcPr>
            <w:tcW w:type="dxa" w:w="864"/>
          </w:tcPr>
          <w:p>
            <w:pPr>
              <w:jc w:val="center"/>
              <w:spacing w:before="10" w:after="10"/>
            </w:pPr>
            <w:r/>
            <w:r>
              <w:rPr>
                <w:rFonts w:ascii="Times New Roman" w:hAnsi="Times New Roman"/>
                <w:sz w:val="20"/>
              </w:rPr>
              <w:t>ρ</w:t>
            </w:r>
          </w:p>
        </w:tc>
        <w:tc>
          <w:tcPr>
            <w:tcW w:type="dxa" w:w="2160"/>
          </w:tcPr>
          <w:p>
            <w:pPr>
              <w:jc w:val="center"/>
              <w:spacing w:before="10" w:after="10"/>
            </w:pPr>
            <w:r/>
            <w:r>
              <w:rPr>
                <w:rFonts w:ascii="Times New Roman" w:hAnsi="Times New Roman"/>
                <w:sz w:val="20"/>
              </w:rPr>
              <w:t>$1.36/hr</w:t>
            </w:r>
          </w:p>
        </w:tc>
        <w:tc>
          <w:tcPr>
            <w:tcW w:type="dxa" w:w="2592"/>
          </w:tcPr>
          <w:p>
            <w:pPr>
              <w:jc w:val="left"/>
              <w:spacing w:before="10" w:after="10"/>
            </w:pPr>
            <w:r/>
            <w:r>
              <w:rPr>
                <w:rFonts w:ascii="Times New Roman" w:hAnsi="Times New Roman"/>
                <w:sz w:val="20"/>
              </w:rPr>
              <w:t>Derived</w:t>
            </w:r>
          </w:p>
        </w:tc>
      </w:tr>
      <w:tr>
        <w:tc>
          <w:tcPr>
            <w:tcW w:type="dxa" w:w="3744"/>
          </w:tcPr>
          <w:p>
            <w:pPr>
              <w:jc w:val="left"/>
              <w:spacing w:before="10" w:after="10"/>
            </w:pPr>
            <w:r/>
            <w:r>
              <w:rPr>
                <w:rFonts w:ascii="Times New Roman" w:hAnsi="Times New Roman"/>
                <w:sz w:val="20"/>
              </w:rPr>
              <w:t>Amortized networking cost per GPU-hour</w:t>
            </w:r>
          </w:p>
        </w:tc>
        <w:tc>
          <w:tcPr>
            <w:tcW w:type="dxa" w:w="864"/>
          </w:tcPr>
          <w:p>
            <w:pPr>
              <w:jc w:val="center"/>
              <w:spacing w:before="10" w:after="10"/>
            </w:pPr>
            <w:r/>
            <w:r>
              <w:rPr>
                <w:rFonts w:ascii="Times New Roman" w:hAnsi="Times New Roman"/>
                <w:sz w:val="20"/>
              </w:rPr>
              <w:t>η</w:t>
            </w:r>
          </w:p>
        </w:tc>
        <w:tc>
          <w:tcPr>
            <w:tcW w:type="dxa" w:w="2160"/>
          </w:tcPr>
          <w:p>
            <w:pPr>
              <w:jc w:val="center"/>
              <w:spacing w:before="10" w:after="10"/>
            </w:pPr>
            <w:r/>
            <w:r>
              <w:rPr>
                <w:rFonts w:ascii="Times New Roman" w:hAnsi="Times New Roman"/>
                <w:sz w:val="20"/>
              </w:rPr>
              <w:t>$0.15/hr</w:t>
            </w:r>
          </w:p>
        </w:tc>
        <w:tc>
          <w:tcPr>
            <w:tcW w:type="dxa" w:w="2592"/>
          </w:tcPr>
          <w:p>
            <w:pPr>
              <w:jc w:val="left"/>
              <w:spacing w:before="10" w:after="10"/>
            </w:pPr>
            <w:r/>
            <w:hyperlink w:anchor="Liu2023" w:history="1">
              <w:r>
                <w:rPr>
                  <w:sz w:val="20"/>
                  <w:rFonts w:ascii="Times New Roman" w:hAnsi="Times New Roman"/>
                  <w:color w:val="1F3864"/>
                  <w:u w:val="single"/>
                </w:rPr>
                <w:t xml:space="preserve">Liu et al. (2023)</w:t>
              </w:r>
            </w:hyperlink>
          </w:p>
        </w:tc>
      </w:tr>
      <w:tr>
        <w:tc>
          <w:tcPr>
            <w:tcW w:type="dxa" w:w="3744"/>
          </w:tcPr>
          <w:p>
            <w:pPr>
              <w:jc w:val="left"/>
              <w:spacing w:before="10" w:after="10"/>
            </w:pPr>
            <w:r/>
            <w:r>
              <w:rPr>
                <w:rFonts w:ascii="Times New Roman" w:hAnsi="Times New Roman"/>
                <w:sz w:val="20"/>
              </w:rPr>
              <w:t>PUE baseline (best-practice free-air cooling)</w:t>
            </w:r>
          </w:p>
        </w:tc>
        <w:tc>
          <w:tcPr>
            <w:tcW w:type="dxa" w:w="864"/>
          </w:tcPr>
          <w:p>
            <w:pPr>
              <w:jc w:val="center"/>
              <w:spacing w:before="10" w:after="10"/>
            </w:pPr>
            <w:r/>
            <w:r>
              <w:rPr>
                <w:rFonts w:ascii="Times New Roman" w:hAnsi="Times New Roman"/>
                <w:sz w:val="20"/>
              </w:rPr>
              <w:t>φ</w:t>
            </w:r>
          </w:p>
        </w:tc>
        <w:tc>
          <w:tcPr>
            <w:tcW w:type="dxa" w:w="2160"/>
          </w:tcPr>
          <w:p>
            <w:pPr>
              <w:jc w:val="center"/>
              <w:spacing w:before="10" w:after="10"/>
            </w:pPr>
            <w:r/>
            <w:r>
              <w:rPr>
                <w:rFonts w:ascii="Times New Roman" w:hAnsi="Times New Roman"/>
                <w:sz w:val="20"/>
              </w:rPr>
              <w:t>1.08</w:t>
            </w:r>
          </w:p>
        </w:tc>
        <w:tc>
          <w:tcPr>
            <w:tcW w:type="dxa" w:w="2592"/>
          </w:tcPr>
          <w:p>
            <w:pPr>
              <w:jc w:val="left"/>
              <w:spacing w:before="10" w:after="10"/>
            </w:pPr>
            <w:r/>
            <w:hyperlink w:anchor="Google2024" w:history="1">
              <w:r>
                <w:rPr>
                  <w:sz w:val="20"/>
                  <w:rFonts w:ascii="Times New Roman" w:hAnsi="Times New Roman"/>
                  <w:color w:val="1F3864"/>
                  <w:u w:val="single"/>
                </w:rPr>
                <w:t xml:space="preserve">Google (2024)</w:t>
              </w:r>
            </w:hyperlink>
          </w:p>
        </w:tc>
      </w:tr>
      <w:tr>
        <w:tc>
          <w:tcPr>
            <w:tcW w:type="dxa" w:w="3744"/>
          </w:tcPr>
          <w:p>
            <w:pPr>
              <w:jc w:val="left"/>
              <w:spacing w:before="10" w:after="10"/>
            </w:pPr>
            <w:r/>
            <w:r>
              <w:rPr>
                <w:rFonts w:ascii="Times New Roman" w:hAnsi="Times New Roman"/>
                <w:sz w:val="20"/>
              </w:rPr>
              <w:t>PUE temperature sensitivity per degree C</w:t>
            </w:r>
          </w:p>
        </w:tc>
        <w:tc>
          <w:tcPr>
            <w:tcW w:type="dxa" w:w="864"/>
          </w:tcPr>
          <w:p>
            <w:pPr>
              <w:jc w:val="center"/>
              <w:spacing w:before="10" w:after="10"/>
            </w:pPr>
            <w:r/>
            <w:r>
              <w:rPr>
                <w:rFonts w:ascii="Times New Roman" w:hAnsi="Times New Roman"/>
                <w:sz w:val="20"/>
              </w:rPr>
              <w:t>δ</w:t>
            </w:r>
          </w:p>
        </w:tc>
        <w:tc>
          <w:tcPr>
            <w:tcW w:type="dxa" w:w="2160"/>
          </w:tcPr>
          <w:p>
            <w:pPr>
              <w:jc w:val="center"/>
              <w:spacing w:before="10" w:after="10"/>
            </w:pPr>
            <w:r/>
            <w:r>
              <w:rPr>
                <w:rFonts w:ascii="Times New Roman" w:hAnsi="Times New Roman"/>
                <w:sz w:val="20"/>
              </w:rPr>
              <w:t>0.015 per C</w:t>
            </w:r>
          </w:p>
        </w:tc>
        <w:tc>
          <w:tcPr>
            <w:tcW w:type="dxa" w:w="2592"/>
          </w:tcPr>
          <w:p>
            <w:pPr>
              <w:jc w:val="left"/>
              <w:spacing w:before="10" w:after="10"/>
            </w:pPr>
            <w:r/>
            <w:hyperlink w:anchor="Flucker2013" w:history="1">
              <w:r>
                <w:rPr>
                  <w:sz w:val="20"/>
                  <w:rFonts w:ascii="Times New Roman" w:hAnsi="Times New Roman"/>
                  <w:color w:val="1F3864"/>
                  <w:u w:val="single"/>
                </w:rPr>
                <w:t xml:space="preserve">Flucker et al. (2013)</w:t>
              </w:r>
            </w:hyperlink>
          </w:p>
        </w:tc>
      </w:tr>
      <w:tr>
        <w:tc>
          <w:tcPr>
            <w:tcW w:type="dxa" w:w="3744"/>
          </w:tcPr>
          <w:p>
            <w:pPr>
              <w:jc w:val="left"/>
              <w:spacing w:before="10" w:after="10"/>
            </w:pPr>
            <w:r/>
            <w:r>
              <w:rPr>
                <w:rFonts w:ascii="Times New Roman" w:hAnsi="Times New Roman"/>
                <w:sz w:val="20"/>
              </w:rPr>
              <w:t>Free-cooling temperature threshold</w:t>
            </w:r>
          </w:p>
        </w:tc>
        <w:tc>
          <w:tcPr>
            <w:tcW w:type="dxa" w:w="864"/>
          </w:tcPr>
          <w:p>
            <w:pPr>
              <w:jc w:val="center"/>
              <w:spacing w:before="10" w:after="10"/>
            </w:pPr>
            <w:r/>
            <m:oMath>
              <m:bar>
                <m:barPr>
                  <m:pos m:val="top"/>
                </m:barPr>
                <m:e>
                  <m:r>
                    <m:rPr>
                      <m:sty m:val="i"/>
                    </m:rPr>
                    <w:rPr>
                      <w:rFonts w:ascii="Cambria Math" w:hAnsi="Cambria Math"/>
                    </w:rPr>
                    <m:t xml:space="preserve">θ</m:t>
                  </m:r>
                </m:e>
              </m:bar>
            </m:oMath>
          </w:p>
        </w:tc>
        <w:tc>
          <w:tcPr>
            <w:tcW w:type="dxa" w:w="2160"/>
          </w:tcPr>
          <w:p>
            <w:pPr>
              <w:jc w:val="center"/>
              <w:spacing w:before="10" w:after="10"/>
            </w:pPr>
            <w:r/>
            <w:r>
              <w:rPr>
                <w:rFonts w:ascii="Times New Roman" w:hAnsi="Times New Roman"/>
                <w:sz w:val="20"/>
              </w:rPr>
              <w:t>15 C</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Data center facility lifetime</w:t>
            </w:r>
          </w:p>
        </w:tc>
        <w:tc>
          <w:tcPr>
            <w:tcW w:type="dxa" w:w="864"/>
          </w:tcPr>
          <w:p>
            <w:pPr>
              <w:jc w:val="center"/>
              <w:spacing w:before="10" w:after="10"/>
            </w:pPr>
            <w:r/>
            <w:r>
              <w:rPr>
                <w:rFonts w:ascii="Times New Roman" w:hAnsi="Times New Roman"/>
                <w:sz w:val="20"/>
              </w:rPr>
              <w:t>D</w:t>
            </w:r>
          </w:p>
        </w:tc>
        <w:tc>
          <w:tcPr>
            <w:tcW w:type="dxa" w:w="2160"/>
          </w:tcPr>
          <w:p>
            <w:pPr>
              <w:jc w:val="center"/>
              <w:spacing w:before="10" w:after="10"/>
            </w:pPr>
            <w:r/>
            <w:r>
              <w:rPr>
                <w:rFonts w:ascii="Times New Roman" w:hAnsi="Times New Roman"/>
                <w:sz w:val="20"/>
              </w:rPr>
              <w:t>15 years</w:t>
            </w:r>
          </w:p>
        </w:tc>
        <w:tc>
          <w:tcPr>
            <w:tcW w:type="dxa" w:w="2592"/>
          </w:tcPr>
          <w:p>
            <w:pPr>
              <w:jc w:val="left"/>
              <w:spacing w:before="10" w:after="10"/>
            </w:pPr>
            <w:r/>
            <w:hyperlink w:anchor="TurnerTownsend2025" w:history="1">
              <w:r>
                <w:rPr>
                  <w:sz w:val="20"/>
                  <w:rFonts w:ascii="Times New Roman" w:hAnsi="Times New Roman"/>
                  <w:color w:val="1F3864"/>
                  <w:u w:val="single"/>
                </w:rPr>
                <w:t xml:space="preserve">Turner and Townsend (2025)</w:t>
              </w:r>
            </w:hyperlink>
          </w:p>
        </w:tc>
      </w:tr>
      <w:tr>
        <w:tc>
          <w:tcPr>
            <w:tcW w:type="dxa" w:w="3744"/>
          </w:tcPr>
          <w:p>
            <w:pPr>
              <w:jc w:val="left"/>
              <w:spacing w:before="10" w:after="10"/>
            </w:pPr>
            <w:r/>
            <w:r>
              <w:rPr>
                <w:rFonts w:ascii="Times New Roman" w:hAnsi="Times New Roman"/>
                <w:sz w:val="20"/>
              </w:rPr>
              <w:t>Latency degradation per ms of RTT</w:t>
            </w:r>
          </w:p>
        </w:tc>
        <w:tc>
          <w:tcPr>
            <w:tcW w:type="dxa" w:w="864"/>
          </w:tcPr>
          <w:p>
            <w:pPr>
              <w:jc w:val="center"/>
              <w:spacing w:before="10" w:after="10"/>
            </w:pPr>
            <w:r/>
            <w:r>
              <w:rPr>
                <w:rFonts w:ascii="Times New Roman" w:hAnsi="Times New Roman"/>
                <w:sz w:val="20"/>
              </w:rPr>
              <w:t>τ</w:t>
            </w:r>
          </w:p>
        </w:tc>
        <w:tc>
          <w:tcPr>
            <w:tcW w:type="dxa" w:w="2160"/>
          </w:tcPr>
          <w:p>
            <w:pPr>
              <w:jc w:val="center"/>
              <w:spacing w:before="10" w:after="10"/>
            </w:pPr>
            <w:r/>
            <w:r>
              <w:rPr>
                <w:rFonts w:ascii="Times New Roman" w:hAnsi="Times New Roman"/>
                <w:sz w:val="20"/>
              </w:rPr>
              <w:t>0.0008 per ms</w:t>
            </w:r>
          </w:p>
        </w:tc>
        <w:tc>
          <w:tcPr>
            <w:tcW w:type="dxa" w:w="2592"/>
          </w:tcPr>
          <w:p>
            <w:pPr>
              <w:jc w:val="left"/>
              <w:spacing w:before="10" w:after="10"/>
            </w:pPr>
            <w:r/>
            <w:r>
              <w:rPr>
                <w:rFonts w:ascii="Times New Roman" w:hAnsi="Times New Roman"/>
                <w:sz w:val="20"/>
              </w:rPr>
              <w:t>Calibrated</w:t>
            </w:r>
          </w:p>
        </w:tc>
      </w:tr>
      <w:tr>
        <w:tc>
          <w:tcPr>
            <w:tcW w:type="dxa" w:w="3744"/>
          </w:tcPr>
          <w:p>
            <w:pPr>
              <w:jc w:val="left"/>
              <w:spacing w:before="10" w:after="10"/>
            </w:pPr>
            <w:r/>
            <w:r>
              <w:rPr>
                <w:rFonts w:ascii="Times New Roman" w:hAnsi="Times New Roman"/>
                <w:sz w:val="20"/>
              </w:rPr>
              <w:t>Bilateral sovereignty premium</w:t>
            </w:r>
          </w:p>
        </w:tc>
        <w:tc>
          <w:tcPr>
            <w:tcW w:type="dxa" w:w="864"/>
          </w:tcPr>
          <w:p>
            <w:pPr>
              <w:jc w:val="center"/>
              <w:spacing w:before="10" w:after="10"/>
            </w:pPr>
            <w:r/>
            <m:oMath>
              <m:sSub>
                <m:sSubPr/>
                <m:e>
                  <m:r>
                    <m:rPr>
                      <m:sty m:val="i"/>
                    </m:rPr>
                    <w:rPr>
                      <w:rFonts w:ascii="Cambria Math" w:hAnsi="Cambria Math"/>
                    </w:rPr>
                    <m:t xml:space="preserve">λ</m:t>
                  </m:r>
                </m:e>
                <m:sub>
                  <m:r>
                    <m:rPr>
                      <m:sty m:val="i"/>
                    </m:rPr>
                    <w:rPr>
                      <w:rFonts w:ascii="Cambria Math" w:hAnsi="Cambria Math"/>
                    </w:rPr>
                    <m:t xml:space="preserve">ij</m:t>
                  </m:r>
                </m:sub>
              </m:sSub>
            </m:oMath>
          </w:p>
        </w:tc>
        <w:tc>
          <w:tcPr>
            <w:tcW w:type="dxa" w:w="2160"/>
          </w:tcPr>
          <w:p>
            <w:pPr>
              <w:jc w:val="center"/>
              <w:spacing w:before="10" w:after="10"/>
            </w:pPr>
            <w:r/>
            <w:r>
              <w:rPr>
                <w:rFonts w:ascii="Times New Roman" w:hAnsi="Times New Roman"/>
                <w:sz w:val="20"/>
              </w:rPr>
              <w:t>Eq. (2)</w:t>
            </w:r>
          </w:p>
        </w:tc>
        <w:tc>
          <w:tcPr>
            <w:tcW w:type="dxa" w:w="2592"/>
          </w:tcPr>
          <w:p>
            <w:pPr>
              <w:jc w:val="left"/>
              <w:spacing w:before="10" w:after="10"/>
            </w:pPr>
            <w:r/>
            <w:r>
              <w:rPr>
                <w:sz w:val="20"/>
                <w:rFonts w:ascii="Times New Roman" w:hAnsi="Times New Roman"/>
                <w:color w:val="1F3864"/>
                <w:u w:val="single"/>
              </w:rPr>
              <w:t xml:space="preserve">Bailey et al. (2017)</w:t>
            </w:r>
          </w:p>
        </w:tc>
      </w:tr>
      <w:tr>
        <w:tc>
          <w:tcPr>
            <w:tcW w:type="dxa" w:w="3744"/>
          </w:tcPr>
          <w:p>
            <w:pPr>
              <w:jc w:val="left"/>
              <w:spacing w:before="10" w:after="10"/>
            </w:pPr>
            <w:r/>
            <w:r>
              <w:rPr>
                <w:rFonts w:ascii="Times New Roman" w:hAnsi="Times New Roman"/>
                <w:sz w:val="20"/>
              </w:rPr>
              <w:t>Training share of compute demand</w:t>
            </w:r>
          </w:p>
        </w:tc>
        <w:tc>
          <w:tcPr>
            <w:tcW w:type="dxa" w:w="864"/>
          </w:tcPr>
          <w:p>
            <w:pPr>
              <w:jc w:val="center"/>
              <w:spacing w:before="10" w:after="10"/>
            </w:pPr>
            <w:r/>
            <w:r>
              <w:rPr>
                <w:rFonts w:ascii="Times New Roman" w:hAnsi="Times New Roman"/>
                <w:sz w:val="20"/>
              </w:rPr>
              <w:t>α</w:t>
            </w:r>
          </w:p>
        </w:tc>
        <w:tc>
          <w:tcPr>
            <w:tcW w:type="dxa" w:w="2160"/>
          </w:tcPr>
          <w:p>
            <w:pPr>
              <w:jc w:val="center"/>
              <w:spacing w:before="10" w:after="10"/>
            </w:pPr>
            <w:r/>
            <w:r>
              <w:rPr>
                <w:rFonts w:ascii="Times New Roman" w:hAnsi="Times New Roman"/>
                <w:sz w:val="20"/>
              </w:rPr>
              <w:t>0.50</w:t>
            </w:r>
          </w:p>
        </w:tc>
        <w:tc>
          <w:tcPr>
            <w:tcW w:type="dxa" w:w="2592"/>
          </w:tcPr>
          <w:p>
            <w:pPr>
              <w:jc w:val="left"/>
              <w:spacing w:before="10" w:after="10"/>
            </w:pPr>
            <w:r/>
            <w:hyperlink w:anchor="Deloitte2025" w:history="1">
              <w:r>
                <w:rPr>
                  <w:sz w:val="20"/>
                  <w:rFonts w:ascii="Times New Roman" w:hAnsi="Times New Roman"/>
                  <w:color w:val="1F3864"/>
                  <w:u w:val="single"/>
                </w:rPr>
                <w:t xml:space="preserve">Deloitte (2025)</w:t>
              </w:r>
            </w:hyperlink>
          </w:p>
        </w:tc>
      </w:tr>
      <w:tr>
        <w:tc>
          <w:tcPr>
            <w:tcW w:type="dxa" w:w="3744"/>
          </w:tcPr>
          <w:p>
            <w:pPr>
              <w:jc w:val="left"/>
              <w:spacing w:before="10" w:after="10"/>
            </w:pPr>
            <w:r/>
            <w:r>
              <w:rPr>
                <w:rFonts w:ascii="Times New Roman" w:hAnsi="Times New Roman"/>
                <w:sz w:val="20"/>
              </w:rPr>
              <w:t>Total global compute demand</w:t>
            </w:r>
          </w:p>
        </w:tc>
        <w:tc>
          <w:tcPr>
            <w:tcW w:type="dxa" w:w="864"/>
          </w:tcPr>
          <w:p>
            <w:pPr>
              <w:jc w:val="center"/>
              <w:spacing w:before="10" w:after="10"/>
            </w:pPr>
            <w:r/>
            <w:r>
              <w:rPr>
                <w:rFonts w:ascii="Times New Roman" w:hAnsi="Times New Roman"/>
                <w:sz w:val="20"/>
              </w:rPr>
              <w:t>Q</w:t>
            </w:r>
          </w:p>
        </w:tc>
        <w:tc>
          <w:tcPr>
            <w:tcW w:type="dxa" w:w="2160"/>
          </w:tcPr>
          <w:p>
            <w:pPr>
              <w:jc w:val="center"/>
              <w:spacing w:before="10" w:after="10"/>
            </w:pPr>
            <w:r/>
            <w:r>
              <w:rPr>
                <w:rFonts w:ascii="Times New Roman" w:hAnsi="Times New Roman"/>
                <w:sz w:val="20"/>
              </w:rPr>
              <w:t>6×10¹⁰ GPU-hr/yr</w:t>
            </w:r>
          </w:p>
        </w:tc>
        <w:tc>
          <w:tcPr>
            <w:tcW w:type="dxa" w:w="2592"/>
          </w:tcPr>
          <w:p>
            <w:pPr>
              <w:jc w:val="left"/>
              <w:spacing w:before="10" w:after="10"/>
            </w:pPr>
            <w:r/>
            <w:hyperlink w:anchor="EpochAI2024" w:history="1">
              <w:r>
                <w:rPr>
                  <w:sz w:val="20"/>
                  <w:rFonts w:ascii="Times New Roman" w:hAnsi="Times New Roman"/>
                  <w:color w:val="1F3864"/>
                  <w:u w:val="single"/>
                </w:rPr>
                <w:t xml:space="preserve">Epoch AI (2024)</w:t>
              </w:r>
            </w:hyperlink>
          </w:p>
        </w:tc>
      </w:tr>
      <w:tr>
        <w:tc>
          <w:tcPr>
            <w:tcW w:type="dxa" w:w="3744"/>
            <w:tcBorders>
              <w:bottom w:val="double" w:sz="4" w:space="0" w:color="auto"/>
            </w:tcBorders>
          </w:tcPr>
          <w:p>
            <w:pPr>
              <w:jc w:val="left"/>
              <w:spacing w:before="10" w:after="10"/>
            </w:pPr>
            <w:r/>
            <w:r>
              <w:rPr>
                <w:rFonts w:ascii="Times New Roman" w:hAnsi="Times New Roman"/>
                <w:sz w:val="20"/>
              </w:rPr>
              <w:t>Production-efficiency index (baseline)</w:t>
            </w:r>
          </w:p>
        </w:tc>
        <w:tc>
          <w:tcPr>
            <w:tcW w:type="dxa" w:w="864"/>
            <w:tcBorders>
              <w:bottom w:val="double" w:sz="4" w:space="0" w:color="auto"/>
            </w:tcBorders>
          </w:tcPr>
          <w:p>
            <w:pPr>
              <w:jc w:val="center"/>
              <w:spacing w:before="10" w:after="10"/>
            </w:pPr>
            <w:r/>
            <m:oMath>
              <m:sSubSup>
                <m:sSubSupPr/>
                <m:e>
                  <m:r>
                    <m:rPr>
                      <m:sty m:val="i"/>
                    </m:rPr>
                    <w:rPr>
                      <w:rFonts w:ascii="Cambria Math" w:hAnsi="Cambria Math"/>
                    </w:rPr>
                    <m:t xml:space="preserve">ξ</m:t>
                  </m:r>
                </m:e>
                <m:sub>
                  <m:r>
                    <m:rPr>
                      <m:sty m:val="i"/>
                    </m:rPr>
                    <w:rPr>
                      <w:rFonts w:ascii="Cambria Math" w:hAnsi="Cambria Math"/>
                    </w:rPr>
                    <m:t xml:space="preserve">j</m:t>
                  </m:r>
                </m:sub>
                <m:sup>
                  <m:r>
                    <m:rPr>
                      <m:sty m:val="i"/>
                    </m:rPr>
                    <w:rPr>
                      <w:rFonts w:ascii="Cambria Math" w:hAnsi="Cambria Math"/>
                    </w:rPr>
                    <m:t xml:space="preserve">eff</m:t>
                  </m:r>
                </m:sup>
              </m:sSubSup>
            </m:oMath>
          </w:p>
        </w:tc>
        <w:tc>
          <w:tcPr>
            <w:tcW w:type="dxa" w:w="2160"/>
            <w:tcBorders>
              <w:bottom w:val="double" w:sz="4" w:space="0" w:color="auto"/>
            </w:tcBorders>
          </w:tcPr>
          <w:p>
            <w:pPr>
              <w:jc w:val="center"/>
              <w:spacing w:before="10" w:after="10"/>
            </w:pPr>
            <w:r/>
            <w:r>
              <w:rPr>
                <w:rFonts w:ascii="Times New Roman" w:hAnsi="Times New Roman"/>
                <w:sz w:val="20"/>
              </w:rPr>
              <w:t>1.00</w:t>
            </w:r>
          </w:p>
        </w:tc>
        <w:tc>
          <w:tcPr>
            <w:tcW w:type="dxa" w:w="2592"/>
            <w:tcBorders>
              <w:bottom w:val="double" w:sz="4" w:space="0" w:color="auto"/>
            </w:tcBorders>
          </w:tcPr>
          <w:p>
            <w:pPr>
              <w:jc w:val="left"/>
              <w:spacing w:before="10" w:after="10"/>
            </w:pPr>
            <w:r/>
            <w:hyperlink w:anchor="WorldBank2024" w:history="1">
              <w:r>
                <w:rPr>
                  <w:sz w:val="20"/>
                  <w:rFonts w:ascii="Times New Roman" w:hAnsi="Times New Roman"/>
                  <w:color w:val="1F3864"/>
                  <w:u w:val="single"/>
                </w:rPr>
                <w:t xml:space="preserve">WGI and Enterprise Surveys</w:t>
              </w:r>
            </w:hyperlink>
          </w:p>
        </w:tc>
      </w:tr>
    </w:tbl>
    <w:p>
      <w:pPr>
        <w:spacing w:before="0" w:after="120" w:line="240" w:lineRule="auto"/>
        <w:ind w:firstLine="0"/>
        <w:jc w:val="left"/>
        <w:sectPr>
          <w:footerReference w:type="default" r:id="rId12"/>
          <w:footerReference w:type="first" r:id="rId13"/>
          <w:pgSz w:w="12240" w:h="15840"/>
          <w:pgMar w:top="1440" w:right="1440" w:bottom="1440" w:left="1440" w:header="720" w:footer="720"/>
          <w:titlePg/>
        </w:sectPr>
      </w:pPr>
      <w:r>
        <w:rPr>
          <w:b/>
          <w:sz w:val="20"/>
        </w:rPr>
        <w:t xml:space="preserve">Notes: </w:t>
      </w:r>
      <w:r>
        <w:rPr>
          <w:sz w:val="20"/>
        </w:rPr>
        <w:t>Hardware cost ρ = P(GPU) / (L · H · β). PUE(θ) = φ + δ · max(0, θ − θ̄). RTT = round-trip time, the network delay for a data packet to travel from client to server and back, measured in milliseconds. The production-efficiency index ξⱼᵉᶠᶠ is a weighted geometric mean of governance quality and grid reliability (ω = 0.50; equation 3). The efficiency adjustment applies to non-hardware costs: c_adj = ρ + (c_cr − ρ) / ξ. Sanctions exposure is captured by the bilateral sovereignty premium λᵢⱼ (equation 2).</w:t>
      </w:r>
    </w:p>
    <w:p>
      <w:pPr>
        <w:spacing w:before="0" w:after="60"/>
        <w:ind w:firstLine="0"/>
        <w:jc w:val="both"/>
      </w:pPr>
      <w:bookmarkStart w:id="111" w:name="Table3"/>
      <w:hyperlink w:anchor="Table3txt" w:history="1">
        <w:r>
          <w:rPr>
            <w:b/>
            <w:sz w:val="20"/>
            <w:color w:val="1F3864"/>
            <w:u w:val="single"/>
          </w:rPr>
          <w:t>Table 3a</w:t>
        </w:r>
      </w:hyperlink>
      <w:bookmarkEnd w:id="111"/>
      <w:r>
        <w:rPr>
          <w:b/>
          <w:sz w:val="20"/>
        </w:rPr>
        <w:t>. Country rankings under alternative cost specifications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Borders>
              <w:top w:val="single" w:sz="4" w:space="0" w:color="auto"/>
              <w:bottom w:val="single" w:sz="4" w:space="0" w:color="auto"/>
            </w:tcBorders>
            <w:tcW w:w="1800" w:type="dxa"/>
          </w:tcPr>
          <w:p>
            <w:pPr>
              <w:jc w:val="center"/>
              <w:spacing w:before="10" w:after="10"/>
            </w:pPr>
            <w:r/>
            <w:r>
              <w:rPr>
                <w:rFonts w:ascii="Times New Roman" w:hAnsi="Times New Roman"/>
                <w:sz w:val="16"/>
              </w:rPr>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10" w:after="10"/>
              <w:spacing w:before="10" w:after="10"/>
              <w:spacing w:before="10" w:after="10"/>
            </w:pPr>
            <w:r/>
            <w:r>
              <w:rPr>
                <w:rFonts w:ascii="Times New Roman" w:hAnsi="Times New Roman"/>
                <w:b/>
                <w:sz w:val="16"/>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10" w:after="10"/>
              <w:spacing w:before="10" w:after="10"/>
              <w:spacing w:before="10" w:after="10"/>
            </w:pPr>
            <w:r/>
            <w:r>
              <w:rPr>
                <w:rFonts w:ascii="Times New Roman" w:hAnsi="Times New Roman"/>
                <w:b/>
                <w:sz w:val="16"/>
              </w:rPr>
              <w:t>(2) Cost-Recovery</w:t>
            </w:r>
          </w:p>
        </w:tc>
        <w:tc>
          <w:tcPr>
            <w:gridSpan w:val="4"/>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10" w:after="10"/>
              <w:spacing w:before="10" w:after="10"/>
              <w:spacing w:before="10" w:after="10"/>
              <w:spacing w:before="10" w:after="10"/>
            </w:pPr>
            <w:r/>
            <w:r>
              <w:rPr>
                <w:rFonts w:ascii="Times New Roman" w:hAnsi="Times New Roman"/>
                <w:b/>
                <w:sz w:val="16"/>
              </w:rPr>
              <w:t>(3) Efficiency-Adjusted</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10" w:after="10"/>
              <w:spacing w:before="10" w:after="10"/>
              <w:spacing w:before="10" w:after="10"/>
            </w:pPr>
            <w:r/>
            <w:r>
              <w:rPr>
                <w:rFonts w:ascii="Times New Roman" w:hAnsi="Times New Roman"/>
                <w:b/>
                <w:sz w:val="16"/>
              </w:rPr>
              <w:t>(4) Bilateral λᵢⱼ</w:t>
            </w:r>
          </w:p>
        </w:tc>
        <w:tc>
          <w:tcPr>
            <w:tcBorders>
              <w:top w:val="single" w:sz="4" w:space="0" w:color="auto"/>
              <w:bottom w:val="single" w:sz="4" w:space="0" w:color="auto"/>
            </w:tcBorders>
            <w:tcW w:w="540" w:type="dxa"/>
          </w:tcPr>
          <w:p>
            <w:pPr>
              <w:jc w:val="center"/>
              <w:spacing w:before="10" w:after="10"/>
            </w:pPr>
            <w:r/>
            <w:r>
              <w:rPr>
                <w:rFonts w:ascii="Times New Roman" w:hAnsi="Times New Roman"/>
                <w:sz w:val="16"/>
              </w:rPr>
            </w:r>
          </w:p>
        </w:tc>
      </w:tr>
      <w:tr>
        <w:tc>
          <w:tcPr>
            <w:tcBorders>
              <w:top w:val="single" w:sz="4" w:space="0" w:color="auto"/>
              <w:bottom w:val="single" w:sz="4" w:space="0" w:color="auto"/>
            </w:tcBorders>
            <w:tcW w:w="18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cⱼ</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Rank</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cⱼ</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Rank</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cⱼᵃᵈʲ</w:t>
            </w:r>
          </w:p>
        </w:tc>
        <w:tc>
          <w:tcPr>
            <w:tcBorders>
              <w:top w:val="single" w:sz="4" w:space="0" w:color="auto"/>
              <w:bottom w:val="single" w:sz="4" w:space="0" w:color="auto"/>
            </w:tcBorders>
            <w:tcW w:w="450" w:type="dxa"/>
          </w:tcPr>
          <w:p>
            <w:pPr>
              <w:jc w:val="center"/>
              <w:spacing w:before="10" w:after="10"/>
            </w:pPr>
            <w:r/>
            <w:r>
              <w:rPr>
                <w:rFonts w:ascii="Times New Roman" w:hAnsi="Times New Roman"/>
                <w:b/>
                <w:sz w:val="16"/>
              </w:rPr>
              <w:t>ξⱼᵉᶠᶠ</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Rank</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cⱼᵃᵈʲ</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Rank</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540" w:type="dxa"/>
          </w:tcPr>
          <w:p>
            <w:pPr>
              <w:jc w:val="center"/>
              <w:spacing w:before="10" w:after="10"/>
            </w:pPr>
            <w:r/>
            <w:r>
              <w:rPr>
                <w:rFonts w:ascii="Times New Roman" w:hAnsi="Times New Roman"/>
                <w:b/>
                <w:sz w:val="16"/>
              </w:rPr>
              <w:t>Δ</w:t>
            </w:r>
          </w:p>
        </w:tc>
      </w:tr>
      <w:tr>
        <w:tc>
          <w:tcPr>
            <w:tcW w:w="1800" w:type="dxa"/>
          </w:tcPr>
          <w:p>
            <w:pPr>
              <w:jc w:val="left"/>
              <w:spacing w:before="10" w:after="10"/>
            </w:pPr>
            <w:r/>
            <w:r>
              <w:rPr>
                <w:rFonts w:ascii="Times New Roman" w:hAnsi="Times New Roman"/>
                <w:sz w:val="16"/>
              </w:rPr>
              <w:t>Canada</w:t>
            </w:r>
          </w:p>
        </w:tc>
        <w:tc>
          <w:tcPr>
            <w:tcW w:w="900" w:type="dxa"/>
          </w:tcPr>
          <w:p>
            <w:pPr>
              <w:jc w:val="center"/>
              <w:spacing w:before="10" w:after="10"/>
            </w:pPr>
            <w:r/>
            <w:r>
              <w:rPr>
                <w:rFonts w:ascii="Times New Roman" w:hAnsi="Times New Roman"/>
                <w:sz w:val="16"/>
              </w:rPr>
              <w:t>$1.61</w:t>
            </w:r>
          </w:p>
        </w:tc>
        <w:tc>
          <w:tcPr>
            <w:tcW w:w="540" w:type="dxa"/>
          </w:tcPr>
          <w:p>
            <w:pPr>
              <w:jc w:val="center"/>
              <w:spacing w:before="10" w:after="10"/>
            </w:pPr>
            <w:r/>
            <w:r>
              <w:rPr>
                <w:rFonts w:ascii="Times New Roman" w:hAnsi="Times New Roman"/>
                <w:sz w:val="16"/>
              </w:rPr>
              <w:t>7</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$1.61</w:t>
            </w:r>
          </w:p>
        </w:tc>
        <w:tc>
          <w:tcPr>
            <w:tcW w:w="540" w:type="dxa"/>
          </w:tcPr>
          <w:p>
            <w:pPr>
              <w:jc w:val="center"/>
              <w:spacing w:before="10" w:after="10"/>
            </w:pPr>
            <w:r/>
            <w:r>
              <w:rPr>
                <w:rFonts w:ascii="Times New Roman" w:hAnsi="Times New Roman"/>
                <w:sz w:val="16"/>
              </w:rPr>
              <w:t>3</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$1.63</w:t>
            </w:r>
          </w:p>
        </w:tc>
        <w:tc>
          <w:tcPr>
            <w:tcW w:w="450" w:type="dxa"/>
          </w:tcPr>
          <w:p>
            <w:pPr>
              <w:jc w:val="center"/>
              <w:spacing w:before="10" w:after="10"/>
            </w:pPr>
            <w:r/>
            <w:r>
              <w:rPr>
                <w:rFonts w:ascii="Times New Roman" w:hAnsi="Times New Roman"/>
                <w:sz w:val="16"/>
              </w:rPr>
              <w:t>0.95</w:t>
            </w:r>
          </w:p>
        </w:tc>
        <w:tc>
          <w:tcPr>
            <w:tcW w:w="540" w:type="dxa"/>
          </w:tcPr>
          <w:p>
            <w:pPr>
              <w:jc w:val="center"/>
              <w:spacing w:before="10" w:after="10"/>
            </w:pPr>
            <w:r/>
            <w:r>
              <w:rPr>
                <w:rFonts w:ascii="Times New Roman" w:hAnsi="Times New Roman"/>
                <w:sz w:val="16"/>
              </w:rPr>
              <w:t>1</w:t>
            </w:r>
          </w:p>
        </w:tc>
        <w:tc>
          <w:tcPr>
            <w:tcW w:w="54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$1.63</w:t>
            </w:r>
          </w:p>
        </w:tc>
        <w:tc>
          <w:tcPr>
            <w:tcW w:w="540" w:type="dxa"/>
          </w:tcPr>
          <w:p>
            <w:pPr>
              <w:jc w:val="center"/>
              <w:spacing w:before="10" w:after="10"/>
            </w:pPr>
            <w:r/>
            <w:r>
              <w:rPr>
                <w:rFonts w:ascii="Times New Roman" w:hAnsi="Times New Roman"/>
                <w:b/>
                <w:sz w:val="16"/>
              </w:rPr>
              <w:t>1</w:t>
            </w:r>
          </w:p>
        </w:tc>
        <w:tc>
          <w:tcPr>
            <w:tcW w:w="540" w:type="dxa"/>
          </w:tcPr>
          <w:p>
            <w:pPr>
              <w:jc w:val="center"/>
              <w:spacing w:before="10" w:after="10"/>
            </w:pPr>
            <w:r/>
            <w:r>
              <w:rPr>
                <w:rFonts w:ascii="Times New Roman" w:hAnsi="Times New Roman"/>
                <w:sz w:val="16"/>
              </w:rPr>
              <w:t>EE</w:t>
            </w:r>
          </w:p>
        </w:tc>
        <w:tc>
          <w:tcPr>
            <w:tcW w:w="540" w:type="dxa"/>
          </w:tcPr>
          <w:p>
            <w:pPr>
              <w:jc w:val="center"/>
              <w:spacing w:before="10" w:after="10"/>
            </w:pPr>
            <w:r/>
            <w:r>
              <w:rPr>
                <w:rFonts w:ascii="Times New Roman" w:hAnsi="Times New Roman"/>
                <w:sz w:val="16"/>
              </w:rPr>
              <w:t>+6</w:t>
            </w:r>
          </w:p>
        </w:tc>
      </w:tr>
      <w:tr>
        <w:tc>
          <w:tcPr>
            <w:tcW w:w="1800" w:type="dxa"/>
          </w:tcPr>
          <w:p>
            <w:pPr>
              <w:jc w:val="left"/>
              <w:spacing w:before="10" w:after="10"/>
            </w:pPr>
            <w:r/>
            <w:r>
              <w:rPr>
                <w:rFonts w:ascii="Times New Roman" w:hAnsi="Times New Roman"/>
                <w:sz w:val="16"/>
              </w:rPr>
              <w:t>Norway</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sz w:val="16"/>
              </w:rPr>
              <w:t>25</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sz w:val="16"/>
              </w:rPr>
              <w:t>17</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$1.64</w:t>
            </w:r>
          </w:p>
        </w:tc>
        <w:tc>
          <w:tcPr>
            <w:tcW w:w="450" w:type="dxa"/>
          </w:tcPr>
          <w:p>
            <w:pPr>
              <w:jc w:val="center"/>
              <w:spacing w:before="10" w:after="10"/>
            </w:pPr>
            <w:r/>
            <w:r>
              <w:rPr>
                <w:rFonts w:ascii="Times New Roman" w:hAnsi="Times New Roman"/>
                <w:sz w:val="16"/>
              </w:rPr>
              <w:t>1.00</w:t>
            </w:r>
          </w:p>
        </w:tc>
        <w:tc>
          <w:tcPr>
            <w:tcW w:w="540" w:type="dxa"/>
          </w:tcPr>
          <w:p>
            <w:pPr>
              <w:jc w:val="center"/>
              <w:spacing w:before="10" w:after="10"/>
            </w:pPr>
            <w:r/>
            <w:r>
              <w:rPr>
                <w:rFonts w:ascii="Times New Roman" w:hAnsi="Times New Roman"/>
                <w:sz w:val="16"/>
              </w:rPr>
              <w:t>2</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b/>
                <w:sz w:val="16"/>
              </w:rPr>
              <w:t>2</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+23</w:t>
            </w:r>
          </w:p>
        </w:tc>
      </w:tr>
      <w:tr>
        <w:tc>
          <w:tcPr>
            <w:tcW w:w="1800" w:type="dxa"/>
          </w:tcPr>
          <w:p>
            <w:pPr>
              <w:jc w:val="left"/>
              <w:spacing w:before="10" w:after="10"/>
            </w:pPr>
            <w:r/>
            <w:r>
              <w:rPr>
                <w:rFonts w:ascii="Times New Roman" w:hAnsi="Times New Roman"/>
                <w:sz w:val="16"/>
              </w:rPr>
              <w:t>Finland</w:t>
            </w:r>
          </w:p>
        </w:tc>
        <w:tc>
          <w:tcPr>
            <w:tcW w:w="900" w:type="dxa"/>
          </w:tcPr>
          <w:p>
            <w:pPr>
              <w:jc w:val="center"/>
              <w:spacing w:before="10" w:after="10"/>
            </w:pPr>
            <w:r/>
            <w:r>
              <w:rPr>
                <w:rFonts w:ascii="Times New Roman" w:hAnsi="Times New Roman"/>
                <w:sz w:val="16"/>
              </w:rPr>
              <w:t>$1.65</w:t>
            </w:r>
          </w:p>
        </w:tc>
        <w:tc>
          <w:tcPr>
            <w:tcW w:w="540" w:type="dxa"/>
          </w:tcPr>
          <w:p>
            <w:pPr>
              <w:jc w:val="center"/>
              <w:spacing w:before="10" w:after="10"/>
            </w:pPr>
            <w:r/>
            <w:r>
              <w:rPr>
                <w:rFonts w:ascii="Times New Roman" w:hAnsi="Times New Roman"/>
                <w:sz w:val="16"/>
              </w:rPr>
              <w:t>26</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$1.65</w:t>
            </w:r>
          </w:p>
        </w:tc>
        <w:tc>
          <w:tcPr>
            <w:tcW w:w="540" w:type="dxa"/>
          </w:tcPr>
          <w:p>
            <w:pPr>
              <w:jc w:val="center"/>
              <w:spacing w:before="10" w:after="10"/>
            </w:pPr>
            <w:r/>
            <w:r>
              <w:rPr>
                <w:rFonts w:ascii="Times New Roman" w:hAnsi="Times New Roman"/>
                <w:sz w:val="16"/>
              </w:rPr>
              <w:t>19</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$1.65</w:t>
            </w:r>
          </w:p>
        </w:tc>
        <w:tc>
          <w:tcPr>
            <w:tcW w:w="450" w:type="dxa"/>
          </w:tcPr>
          <w:p>
            <w:pPr>
              <w:jc w:val="center"/>
              <w:spacing w:before="10" w:after="10"/>
            </w:pPr>
            <w:r/>
            <w:r>
              <w:rPr>
                <w:rFonts w:ascii="Times New Roman" w:hAnsi="Times New Roman"/>
                <w:sz w:val="16"/>
              </w:rPr>
              <w:t>1.00</w:t>
            </w:r>
          </w:p>
        </w:tc>
        <w:tc>
          <w:tcPr>
            <w:tcW w:w="540" w:type="dxa"/>
          </w:tcPr>
          <w:p>
            <w:pPr>
              <w:jc w:val="center"/>
              <w:spacing w:before="10" w:after="10"/>
            </w:pPr>
            <w:r/>
            <w:r>
              <w:rPr>
                <w:rFonts w:ascii="Times New Roman" w:hAnsi="Times New Roman"/>
                <w:sz w:val="16"/>
              </w:rPr>
              <w:t>3</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$1.65</w:t>
            </w:r>
          </w:p>
        </w:tc>
        <w:tc>
          <w:tcPr>
            <w:tcW w:w="540" w:type="dxa"/>
          </w:tcPr>
          <w:p>
            <w:pPr>
              <w:jc w:val="center"/>
              <w:spacing w:before="10" w:after="10"/>
            </w:pPr>
            <w:r/>
            <w:r>
              <w:rPr>
                <w:rFonts w:ascii="Times New Roman" w:hAnsi="Times New Roman"/>
                <w:b/>
                <w:sz w:val="16"/>
              </w:rPr>
              <w:t>3</w:t>
            </w:r>
          </w:p>
        </w:tc>
        <w:tc>
          <w:tcPr>
            <w:tcW w:w="540" w:type="dxa"/>
          </w:tcPr>
          <w:p>
            <w:pPr>
              <w:jc w:val="center"/>
              <w:spacing w:before="10" w:after="10"/>
            </w:pPr>
            <w:r/>
            <w:r>
              <w:rPr>
                <w:rFonts w:ascii="Times New Roman" w:hAnsi="Times New Roman"/>
                <w:sz w:val="16"/>
              </w:rPr>
              <w:t>IE</w:t>
            </w:r>
          </w:p>
        </w:tc>
        <w:tc>
          <w:tcPr>
            <w:tcW w:w="540" w:type="dxa"/>
          </w:tcPr>
          <w:p>
            <w:pPr>
              <w:jc w:val="center"/>
              <w:spacing w:before="10" w:after="10"/>
            </w:pPr>
            <w:r/>
            <w:r>
              <w:rPr>
                <w:rFonts w:ascii="Times New Roman" w:hAnsi="Times New Roman"/>
                <w:sz w:val="16"/>
              </w:rPr>
              <w:t>+23</w:t>
            </w:r>
          </w:p>
        </w:tc>
      </w:tr>
      <w:tr>
        <w:tc>
          <w:tcPr>
            <w:tcW w:w="1800" w:type="dxa"/>
          </w:tcPr>
          <w:p>
            <w:pPr>
              <w:jc w:val="left"/>
              <w:spacing w:before="10" w:after="10"/>
            </w:pPr>
            <w:r/>
            <w:r>
              <w:rPr>
                <w:rFonts w:ascii="Times New Roman" w:hAnsi="Times New Roman"/>
                <w:sz w:val="16"/>
              </w:rPr>
              <w:t>Sweden</w:t>
            </w:r>
          </w:p>
        </w:tc>
        <w:tc>
          <w:tcPr>
            <w:tcW w:w="900" w:type="dxa"/>
          </w:tcPr>
          <w:p>
            <w:pPr>
              <w:jc w:val="center"/>
              <w:spacing w:before="10" w:after="10"/>
            </w:pPr>
            <w:r/>
            <w:r>
              <w:rPr>
                <w:rFonts w:ascii="Times New Roman" w:hAnsi="Times New Roman"/>
                <w:sz w:val="16"/>
              </w:rPr>
              <w:t>$1.65</w:t>
            </w:r>
          </w:p>
        </w:tc>
        <w:tc>
          <w:tcPr>
            <w:tcW w:w="540" w:type="dxa"/>
          </w:tcPr>
          <w:p>
            <w:pPr>
              <w:jc w:val="center"/>
              <w:spacing w:before="10" w:after="10"/>
            </w:pPr>
            <w:r/>
            <w:r>
              <w:rPr>
                <w:rFonts w:ascii="Times New Roman" w:hAnsi="Times New Roman"/>
                <w:sz w:val="16"/>
              </w:rPr>
              <w:t>30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$1.65</w:t>
            </w:r>
          </w:p>
        </w:tc>
        <w:tc>
          <w:tcPr>
            <w:tcW w:w="540" w:type="dxa"/>
          </w:tcPr>
          <w:p>
            <w:pPr>
              <w:jc w:val="center"/>
              <w:spacing w:before="10" w:after="10"/>
            </w:pPr>
            <w:r/>
            <w:r>
              <w:rPr>
                <w:rFonts w:ascii="Times New Roman" w:hAnsi="Times New Roman"/>
                <w:sz w:val="16"/>
              </w:rPr>
              <w:t>23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$1.66</w:t>
            </w:r>
          </w:p>
        </w:tc>
        <w:tc>
          <w:tcPr>
            <w:tcW w:w="450" w:type="dxa"/>
          </w:tcPr>
          <w:p>
            <w:pPr>
              <w:jc w:val="center"/>
              <w:spacing w:before="10" w:after="10"/>
            </w:pPr>
            <w:r/>
            <w:r>
              <w:rPr>
                <w:rFonts w:ascii="Times New Roman" w:hAnsi="Times New Roman"/>
                <w:sz w:val="16"/>
              </w:rPr>
              <w:t>0.97</w:t>
            </w:r>
          </w:p>
        </w:tc>
        <w:tc>
          <w:tcPr>
            <w:tcW w:w="540" w:type="dxa"/>
          </w:tcPr>
          <w:p>
            <w:pPr>
              <w:jc w:val="center"/>
              <w:spacing w:before="10" w:after="10"/>
            </w:pPr>
            <w:r/>
            <w:r>
              <w:rPr>
                <w:rFonts w:ascii="Times New Roman" w:hAnsi="Times New Roman"/>
                <w:sz w:val="16"/>
              </w:rPr>
              <w:t>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$1.66</w:t>
            </w:r>
          </w:p>
        </w:tc>
        <w:tc>
          <w:tcPr>
            <w:tcW w:w="540" w:type="dxa"/>
          </w:tcPr>
          <w:p>
            <w:pPr>
              <w:jc w:val="center"/>
              <w:spacing w:before="10" w:after="10"/>
            </w:pPr>
            <w:r/>
            <w:r>
              <w:rPr>
                <w:rFonts w:ascii="Times New Roman" w:hAnsi="Times New Roman"/>
                <w:b/>
                <w:sz w:val="16"/>
              </w:rPr>
              <w:t>4</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+26</w:t>
            </w:r>
          </w:p>
        </w:tc>
      </w:tr>
      <w:tr>
        <w:tc>
          <w:tcPr>
            <w:tcW w:w="1800" w:type="dxa"/>
          </w:tcPr>
          <w:p>
            <w:pPr>
              <w:jc w:val="left"/>
              <w:spacing w:before="10" w:after="10"/>
            </w:pPr>
            <w:r/>
            <w:r>
              <w:rPr>
                <w:rFonts w:ascii="Times New Roman" w:hAnsi="Times New Roman"/>
                <w:sz w:val="16"/>
              </w:rPr>
              <w:t>Iceland</w:t>
            </w:r>
          </w:p>
        </w:tc>
        <w:tc>
          <w:tcPr>
            <w:tcW w:w="900" w:type="dxa"/>
          </w:tcPr>
          <w:p>
            <w:pPr>
              <w:jc w:val="center"/>
              <w:spacing w:before="10" w:after="10"/>
            </w:pPr>
            <w:r/>
            <w:r>
              <w:rPr>
                <w:rFonts w:ascii="Times New Roman" w:hAnsi="Times New Roman"/>
                <w:sz w:val="16"/>
              </w:rPr>
              <w:t>$1.67</w:t>
            </w:r>
          </w:p>
        </w:tc>
        <w:tc>
          <w:tcPr>
            <w:tcW w:w="540" w:type="dxa"/>
          </w:tcPr>
          <w:p>
            <w:pPr>
              <w:jc w:val="center"/>
              <w:spacing w:before="10" w:after="10"/>
            </w:pPr>
            <w:r/>
            <w:r>
              <w:rPr>
                <w:rFonts w:ascii="Times New Roman" w:hAnsi="Times New Roman"/>
                <w:sz w:val="16"/>
              </w:rPr>
              <w:t>38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$1.67</w:t>
            </w:r>
          </w:p>
        </w:tc>
        <w:tc>
          <w:tcPr>
            <w:tcW w:w="540" w:type="dxa"/>
          </w:tcPr>
          <w:p>
            <w:pPr>
              <w:jc w:val="center"/>
              <w:spacing w:before="10" w:after="10"/>
            </w:pPr>
            <w:r/>
            <w:r>
              <w:rPr>
                <w:rFonts w:ascii="Times New Roman" w:hAnsi="Times New Roman"/>
                <w:sz w:val="16"/>
              </w:rPr>
              <w:t>35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$1.68</w:t>
            </w:r>
          </w:p>
        </w:tc>
        <w:tc>
          <w:tcPr>
            <w:tcW w:w="450" w:type="dxa"/>
          </w:tcPr>
          <w:p>
            <w:pPr>
              <w:jc w:val="center"/>
              <w:spacing w:before="10" w:after="10"/>
            </w:pPr>
            <w:r/>
            <w:r>
              <w:rPr>
                <w:rFonts w:ascii="Times New Roman" w:hAnsi="Times New Roman"/>
                <w:sz w:val="16"/>
              </w:rPr>
              <w:t>0.98</w:t>
            </w:r>
          </w:p>
        </w:tc>
        <w:tc>
          <w:tcPr>
            <w:tcW w:w="540" w:type="dxa"/>
          </w:tcPr>
          <w:p>
            <w:pPr>
              <w:jc w:val="center"/>
              <w:spacing w:before="10" w:after="10"/>
            </w:pPr>
            <w:r/>
            <w:r>
              <w:rPr>
                <w:rFonts w:ascii="Times New Roman" w:hAnsi="Times New Roman"/>
                <w:sz w:val="16"/>
              </w:rPr>
              <w:t>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$1.68</w:t>
            </w:r>
          </w:p>
        </w:tc>
        <w:tc>
          <w:tcPr>
            <w:tcW w:w="540" w:type="dxa"/>
          </w:tcPr>
          <w:p>
            <w:pPr>
              <w:jc w:val="center"/>
              <w:spacing w:before="10" w:after="10"/>
            </w:pPr>
            <w:r/>
            <w:r>
              <w:rPr>
                <w:rFonts w:ascii="Times New Roman" w:hAnsi="Times New Roman"/>
                <w:b/>
                <w:sz w:val="16"/>
              </w:rPr>
              <w:t>5</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+33</w:t>
            </w:r>
          </w:p>
        </w:tc>
      </w:tr>
      <w:tr>
        <w:tc>
          <w:tcPr>
            <w:tcW w:w="1800" w:type="dxa"/>
          </w:tcPr>
          <w:p>
            <w:pPr>
              <w:jc w:val="left"/>
              <w:spacing w:before="10" w:after="10"/>
            </w:pPr>
            <w:r/>
            <w:r>
              <w:rPr>
                <w:rFonts w:ascii="Times New Roman" w:hAnsi="Times New Roman"/>
                <w:sz w:val="16"/>
              </w:rPr>
              <w:t>Australia</w:t>
            </w:r>
          </w:p>
        </w:tc>
        <w:tc>
          <w:tcPr>
            <w:tcW w:w="900" w:type="dxa"/>
          </w:tcPr>
          <w:p>
            <w:pPr>
              <w:jc w:val="center"/>
              <w:spacing w:before="10" w:after="10"/>
            </w:pPr>
            <w:r/>
            <w:r>
              <w:rPr>
                <w:rFonts w:ascii="Times New Roman" w:hAnsi="Times New Roman"/>
                <w:sz w:val="16"/>
              </w:rPr>
              <w:t>$1.67</w:t>
            </w:r>
          </w:p>
        </w:tc>
        <w:tc>
          <w:tcPr>
            <w:tcW w:w="540" w:type="dxa"/>
          </w:tcPr>
          <w:p>
            <w:pPr>
              <w:jc w:val="center"/>
              <w:spacing w:before="10" w:after="10"/>
            </w:pPr>
            <w:r/>
            <w:r>
              <w:rPr>
                <w:rFonts w:ascii="Times New Roman" w:hAnsi="Times New Roman"/>
                <w:sz w:val="16"/>
              </w:rPr>
              <w:t>37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$1.67</w:t>
            </w:r>
          </w:p>
        </w:tc>
        <w:tc>
          <w:tcPr>
            <w:tcW w:w="540" w:type="dxa"/>
          </w:tcPr>
          <w:p>
            <w:pPr>
              <w:jc w:val="center"/>
              <w:spacing w:before="10" w:after="10"/>
            </w:pPr>
            <w:r/>
            <w:r>
              <w:rPr>
                <w:rFonts w:ascii="Times New Roman" w:hAnsi="Times New Roman"/>
                <w:sz w:val="16"/>
              </w:rPr>
              <w:t>34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$1.68</w:t>
            </w:r>
          </w:p>
        </w:tc>
        <w:tc>
          <w:tcPr>
            <w:tcW w:w="450" w:type="dxa"/>
          </w:tcPr>
          <w:p>
            <w:pPr>
              <w:jc w:val="center"/>
              <w:spacing w:before="10" w:after="10"/>
            </w:pPr>
            <w:r/>
            <w:r>
              <w:rPr>
                <w:rFonts w:ascii="Times New Roman" w:hAnsi="Times New Roman"/>
                <w:sz w:val="16"/>
              </w:rPr>
              <w:t>0.96</w:t>
            </w:r>
          </w:p>
        </w:tc>
        <w:tc>
          <w:tcPr>
            <w:tcW w:w="540" w:type="dxa"/>
          </w:tcPr>
          <w:p>
            <w:pPr>
              <w:jc w:val="center"/>
              <w:spacing w:before="10" w:after="10"/>
            </w:pPr>
            <w:r/>
            <w:r>
              <w:rPr>
                <w:rFonts w:ascii="Times New Roman" w:hAnsi="Times New Roman"/>
                <w:sz w:val="16"/>
              </w:rPr>
              <w:t>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$1.68</w:t>
            </w:r>
          </w:p>
        </w:tc>
        <w:tc>
          <w:tcPr>
            <w:tcW w:w="540" w:type="dxa"/>
          </w:tcPr>
          <w:p>
            <w:pPr>
              <w:jc w:val="center"/>
              <w:spacing w:before="10" w:after="10"/>
            </w:pPr>
            <w:r/>
            <w:r>
              <w:rPr>
                <w:rFonts w:ascii="Times New Roman" w:hAnsi="Times New Roman"/>
                <w:b/>
                <w:sz w:val="16"/>
              </w:rPr>
              <w:t>6</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+31</w:t>
            </w:r>
          </w:p>
        </w:tc>
      </w:tr>
      <w:tr>
        <w:tc>
          <w:tcPr>
            <w:tcW w:w="1800" w:type="dxa"/>
          </w:tcPr>
          <w:p>
            <w:pPr>
              <w:jc w:val="left"/>
              <w:spacing w:before="10" w:after="10"/>
            </w:pPr>
            <w:r/>
            <w:r>
              <w:rPr>
                <w:rFonts w:ascii="Times New Roman" w:hAnsi="Times New Roman"/>
                <w:sz w:val="16"/>
              </w:rPr>
              <w:t>New Zealand</w:t>
            </w:r>
          </w:p>
        </w:tc>
        <w:tc>
          <w:tcPr>
            <w:tcW w:w="900" w:type="dxa"/>
          </w:tcPr>
          <w:p>
            <w:pPr>
              <w:jc w:val="center"/>
              <w:spacing w:before="10" w:after="10"/>
            </w:pPr>
            <w:r/>
            <w:r>
              <w:rPr>
                <w:rFonts w:ascii="Times New Roman" w:hAnsi="Times New Roman"/>
                <w:sz w:val="16"/>
              </w:rPr>
              <w:t>$1.67</w:t>
            </w:r>
          </w:p>
        </w:tc>
        <w:tc>
          <w:tcPr>
            <w:tcW w:w="540" w:type="dxa"/>
          </w:tcPr>
          <w:p>
            <w:pPr>
              <w:jc w:val="center"/>
              <w:spacing w:before="10" w:after="10"/>
            </w:pPr>
            <w:r/>
            <w:r>
              <w:rPr>
                <w:rFonts w:ascii="Times New Roman" w:hAnsi="Times New Roman"/>
                <w:sz w:val="16"/>
              </w:rPr>
              <w:t>46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$1.67</w:t>
            </w:r>
          </w:p>
        </w:tc>
        <w:tc>
          <w:tcPr>
            <w:tcW w:w="540" w:type="dxa"/>
          </w:tcPr>
          <w:p>
            <w:pPr>
              <w:jc w:val="center"/>
              <w:spacing w:before="10" w:after="10"/>
            </w:pPr>
            <w:r/>
            <w:r>
              <w:rPr>
                <w:rFonts w:ascii="Times New Roman" w:hAnsi="Times New Roman"/>
                <w:sz w:val="16"/>
              </w:rPr>
              <w:t>44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$1.68</w:t>
            </w:r>
          </w:p>
        </w:tc>
        <w:tc>
          <w:tcPr>
            <w:tcW w:w="450" w:type="dxa"/>
          </w:tcPr>
          <w:p>
            <w:pPr>
              <w:jc w:val="center"/>
              <w:spacing w:before="10" w:after="10"/>
            </w:pPr>
            <w:r/>
            <w:r>
              <w:rPr>
                <w:rFonts w:ascii="Times New Roman" w:hAnsi="Times New Roman"/>
                <w:sz w:val="16"/>
              </w:rPr>
              <w:t>0.97</w:t>
            </w:r>
          </w:p>
        </w:tc>
        <w:tc>
          <w:tcPr>
            <w:tcW w:w="540" w:type="dxa"/>
          </w:tcPr>
          <w:p>
            <w:pPr>
              <w:jc w:val="center"/>
              <w:spacing w:before="10" w:after="10"/>
            </w:pPr>
            <w:r/>
            <w:r>
              <w:rPr>
                <w:rFonts w:ascii="Times New Roman" w:hAnsi="Times New Roman"/>
                <w:sz w:val="16"/>
              </w:rPr>
              <w:t>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$1.68</w:t>
            </w:r>
          </w:p>
        </w:tc>
        <w:tc>
          <w:tcPr>
            <w:tcW w:w="540" w:type="dxa"/>
          </w:tcPr>
          <w:p>
            <w:pPr>
              <w:jc w:val="center"/>
              <w:spacing w:before="10" w:after="10"/>
            </w:pPr>
            <w:r/>
            <w:r>
              <w:rPr>
                <w:rFonts w:ascii="Times New Roman" w:hAnsi="Times New Roman"/>
                <w:b/>
                <w:sz w:val="16"/>
              </w:rPr>
              <w:t>7</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+39</w:t>
            </w:r>
          </w:p>
        </w:tc>
      </w:tr>
      <w:tr>
        <w:tc>
          <w:tcPr>
            <w:tcW w:w="1800" w:type="dxa"/>
          </w:tcPr>
          <w:p>
            <w:pPr>
              <w:jc w:val="left"/>
              <w:spacing w:before="10" w:after="10"/>
            </w:pPr>
            <w:r/>
            <w:r>
              <w:rPr>
                <w:rFonts w:ascii="Times New Roman" w:hAnsi="Times New Roman"/>
                <w:sz w:val="16"/>
              </w:rPr>
              <w:t>USA</w:t>
            </w:r>
          </w:p>
        </w:tc>
        <w:tc>
          <w:tcPr>
            <w:tcW w:w="900" w:type="dxa"/>
          </w:tcPr>
          <w:p>
            <w:pPr>
              <w:jc w:val="center"/>
              <w:spacing w:before="10" w:after="10"/>
            </w:pPr>
            <w:r/>
            <w:r>
              <w:rPr>
                <w:rFonts w:ascii="Times New Roman" w:hAnsi="Times New Roman"/>
                <w:sz w:val="16"/>
              </w:rPr>
              <w:t>$1.66</w:t>
            </w:r>
          </w:p>
        </w:tc>
        <w:tc>
          <w:tcPr>
            <w:tcW w:w="540" w:type="dxa"/>
          </w:tcPr>
          <w:p>
            <w:pPr>
              <w:jc w:val="center"/>
              <w:spacing w:before="10" w:after="10"/>
            </w:pPr>
            <w:r/>
            <w:r>
              <w:rPr>
                <w:rFonts w:ascii="Times New Roman" w:hAnsi="Times New Roman"/>
                <w:sz w:val="16"/>
              </w:rPr>
              <w:t>32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$1.66</w:t>
            </w:r>
          </w:p>
        </w:tc>
        <w:tc>
          <w:tcPr>
            <w:tcW w:w="540" w:type="dxa"/>
          </w:tcPr>
          <w:p>
            <w:pPr>
              <w:jc w:val="center"/>
              <w:spacing w:before="10" w:after="10"/>
            </w:pPr>
            <w:r/>
            <w:r>
              <w:rPr>
                <w:rFonts w:ascii="Times New Roman" w:hAnsi="Times New Roman"/>
                <w:sz w:val="16"/>
              </w:rPr>
              <w:t>27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0.92</w:t>
            </w:r>
          </w:p>
        </w:tc>
        <w:tc>
          <w:tcPr>
            <w:tcW w:w="540" w:type="dxa"/>
          </w:tcPr>
          <w:p>
            <w:pPr>
              <w:jc w:val="center"/>
              <w:spacing w:before="10" w:after="10"/>
            </w:pPr>
            <w:r/>
            <w:r>
              <w:rPr>
                <w:rFonts w:ascii="Times New Roman" w:hAnsi="Times New Roman"/>
                <w:sz w:val="16"/>
              </w:rPr>
              <w:t>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$1.69</w:t>
            </w:r>
          </w:p>
        </w:tc>
        <w:tc>
          <w:tcPr>
            <w:tcW w:w="540" w:type="dxa"/>
          </w:tcPr>
          <w:p>
            <w:pPr>
              <w:jc w:val="center"/>
              <w:spacing w:before="10" w:after="10"/>
            </w:pPr>
            <w:r/>
            <w:r>
              <w:rPr>
                <w:rFonts w:ascii="Times New Roman" w:hAnsi="Times New Roman"/>
                <w:b/>
                <w:sz w:val="16"/>
              </w:rPr>
              <w:t>8</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+24</w:t>
            </w:r>
          </w:p>
        </w:tc>
      </w:tr>
      <w:tr>
        <w:tc>
          <w:tcPr>
            <w:tcW w:w="1800" w:type="dxa"/>
          </w:tcPr>
          <w:p>
            <w:pPr>
              <w:jc w:val="left"/>
              <w:spacing w:before="10" w:after="10"/>
            </w:pPr>
            <w:r/>
            <w:r>
              <w:rPr>
                <w:rFonts w:ascii="Times New Roman" w:hAnsi="Times New Roman"/>
                <w:sz w:val="16"/>
              </w:rPr>
              <w:t>UK</w:t>
            </w:r>
          </w:p>
        </w:tc>
        <w:tc>
          <w:tcPr>
            <w:tcW w:w="900" w:type="dxa"/>
          </w:tcPr>
          <w:p>
            <w:pPr>
              <w:jc w:val="center"/>
              <w:spacing w:before="10" w:after="10"/>
            </w:pPr>
            <w:r/>
            <w:r>
              <w:rPr>
                <w:rFonts w:ascii="Times New Roman" w:hAnsi="Times New Roman"/>
                <w:sz w:val="16"/>
              </w:rPr>
              <w:t>$1.67</w:t>
            </w:r>
          </w:p>
        </w:tc>
        <w:tc>
          <w:tcPr>
            <w:tcW w:w="540" w:type="dxa"/>
          </w:tcPr>
          <w:p>
            <w:pPr>
              <w:jc w:val="center"/>
              <w:spacing w:before="10" w:after="10"/>
            </w:pPr>
            <w:r/>
            <w:r>
              <w:rPr>
                <w:rFonts w:ascii="Times New Roman" w:hAnsi="Times New Roman"/>
                <w:sz w:val="16"/>
              </w:rPr>
              <w:t>44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$1.67</w:t>
            </w:r>
          </w:p>
        </w:tc>
        <w:tc>
          <w:tcPr>
            <w:tcW w:w="540" w:type="dxa"/>
          </w:tcPr>
          <w:p>
            <w:pPr>
              <w:jc w:val="center"/>
              <w:spacing w:before="10" w:after="10"/>
            </w:pPr>
            <w:r/>
            <w:r>
              <w:rPr>
                <w:rFonts w:ascii="Times New Roman" w:hAnsi="Times New Roman"/>
                <w:sz w:val="16"/>
              </w:rPr>
              <w:t>42</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$1.69</w:t>
            </w:r>
          </w:p>
        </w:tc>
        <w:tc>
          <w:tcPr>
            <w:tcW w:w="450" w:type="dxa"/>
          </w:tcPr>
          <w:p>
            <w:pPr>
              <w:jc w:val="center"/>
              <w:spacing w:before="10" w:after="10"/>
            </w:pPr>
            <w:r/>
            <w:r>
              <w:rPr>
                <w:rFonts w:ascii="Times New Roman" w:hAnsi="Times New Roman"/>
                <w:sz w:val="16"/>
              </w:rPr>
              <w:t>0.93</w:t>
            </w:r>
          </w:p>
        </w:tc>
        <w:tc>
          <w:tcPr>
            <w:tcW w:w="540" w:type="dxa"/>
          </w:tcPr>
          <w:p>
            <w:pPr>
              <w:jc w:val="center"/>
              <w:spacing w:before="10" w:after="10"/>
            </w:pPr>
            <w:r/>
            <w:r>
              <w:rPr>
                <w:rFonts w:ascii="Times New Roman" w:hAnsi="Times New Roman"/>
                <w:sz w:val="16"/>
              </w:rPr>
              <w:t>9</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$1.69</w:t>
            </w:r>
          </w:p>
        </w:tc>
        <w:tc>
          <w:tcPr>
            <w:tcW w:w="540" w:type="dxa"/>
          </w:tcPr>
          <w:p>
            <w:pPr>
              <w:jc w:val="center"/>
              <w:spacing w:before="10" w:after="10"/>
            </w:pPr>
            <w:r/>
            <w:r>
              <w:rPr>
                <w:rFonts w:ascii="Times New Roman" w:hAnsi="Times New Roman"/>
                <w:b/>
                <w:sz w:val="16"/>
              </w:rPr>
              <w:t>9</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+35</w:t>
            </w:r>
          </w:p>
        </w:tc>
      </w:tr>
      <w:tr>
        <w:tc>
          <w:tcPr>
            <w:tcW w:w="1800" w:type="dxa"/>
          </w:tcPr>
          <w:p>
            <w:pPr>
              <w:jc w:val="left"/>
              <w:spacing w:before="10" w:after="10"/>
            </w:pPr>
            <w:r/>
            <w:r>
              <w:rPr>
                <w:rFonts w:ascii="Times New Roman" w:hAnsi="Times New Roman"/>
                <w:sz w:val="16"/>
              </w:rPr>
              <w:t>Luxembourg</w:t>
            </w:r>
          </w:p>
        </w:tc>
        <w:tc>
          <w:tcPr>
            <w:tcW w:w="900" w:type="dxa"/>
          </w:tcPr>
          <w:p>
            <w:pPr>
              <w:jc w:val="center"/>
              <w:spacing w:before="10" w:after="10"/>
            </w:pPr>
            <w:r/>
            <w:r>
              <w:rPr>
                <w:rFonts w:ascii="Times New Roman" w:hAnsi="Times New Roman"/>
                <w:sz w:val="16"/>
              </w:rPr>
              <w:t>$1.69</w:t>
            </w:r>
          </w:p>
        </w:tc>
        <w:tc>
          <w:tcPr>
            <w:tcW w:w="540" w:type="dxa"/>
          </w:tcPr>
          <w:p>
            <w:pPr>
              <w:jc w:val="center"/>
              <w:spacing w:before="10" w:after="10"/>
            </w:pPr>
            <w:r/>
            <w:r>
              <w:rPr>
                <w:rFonts w:ascii="Times New Roman" w:hAnsi="Times New Roman"/>
                <w:sz w:val="16"/>
              </w:rPr>
              <w:t>58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$1.69</w:t>
            </w:r>
          </w:p>
        </w:tc>
        <w:tc>
          <w:tcPr>
            <w:tcW w:w="540" w:type="dxa"/>
          </w:tcPr>
          <w:p>
            <w:pPr>
              <w:jc w:val="center"/>
              <w:spacing w:before="10" w:after="10"/>
            </w:pPr>
            <w:r/>
            <w:r>
              <w:rPr>
                <w:rFonts w:ascii="Times New Roman" w:hAnsi="Times New Roman"/>
                <w:sz w:val="16"/>
              </w:rPr>
              <w:t>57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$1.70</w:t>
            </w:r>
          </w:p>
        </w:tc>
        <w:tc>
          <w:tcPr>
            <w:tcW w:w="450" w:type="dxa"/>
          </w:tcPr>
          <w:p>
            <w:pPr>
              <w:jc w:val="center"/>
              <w:spacing w:before="10" w:after="10"/>
            </w:pPr>
            <w:r/>
            <w:r>
              <w:rPr>
                <w:rFonts w:ascii="Times New Roman" w:hAnsi="Times New Roman"/>
                <w:sz w:val="16"/>
              </w:rPr>
              <w:t>0.98</w:t>
            </w:r>
          </w:p>
        </w:tc>
        <w:tc>
          <w:tcPr>
            <w:tcW w:w="540" w:type="dxa"/>
          </w:tcPr>
          <w:p>
            <w:pPr>
              <w:jc w:val="center"/>
              <w:spacing w:before="10" w:after="10"/>
            </w:pPr>
            <w:r/>
            <w:r>
              <w:rPr>
                <w:rFonts w:ascii="Times New Roman" w:hAnsi="Times New Roman"/>
                <w:sz w:val="16"/>
              </w:rPr>
              <w:t>10</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$1.70</w:t>
            </w:r>
          </w:p>
        </w:tc>
        <w:tc>
          <w:tcPr>
            <w:tcW w:w="540" w:type="dxa"/>
          </w:tcPr>
          <w:p>
            <w:pPr>
              <w:jc w:val="center"/>
              <w:spacing w:before="10" w:after="10"/>
            </w:pPr>
            <w:r/>
            <w:r>
              <w:rPr>
                <w:rFonts w:ascii="Times New Roman" w:hAnsi="Times New Roman"/>
                <w:b/>
                <w:sz w:val="16"/>
              </w:rPr>
              <w:t>10</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+48</w:t>
            </w:r>
          </w:p>
        </w:tc>
      </w:tr>
      <w:tr>
        <w:tc>
          <w:tcPr>
            <w:tcW w:w="1800" w:type="dxa"/>
          </w:tcPr>
          <w:p>
            <w:pPr>
              <w:jc w:val="left"/>
              <w:spacing w:before="10" w:after="10"/>
            </w:pPr>
            <w:r/>
            <w:r>
              <w:rPr>
                <w:rFonts w:ascii="Times New Roman" w:hAnsi="Times New Roman"/>
                <w:sz w:val="16"/>
              </w:rPr>
              <w:t>Denmark</w:t>
            </w:r>
          </w:p>
        </w:tc>
        <w:tc>
          <w:tcPr>
            <w:tcW w:w="900" w:type="dxa"/>
          </w:tcPr>
          <w:p>
            <w:pPr>
              <w:jc w:val="center"/>
              <w:spacing w:before="10" w:after="10"/>
            </w:pPr>
            <w:r/>
            <w:r>
              <w:rPr>
                <w:rFonts w:ascii="Times New Roman" w:hAnsi="Times New Roman"/>
                <w:sz w:val="16"/>
              </w:rPr>
              <w:t>$1.70</w:t>
            </w:r>
          </w:p>
        </w:tc>
        <w:tc>
          <w:tcPr>
            <w:tcW w:w="540" w:type="dxa"/>
          </w:tcPr>
          <w:p>
            <w:pPr>
              <w:jc w:val="center"/>
              <w:spacing w:before="10" w:after="10"/>
            </w:pPr>
            <w:r/>
            <w:r>
              <w:rPr>
                <w:rFonts w:ascii="Times New Roman" w:hAnsi="Times New Roman"/>
                <w:sz w:val="16"/>
              </w:rPr>
              <w:t>65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$1.70</w:t>
            </w:r>
          </w:p>
        </w:tc>
        <w:tc>
          <w:tcPr>
            <w:tcW w:w="540" w:type="dxa"/>
          </w:tcPr>
          <w:p>
            <w:pPr>
              <w:jc w:val="center"/>
              <w:spacing w:before="10" w:after="10"/>
            </w:pPr>
            <w:r/>
            <w:r>
              <w:rPr>
                <w:rFonts w:ascii="Times New Roman" w:hAnsi="Times New Roman"/>
                <w:sz w:val="16"/>
              </w:rPr>
              <w:t>65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$1.70</w:t>
            </w:r>
          </w:p>
        </w:tc>
        <w:tc>
          <w:tcPr>
            <w:tcW w:w="450" w:type="dxa"/>
          </w:tcPr>
          <w:p>
            <w:pPr>
              <w:jc w:val="center"/>
              <w:spacing w:before="10" w:after="10"/>
            </w:pPr>
            <w:r/>
            <w:r>
              <w:rPr>
                <w:rFonts w:ascii="Times New Roman" w:hAnsi="Times New Roman"/>
                <w:sz w:val="16"/>
              </w:rPr>
              <w:t>1.00</w:t>
            </w:r>
          </w:p>
        </w:tc>
        <w:tc>
          <w:tcPr>
            <w:tcW w:w="540" w:type="dxa"/>
          </w:tcPr>
          <w:p>
            <w:pPr>
              <w:jc w:val="center"/>
              <w:spacing w:before="10" w:after="10"/>
            </w:pPr>
            <w:r/>
            <w:r>
              <w:rPr>
                <w:rFonts w:ascii="Times New Roman" w:hAnsi="Times New Roman"/>
                <w:sz w:val="16"/>
              </w:rPr>
              <w:t>11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$1.70</w:t>
            </w:r>
          </w:p>
        </w:tc>
        <w:tc>
          <w:tcPr>
            <w:tcW w:w="540" w:type="dxa"/>
          </w:tcPr>
          <w:p>
            <w:pPr>
              <w:jc w:val="center"/>
              <w:spacing w:before="10" w:after="10"/>
            </w:pPr>
            <w:r/>
            <w:r>
              <w:rPr>
                <w:rFonts w:ascii="Times New Roman" w:hAnsi="Times New Roman"/>
                <w:b/>
                <w:sz w:val="16"/>
              </w:rPr>
              <w:t>11</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+54</w:t>
            </w:r>
          </w:p>
        </w:tc>
      </w:tr>
      <w:tr>
        <w:tc>
          <w:tcPr>
            <w:tcW w:w="1800" w:type="dxa"/>
          </w:tcPr>
          <w:p>
            <w:pPr>
              <w:jc w:val="left"/>
              <w:spacing w:before="10" w:after="10"/>
            </w:pPr>
            <w:r/>
            <w:r>
              <w:rPr>
                <w:rFonts w:ascii="Times New Roman" w:hAnsi="Times New Roman"/>
                <w:sz w:val="16"/>
              </w:rPr>
              <w:t>France</w:t>
            </w:r>
          </w:p>
        </w:tc>
        <w:tc>
          <w:tcPr>
            <w:tcW w:w="900" w:type="dxa"/>
          </w:tcPr>
          <w:p>
            <w:pPr>
              <w:jc w:val="center"/>
              <w:spacing w:before="10" w:after="10"/>
            </w:pPr>
            <w:r/>
            <w:r>
              <w:rPr>
                <w:rFonts w:ascii="Times New Roman" w:hAnsi="Times New Roman"/>
                <w:sz w:val="16"/>
              </w:rPr>
              <w:t>$1.67</w:t>
            </w:r>
          </w:p>
        </w:tc>
        <w:tc>
          <w:tcPr>
            <w:tcW w:w="540" w:type="dxa"/>
          </w:tcPr>
          <w:p>
            <w:pPr>
              <w:jc w:val="center"/>
              <w:spacing w:before="10" w:after="10"/>
            </w:pPr>
            <w:r/>
            <w:r>
              <w:rPr>
                <w:rFonts w:ascii="Times New Roman" w:hAnsi="Times New Roman"/>
                <w:sz w:val="16"/>
              </w:rPr>
              <w:t>41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$1.67</w:t>
            </w:r>
          </w:p>
        </w:tc>
        <w:tc>
          <w:tcPr>
            <w:tcW w:w="540" w:type="dxa"/>
          </w:tcPr>
          <w:p>
            <w:pPr>
              <w:jc w:val="center"/>
              <w:spacing w:before="10" w:after="10"/>
            </w:pPr>
            <w:r/>
            <w:r>
              <w:rPr>
                <w:rFonts w:ascii="Times New Roman" w:hAnsi="Times New Roman"/>
                <w:sz w:val="16"/>
              </w:rPr>
              <w:t>38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$1.70</w:t>
            </w:r>
          </w:p>
        </w:tc>
        <w:tc>
          <w:tcPr>
            <w:tcW w:w="450" w:type="dxa"/>
          </w:tcPr>
          <w:p>
            <w:pPr>
              <w:jc w:val="center"/>
              <w:spacing w:before="10" w:after="10"/>
            </w:pPr>
            <w:r/>
            <w:r>
              <w:rPr>
                <w:rFonts w:ascii="Times New Roman" w:hAnsi="Times New Roman"/>
                <w:sz w:val="16"/>
              </w:rPr>
              <w:t>0.91</w:t>
            </w:r>
          </w:p>
        </w:tc>
        <w:tc>
          <w:tcPr>
            <w:tcW w:w="540" w:type="dxa"/>
          </w:tcPr>
          <w:p>
            <w:pPr>
              <w:jc w:val="center"/>
              <w:spacing w:before="10" w:after="10"/>
            </w:pPr>
            <w:r/>
            <w:r>
              <w:rPr>
                <w:rFonts w:ascii="Times New Roman" w:hAnsi="Times New Roman"/>
                <w:sz w:val="16"/>
              </w:rPr>
              <w:t>12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$1.70</w:t>
            </w:r>
          </w:p>
        </w:tc>
        <w:tc>
          <w:tcPr>
            <w:tcW w:w="540" w:type="dxa"/>
          </w:tcPr>
          <w:p>
            <w:pPr>
              <w:jc w:val="center"/>
              <w:spacing w:before="10" w:after="10"/>
            </w:pPr>
            <w:r/>
            <w:r>
              <w:rPr>
                <w:rFonts w:ascii="Times New Roman" w:hAnsi="Times New Roman"/>
                <w:b/>
                <w:sz w:val="16"/>
              </w:rPr>
              <w:t>12</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+29</w:t>
            </w:r>
          </w:p>
        </w:tc>
      </w:tr>
      <w:tr>
        <w:tc>
          <w:tcPr>
            <w:tcW w:w="1800" w:type="dxa"/>
          </w:tcPr>
          <w:p>
            <w:pPr>
              <w:jc w:val="left"/>
              <w:spacing w:before="10" w:after="10"/>
            </w:pPr>
            <w:r/>
            <w:r>
              <w:rPr>
                <w:rFonts w:ascii="Times New Roman" w:hAnsi="Times New Roman"/>
                <w:sz w:val="16"/>
              </w:rPr>
              <w:t>Netherlands</w:t>
            </w:r>
          </w:p>
        </w:tc>
        <w:tc>
          <w:tcPr>
            <w:tcW w:w="900" w:type="dxa"/>
          </w:tcPr>
          <w:p>
            <w:pPr>
              <w:jc w:val="center"/>
              <w:spacing w:before="10" w:after="10"/>
            </w:pPr>
            <w:r/>
            <w:r>
              <w:rPr>
                <w:rFonts w:ascii="Times New Roman" w:hAnsi="Times New Roman"/>
                <w:sz w:val="16"/>
              </w:rPr>
              <w:t>$1.69</w:t>
            </w:r>
          </w:p>
        </w:tc>
        <w:tc>
          <w:tcPr>
            <w:tcW w:w="540" w:type="dxa"/>
          </w:tcPr>
          <w:p>
            <w:pPr>
              <w:jc w:val="center"/>
              <w:spacing w:before="10" w:after="10"/>
            </w:pPr>
            <w:r/>
            <w:r>
              <w:rPr>
                <w:rFonts w:ascii="Times New Roman" w:hAnsi="Times New Roman"/>
                <w:sz w:val="16"/>
              </w:rPr>
              <w:t>61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$1.69</w:t>
            </w:r>
          </w:p>
        </w:tc>
        <w:tc>
          <w:tcPr>
            <w:tcW w:w="540" w:type="dxa"/>
          </w:tcPr>
          <w:p>
            <w:pPr>
              <w:jc w:val="center"/>
              <w:spacing w:before="10" w:after="10"/>
            </w:pPr>
            <w:r/>
            <w:r>
              <w:rPr>
                <w:rFonts w:ascii="Times New Roman" w:hAnsi="Times New Roman"/>
                <w:sz w:val="16"/>
              </w:rPr>
              <w:t>60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$1.70</w:t>
            </w:r>
          </w:p>
        </w:tc>
        <w:tc>
          <w:tcPr>
            <w:tcW w:w="450" w:type="dxa"/>
          </w:tcPr>
          <w:p>
            <w:pPr>
              <w:jc w:val="center"/>
              <w:spacing w:before="10" w:after="10"/>
            </w:pPr>
            <w:r/>
            <w:r>
              <w:rPr>
                <w:rFonts w:ascii="Times New Roman" w:hAnsi="Times New Roman"/>
                <w:sz w:val="16"/>
              </w:rPr>
              <w:t>0.97</w:t>
            </w:r>
          </w:p>
        </w:tc>
        <w:tc>
          <w:tcPr>
            <w:tcW w:w="540" w:type="dxa"/>
          </w:tcPr>
          <w:p>
            <w:pPr>
              <w:jc w:val="center"/>
              <w:spacing w:before="10" w:after="10"/>
            </w:pPr>
            <w:r/>
            <w:r>
              <w:rPr>
                <w:rFonts w:ascii="Times New Roman" w:hAnsi="Times New Roman"/>
                <w:sz w:val="16"/>
              </w:rPr>
              <w:t>13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$1.70</w:t>
            </w:r>
          </w:p>
        </w:tc>
        <w:tc>
          <w:tcPr>
            <w:tcW w:w="540" w:type="dxa"/>
          </w:tcPr>
          <w:p>
            <w:pPr>
              <w:jc w:val="center"/>
              <w:spacing w:before="10" w:after="10"/>
            </w:pPr>
            <w:r/>
            <w:r>
              <w:rPr>
                <w:rFonts w:ascii="Times New Roman" w:hAnsi="Times New Roman"/>
                <w:b/>
                <w:sz w:val="16"/>
              </w:rPr>
              <w:t>13</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+48</w:t>
            </w:r>
          </w:p>
        </w:tc>
      </w:tr>
      <w:tr>
        <w:tc>
          <w:tcPr>
            <w:tcW w:w="1800" w:type="dxa"/>
          </w:tcPr>
          <w:p>
            <w:pPr>
              <w:jc w:val="left"/>
              <w:spacing w:before="10" w:after="10"/>
            </w:pPr>
            <w:r/>
            <w:r>
              <w:rPr>
                <w:rFonts w:ascii="Times New Roman" w:hAnsi="Times New Roman"/>
                <w:sz w:val="16"/>
              </w:rPr>
              <w:t>Belgium</w:t>
            </w:r>
          </w:p>
        </w:tc>
        <w:tc>
          <w:tcPr>
            <w:tcW w:w="900" w:type="dxa"/>
          </w:tcPr>
          <w:p>
            <w:pPr>
              <w:jc w:val="center"/>
              <w:spacing w:before="10" w:after="10"/>
            </w:pPr>
            <w:r/>
            <w:r>
              <w:rPr>
                <w:rFonts w:ascii="Times New Roman" w:hAnsi="Times New Roman"/>
                <w:sz w:val="16"/>
              </w:rPr>
              <w:t>$1.68</w:t>
            </w:r>
          </w:p>
        </w:tc>
        <w:tc>
          <w:tcPr>
            <w:tcW w:w="540" w:type="dxa"/>
          </w:tcPr>
          <w:p>
            <w:pPr>
              <w:jc w:val="center"/>
              <w:spacing w:before="10" w:after="10"/>
            </w:pPr>
            <w:r/>
            <w:r>
              <w:rPr>
                <w:rFonts w:ascii="Times New Roman" w:hAnsi="Times New Roman"/>
                <w:sz w:val="16"/>
              </w:rPr>
              <w:t>56</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$1.68</w:t>
            </w:r>
          </w:p>
        </w:tc>
        <w:tc>
          <w:tcPr>
            <w:tcW w:w="540" w:type="dxa"/>
          </w:tcPr>
          <w:p>
            <w:pPr>
              <w:jc w:val="center"/>
              <w:spacing w:before="10" w:after="10"/>
            </w:pPr>
            <w:r/>
            <w:r>
              <w:rPr>
                <w:rFonts w:ascii="Times New Roman" w:hAnsi="Times New Roman"/>
                <w:sz w:val="16"/>
              </w:rPr>
              <w:t>54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$1.70</w:t>
            </w:r>
          </w:p>
        </w:tc>
        <w:tc>
          <w:tcPr>
            <w:tcW w:w="450" w:type="dxa"/>
          </w:tcPr>
          <w:p>
            <w:pPr>
              <w:jc w:val="center"/>
              <w:spacing w:before="10" w:after="10"/>
            </w:pPr>
            <w:r/>
            <w:r>
              <w:rPr>
                <w:rFonts w:ascii="Times New Roman" w:hAnsi="Times New Roman"/>
                <w:sz w:val="16"/>
              </w:rPr>
              <w:t>0.94</w:t>
            </w:r>
          </w:p>
        </w:tc>
        <w:tc>
          <w:tcPr>
            <w:tcW w:w="540" w:type="dxa"/>
          </w:tcPr>
          <w:p>
            <w:pPr>
              <w:jc w:val="center"/>
              <w:spacing w:before="10" w:after="10"/>
            </w:pPr>
            <w:r/>
            <w:r>
              <w:rPr>
                <w:rFonts w:ascii="Times New Roman" w:hAnsi="Times New Roman"/>
                <w:sz w:val="16"/>
              </w:rPr>
              <w:t>14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$1.70</w:t>
            </w:r>
          </w:p>
        </w:tc>
        <w:tc>
          <w:tcPr>
            <w:tcW w:w="540" w:type="dxa"/>
          </w:tcPr>
          <w:p>
            <w:pPr>
              <w:jc w:val="center"/>
              <w:spacing w:before="10" w:after="10"/>
            </w:pPr>
            <w:r/>
            <w:r>
              <w:rPr>
                <w:rFonts w:ascii="Times New Roman" w:hAnsi="Times New Roman"/>
                <w:b/>
                <w:sz w:val="16"/>
              </w:rPr>
              <w:t>14</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+42</w:t>
            </w:r>
          </w:p>
        </w:tc>
      </w:tr>
      <w:tr>
        <w:tc>
          <w:tcPr>
            <w:tcW w:w="1800" w:type="dxa"/>
          </w:tcPr>
          <w:p>
            <w:pPr>
              <w:jc w:val="left"/>
              <w:spacing w:before="10" w:after="10"/>
            </w:pPr>
            <w:r/>
            <w:r>
              <w:rPr>
                <w:rFonts w:ascii="Times New Roman" w:hAnsi="Times New Roman"/>
                <w:sz w:val="16"/>
              </w:rPr>
              <w:t>Portugal</w:t>
            </w:r>
          </w:p>
        </w:tc>
        <w:tc>
          <w:tcPr>
            <w:tcW w:w="900" w:type="dxa"/>
          </w:tcPr>
          <w:p>
            <w:pPr>
              <w:jc w:val="center"/>
              <w:spacing w:before="10" w:after="10"/>
            </w:pPr>
            <w:r/>
            <w:r>
              <w:rPr>
                <w:rFonts w:ascii="Times New Roman" w:hAnsi="Times New Roman"/>
                <w:sz w:val="16"/>
              </w:rPr>
              <w:t>$1.68</w:t>
            </w:r>
          </w:p>
        </w:tc>
        <w:tc>
          <w:tcPr>
            <w:tcW w:w="540" w:type="dxa"/>
          </w:tcPr>
          <w:p>
            <w:pPr>
              <w:jc w:val="center"/>
              <w:spacing w:before="10" w:after="10"/>
            </w:pPr>
            <w:r/>
            <w:r>
              <w:rPr>
                <w:rFonts w:ascii="Times New Roman" w:hAnsi="Times New Roman"/>
                <w:sz w:val="16"/>
              </w:rPr>
              <w:t>49</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$1.68</w:t>
            </w:r>
          </w:p>
        </w:tc>
        <w:tc>
          <w:tcPr>
            <w:tcW w:w="540" w:type="dxa"/>
          </w:tcPr>
          <w:p>
            <w:pPr>
              <w:jc w:val="center"/>
              <w:spacing w:before="10" w:after="10"/>
            </w:pPr>
            <w:r/>
            <w:r>
              <w:rPr>
                <w:rFonts w:ascii="Times New Roman" w:hAnsi="Times New Roman"/>
                <w:sz w:val="16"/>
              </w:rPr>
              <w:t>47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$1.72</w:t>
            </w:r>
          </w:p>
        </w:tc>
        <w:tc>
          <w:tcPr>
            <w:tcW w:w="450" w:type="dxa"/>
          </w:tcPr>
          <w:p>
            <w:pPr>
              <w:jc w:val="center"/>
              <w:spacing w:before="10" w:after="10"/>
            </w:pPr>
            <w:r/>
            <w:r>
              <w:rPr>
                <w:rFonts w:ascii="Times New Roman" w:hAnsi="Times New Roman"/>
                <w:sz w:val="16"/>
              </w:rPr>
              <w:t>0.89</w:t>
            </w:r>
          </w:p>
        </w:tc>
        <w:tc>
          <w:tcPr>
            <w:tcW w:w="540" w:type="dxa"/>
          </w:tcPr>
          <w:p>
            <w:pPr>
              <w:jc w:val="center"/>
              <w:spacing w:before="10" w:after="10"/>
            </w:pPr>
            <w:r/>
            <w:r>
              <w:rPr>
                <w:rFonts w:ascii="Times New Roman" w:hAnsi="Times New Roman"/>
                <w:sz w:val="16"/>
              </w:rPr>
              <w:t>15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$1.72</w:t>
            </w:r>
          </w:p>
        </w:tc>
        <w:tc>
          <w:tcPr>
            <w:tcW w:w="540" w:type="dxa"/>
          </w:tcPr>
          <w:p>
            <w:pPr>
              <w:jc w:val="center"/>
              <w:spacing w:before="10" w:after="10"/>
            </w:pPr>
            <w:r/>
            <w:r>
              <w:rPr>
                <w:rFonts w:ascii="Times New Roman" w:hAnsi="Times New Roman"/>
                <w:b/>
                <w:sz w:val="16"/>
              </w:rPr>
              <w:t>15</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+34</w:t>
            </w:r>
          </w:p>
        </w:tc>
      </w:tr>
      <w:tr>
        <w:tc>
          <w:tcPr>
            <w:tcW w:w="1800" w:type="dxa"/>
          </w:tcPr>
          <w:p>
            <w:pPr>
              <w:jc w:val="left"/>
              <w:spacing w:before="10" w:after="10"/>
            </w:pPr>
            <w:r/>
            <w:r>
              <w:rPr>
                <w:rFonts w:ascii="Times New Roman" w:hAnsi="Times New Roman"/>
                <w:sz w:val="16"/>
              </w:rPr>
              <w:t>UAE</w:t>
            </w:r>
          </w:p>
        </w:tc>
        <w:tc>
          <w:tcPr>
            <w:tcW w:w="900" w:type="dxa"/>
          </w:tcPr>
          <w:p>
            <w:pPr>
              <w:jc w:val="center"/>
              <w:spacing w:before="10" w:after="10"/>
            </w:pPr>
            <w:r/>
            <w:r>
              <w:rPr>
                <w:rFonts w:ascii="Times New Roman" w:hAnsi="Times New Roman"/>
                <w:sz w:val="16"/>
              </w:rPr>
              <w:t>$1.64</w:t>
            </w:r>
          </w:p>
        </w:tc>
        <w:tc>
          <w:tcPr>
            <w:tcW w:w="540" w:type="dxa"/>
          </w:tcPr>
          <w:p>
            <w:pPr>
              <w:jc w:val="center"/>
              <w:spacing w:before="10" w:after="10"/>
            </w:pPr>
            <w:r/>
            <w:r>
              <w:rPr>
                <w:rFonts w:ascii="Times New Roman" w:hAnsi="Times New Roman"/>
                <w:sz w:val="16"/>
              </w:rPr>
              <w:t>24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$1.67</w:t>
            </w:r>
          </w:p>
        </w:tc>
        <w:tc>
          <w:tcPr>
            <w:tcW w:w="540" w:type="dxa"/>
          </w:tcPr>
          <w:p>
            <w:pPr>
              <w:jc w:val="center"/>
              <w:spacing w:before="10" w:after="10"/>
            </w:pPr>
            <w:r/>
            <w:r>
              <w:rPr>
                <w:rFonts w:ascii="Times New Roman" w:hAnsi="Times New Roman"/>
                <w:sz w:val="16"/>
              </w:rPr>
              <w:t>41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$1.72</w:t>
            </w:r>
          </w:p>
        </w:tc>
        <w:tc>
          <w:tcPr>
            <w:tcW w:w="450" w:type="dxa"/>
          </w:tcPr>
          <w:p>
            <w:pPr>
              <w:jc w:val="center"/>
              <w:spacing w:before="10" w:after="10"/>
            </w:pPr>
            <w:r/>
            <w:r>
              <w:rPr>
                <w:rFonts w:ascii="Times New Roman" w:hAnsi="Times New Roman"/>
                <w:sz w:val="16"/>
              </w:rPr>
              <w:t>0.87</w:t>
            </w:r>
          </w:p>
        </w:tc>
        <w:tc>
          <w:tcPr>
            <w:tcW w:w="540" w:type="dxa"/>
          </w:tcPr>
          <w:p>
            <w:pPr>
              <w:jc w:val="center"/>
              <w:spacing w:before="10" w:after="10"/>
            </w:pPr>
            <w:r/>
            <w:r>
              <w:rPr>
                <w:rFonts w:ascii="Times New Roman" w:hAnsi="Times New Roman"/>
                <w:sz w:val="16"/>
              </w:rPr>
              <w:t>16</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$1.72</w:t>
            </w:r>
          </w:p>
        </w:tc>
        <w:tc>
          <w:tcPr>
            <w:tcW w:w="540" w:type="dxa"/>
          </w:tcPr>
          <w:p>
            <w:pPr>
              <w:jc w:val="center"/>
              <w:spacing w:before="10" w:after="10"/>
            </w:pPr>
            <w:r/>
            <w:r>
              <w:rPr>
                <w:rFonts w:ascii="Times New Roman" w:hAnsi="Times New Roman"/>
                <w:b/>
                <w:sz w:val="16"/>
              </w:rPr>
              <w:t>16</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+8</w:t>
            </w:r>
          </w:p>
        </w:tc>
      </w:tr>
      <w:tr>
        <w:tc>
          <w:tcPr>
            <w:tcW w:w="1800" w:type="dxa"/>
          </w:tcPr>
          <w:p>
            <w:pPr>
              <w:jc w:val="left"/>
              <w:spacing w:before="10" w:after="10"/>
            </w:pPr>
            <w:r/>
            <w:r>
              <w:rPr>
                <w:rFonts w:ascii="Times New Roman" w:hAnsi="Times New Roman"/>
                <w:sz w:val="16"/>
              </w:rPr>
              <w:t>Estonia</w:t>
            </w:r>
          </w:p>
        </w:tc>
        <w:tc>
          <w:tcPr>
            <w:tcW w:w="900" w:type="dxa"/>
          </w:tcPr>
          <w:p>
            <w:pPr>
              <w:jc w:val="center"/>
              <w:spacing w:before="10" w:after="10"/>
            </w:pPr>
            <w:r/>
            <w:r>
              <w:rPr>
                <w:rFonts w:ascii="Times New Roman" w:hAnsi="Times New Roman"/>
                <w:sz w:val="16"/>
              </w:rPr>
              <w:t>$1.69</w:t>
            </w:r>
          </w:p>
        </w:tc>
        <w:tc>
          <w:tcPr>
            <w:tcW w:w="540" w:type="dxa"/>
          </w:tcPr>
          <w:p>
            <w:pPr>
              <w:jc w:val="center"/>
              <w:spacing w:before="10" w:after="10"/>
            </w:pPr>
            <w:r/>
            <w:r>
              <w:rPr>
                <w:rFonts w:ascii="Times New Roman" w:hAnsi="Times New Roman"/>
                <w:sz w:val="16"/>
              </w:rPr>
              <w:t>62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$1.69</w:t>
            </w:r>
          </w:p>
        </w:tc>
        <w:tc>
          <w:tcPr>
            <w:tcW w:w="540" w:type="dxa"/>
          </w:tcPr>
          <w:p>
            <w:pPr>
              <w:jc w:val="center"/>
              <w:spacing w:before="10" w:after="10"/>
            </w:pPr>
            <w:r/>
            <w:r>
              <w:rPr>
                <w:rFonts w:ascii="Times New Roman" w:hAnsi="Times New Roman"/>
                <w:sz w:val="16"/>
              </w:rPr>
              <w:t>61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$1.72</w:t>
            </w:r>
          </w:p>
        </w:tc>
        <w:tc>
          <w:tcPr>
            <w:tcW w:w="450" w:type="dxa"/>
          </w:tcPr>
          <w:p>
            <w:pPr>
              <w:jc w:val="center"/>
              <w:spacing w:before="10" w:after="10"/>
            </w:pPr>
            <w:r/>
            <w:r>
              <w:rPr>
                <w:rFonts w:ascii="Times New Roman" w:hAnsi="Times New Roman"/>
                <w:sz w:val="16"/>
              </w:rPr>
              <w:t>0.92</w:t>
            </w:r>
          </w:p>
        </w:tc>
        <w:tc>
          <w:tcPr>
            <w:tcW w:w="540" w:type="dxa"/>
          </w:tcPr>
          <w:p>
            <w:pPr>
              <w:jc w:val="center"/>
              <w:spacing w:before="10" w:after="10"/>
            </w:pPr>
            <w:r/>
            <w:r>
              <w:rPr>
                <w:rFonts w:ascii="Times New Roman" w:hAnsi="Times New Roman"/>
                <w:sz w:val="16"/>
              </w:rPr>
              <w:t>17</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$1.72</w:t>
            </w:r>
          </w:p>
        </w:tc>
        <w:tc>
          <w:tcPr>
            <w:tcW w:w="540" w:type="dxa"/>
          </w:tcPr>
          <w:p>
            <w:pPr>
              <w:jc w:val="center"/>
              <w:spacing w:before="10" w:after="10"/>
            </w:pPr>
            <w:r/>
            <w:r>
              <w:rPr>
                <w:rFonts w:ascii="Times New Roman" w:hAnsi="Times New Roman"/>
                <w:b/>
                <w:sz w:val="16"/>
              </w:rPr>
              <w:t>17</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+45</w:t>
            </w:r>
          </w:p>
        </w:tc>
      </w:tr>
      <w:tr>
        <w:tc>
          <w:tcPr>
            <w:tcW w:w="1800" w:type="dxa"/>
          </w:tcPr>
          <w:p>
            <w:pPr>
              <w:jc w:val="left"/>
              <w:spacing w:before="10" w:after="10"/>
            </w:pPr>
            <w:r/>
            <w:r>
              <w:rPr>
                <w:rFonts w:ascii="Times New Roman" w:hAnsi="Times New Roman"/>
                <w:sz w:val="16"/>
              </w:rPr>
              <w:t>South Korea</w:t>
            </w:r>
          </w:p>
        </w:tc>
        <w:tc>
          <w:tcPr>
            <w:tcW w:w="900" w:type="dxa"/>
          </w:tcPr>
          <w:p>
            <w:pPr>
              <w:jc w:val="center"/>
              <w:spacing w:before="10" w:after="10"/>
            </w:pPr>
            <w:r/>
            <w:r>
              <w:rPr>
                <w:rFonts w:ascii="Times New Roman" w:hAnsi="Times New Roman"/>
                <w:sz w:val="16"/>
              </w:rPr>
              <w:t>$1.69</w:t>
            </w:r>
          </w:p>
        </w:tc>
        <w:tc>
          <w:tcPr>
            <w:tcW w:w="540" w:type="dxa"/>
          </w:tcPr>
          <w:p>
            <w:pPr>
              <w:jc w:val="center"/>
              <w:spacing w:before="10" w:after="10"/>
            </w:pPr>
            <w:r/>
            <w:r>
              <w:rPr>
                <w:rFonts w:ascii="Times New Roman" w:hAnsi="Times New Roman"/>
                <w:sz w:val="16"/>
              </w:rPr>
              <w:t>60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$1.69</w:t>
            </w:r>
          </w:p>
        </w:tc>
        <w:tc>
          <w:tcPr>
            <w:tcW w:w="540" w:type="dxa"/>
          </w:tcPr>
          <w:p>
            <w:pPr>
              <w:jc w:val="center"/>
              <w:spacing w:before="10" w:after="10"/>
            </w:pPr>
            <w:r/>
            <w:r>
              <w:rPr>
                <w:rFonts w:ascii="Times New Roman" w:hAnsi="Times New Roman"/>
                <w:sz w:val="16"/>
              </w:rPr>
              <w:t>59</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$1.72</w:t>
            </w:r>
          </w:p>
        </w:tc>
        <w:tc>
          <w:tcPr>
            <w:tcW w:w="450" w:type="dxa"/>
          </w:tcPr>
          <w:p>
            <w:pPr>
              <w:jc w:val="center"/>
              <w:spacing w:before="10" w:after="10"/>
            </w:pPr>
            <w:r/>
            <w:r>
              <w:rPr>
                <w:rFonts w:ascii="Times New Roman" w:hAnsi="Times New Roman"/>
                <w:sz w:val="16"/>
              </w:rPr>
              <w:t>0.92</w:t>
            </w:r>
          </w:p>
        </w:tc>
        <w:tc>
          <w:tcPr>
            <w:tcW w:w="540" w:type="dxa"/>
          </w:tcPr>
          <w:p>
            <w:pPr>
              <w:jc w:val="center"/>
              <w:spacing w:before="10" w:after="10"/>
            </w:pPr>
            <w:r/>
            <w:r>
              <w:rPr>
                <w:rFonts w:ascii="Times New Roman" w:hAnsi="Times New Roman"/>
                <w:sz w:val="16"/>
              </w:rPr>
              <w:t>18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$1.72</w:t>
            </w:r>
          </w:p>
        </w:tc>
        <w:tc>
          <w:tcPr>
            <w:tcW w:w="540" w:type="dxa"/>
          </w:tcPr>
          <w:p>
            <w:pPr>
              <w:jc w:val="center"/>
              <w:spacing w:before="10" w:after="10"/>
            </w:pPr>
            <w:r/>
            <w:r>
              <w:rPr>
                <w:rFonts w:ascii="Times New Roman" w:hAnsi="Times New Roman"/>
                <w:b/>
                <w:sz w:val="16"/>
              </w:rPr>
              <w:t>18</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+42</w:t>
            </w:r>
          </w:p>
        </w:tc>
      </w:tr>
      <w:tr>
        <w:tc>
          <w:tcPr>
            <w:tcW w:w="1800" w:type="dxa"/>
          </w:tcPr>
          <w:p>
            <w:pPr>
              <w:jc w:val="left"/>
              <w:spacing w:before="10" w:after="10"/>
            </w:pPr>
            <w:r/>
            <w:r>
              <w:rPr>
                <w:rFonts w:ascii="Times New Roman" w:hAnsi="Times New Roman"/>
                <w:sz w:val="16"/>
              </w:rPr>
              <w:t>China</w:t>
            </w:r>
          </w:p>
        </w:tc>
        <w:tc>
          <w:tcPr>
            <w:tcW w:w="900" w:type="dxa"/>
          </w:tcPr>
          <w:p>
            <w:pPr>
              <w:jc w:val="center"/>
              <w:spacing w:before="10" w:after="10"/>
            </w:pPr>
            <w:r/>
            <w:r>
              <w:rPr>
                <w:rFonts w:ascii="Times New Roman" w:hAnsi="Times New Roman"/>
                <w:sz w:val="16"/>
              </w:rPr>
              <w:t>$1.62</w:t>
            </w:r>
          </w:p>
        </w:tc>
        <w:tc>
          <w:tcPr>
            <w:tcW w:w="540" w:type="dxa"/>
          </w:tcPr>
          <w:p>
            <w:pPr>
              <w:jc w:val="center"/>
              <w:spacing w:before="10" w:after="10"/>
            </w:pPr>
            <w:r/>
            <w:r>
              <w:rPr>
                <w:rFonts w:ascii="Times New Roman" w:hAnsi="Times New Roman"/>
                <w:sz w:val="16"/>
              </w:rPr>
              <w:t>10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$1.62</w:t>
            </w:r>
          </w:p>
        </w:tc>
        <w:tc>
          <w:tcPr>
            <w:tcW w:w="540" w:type="dxa"/>
          </w:tcPr>
          <w:p>
            <w:pPr>
              <w:jc w:val="center"/>
              <w:spacing w:before="10" w:after="10"/>
            </w:pPr>
            <w:r/>
            <w:r>
              <w:rPr>
                <w:rFonts w:ascii="Times New Roman" w:hAnsi="Times New Roman"/>
                <w:sz w:val="16"/>
              </w:rPr>
              <w:t>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$1.73</w:t>
            </w:r>
          </w:p>
        </w:tc>
        <w:tc>
          <w:tcPr>
            <w:tcW w:w="450" w:type="dxa"/>
          </w:tcPr>
          <w:p>
            <w:pPr>
              <w:jc w:val="center"/>
              <w:spacing w:before="10" w:after="10"/>
            </w:pPr>
            <w:r/>
            <w:r>
              <w:rPr>
                <w:rFonts w:ascii="Times New Roman" w:hAnsi="Times New Roman"/>
                <w:sz w:val="16"/>
              </w:rPr>
              <w:t>0.71</w:t>
            </w:r>
          </w:p>
        </w:tc>
        <w:tc>
          <w:tcPr>
            <w:tcW w:w="540" w:type="dxa"/>
          </w:tcPr>
          <w:p>
            <w:pPr>
              <w:jc w:val="center"/>
              <w:spacing w:before="10" w:after="10"/>
            </w:pPr>
            <w:r/>
            <w:r>
              <w:rPr>
                <w:rFonts w:ascii="Times New Roman" w:hAnsi="Times New Roman"/>
                <w:sz w:val="16"/>
              </w:rPr>
              <w:t>19</w:t>
            </w:r>
          </w:p>
        </w:tc>
        <w:tc>
          <w:tcPr>
            <w:tcW w:w="54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$1.73</w:t>
            </w:r>
          </w:p>
        </w:tc>
        <w:tc>
          <w:tcPr>
            <w:tcW w:w="540" w:type="dxa"/>
          </w:tcPr>
          <w:p>
            <w:pPr>
              <w:jc w:val="center"/>
              <w:spacing w:before="10" w:after="10"/>
            </w:pPr>
            <w:r/>
            <w:r>
              <w:rPr>
                <w:rFonts w:ascii="Times New Roman" w:hAnsi="Times New Roman"/>
                <w:b/>
                <w:sz w:val="16"/>
              </w:rPr>
              <w:t>19</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-9</w:t>
            </w:r>
          </w:p>
        </w:tc>
      </w:tr>
      <w:tr>
        <w:tc>
          <w:tcPr>
            <w:tcW w:w="1800" w:type="dxa"/>
          </w:tcPr>
          <w:p>
            <w:pPr>
              <w:jc w:val="left"/>
              <w:spacing w:before="10" w:after="10"/>
            </w:pPr>
            <w:r/>
            <w:r>
              <w:rPr>
                <w:rFonts w:ascii="Times New Roman" w:hAnsi="Times New Roman"/>
                <w:sz w:val="16"/>
              </w:rPr>
              <w:t>Latvia</w:t>
            </w:r>
          </w:p>
        </w:tc>
        <w:tc>
          <w:tcPr>
            <w:tcW w:w="900" w:type="dxa"/>
          </w:tcPr>
          <w:p>
            <w:pPr>
              <w:jc w:val="center"/>
              <w:spacing w:before="10" w:after="10"/>
            </w:pPr>
            <w:r/>
            <w:r>
              <w:rPr>
                <w:rFonts w:ascii="Times New Roman" w:hAnsi="Times New Roman"/>
                <w:sz w:val="16"/>
              </w:rPr>
              <w:t>$1.68</w:t>
            </w:r>
          </w:p>
        </w:tc>
        <w:tc>
          <w:tcPr>
            <w:tcW w:w="540" w:type="dxa"/>
          </w:tcPr>
          <w:p>
            <w:pPr>
              <w:jc w:val="center"/>
              <w:spacing w:before="10" w:after="10"/>
            </w:pPr>
            <w:r/>
            <w:r>
              <w:rPr>
                <w:rFonts w:ascii="Times New Roman" w:hAnsi="Times New Roman"/>
                <w:sz w:val="16"/>
              </w:rPr>
              <w:t>50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$1.68</w:t>
            </w:r>
          </w:p>
        </w:tc>
        <w:tc>
          <w:tcPr>
            <w:tcW w:w="540" w:type="dxa"/>
          </w:tcPr>
          <w:p>
            <w:pPr>
              <w:jc w:val="center"/>
              <w:spacing w:before="10" w:after="10"/>
            </w:pPr>
            <w:r/>
            <w:r>
              <w:rPr>
                <w:rFonts w:ascii="Times New Roman" w:hAnsi="Times New Roman"/>
                <w:sz w:val="16"/>
              </w:rPr>
              <w:t>48</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$1.73</w:t>
            </w:r>
          </w:p>
        </w:tc>
        <w:tc>
          <w:tcPr>
            <w:tcW w:w="450" w:type="dxa"/>
          </w:tcPr>
          <w:p>
            <w:pPr>
              <w:jc w:val="center"/>
              <w:spacing w:before="10" w:after="10"/>
            </w:pPr>
            <w:r/>
            <w:r>
              <w:rPr>
                <w:rFonts w:ascii="Times New Roman" w:hAnsi="Times New Roman"/>
                <w:sz w:val="16"/>
              </w:rPr>
              <w:t>0.86</w:t>
            </w:r>
          </w:p>
        </w:tc>
        <w:tc>
          <w:tcPr>
            <w:tcW w:w="540" w:type="dxa"/>
          </w:tcPr>
          <w:p>
            <w:pPr>
              <w:jc w:val="center"/>
              <w:spacing w:before="10" w:after="10"/>
            </w:pPr>
            <w:r/>
            <w:r>
              <w:rPr>
                <w:rFonts w:ascii="Times New Roman" w:hAnsi="Times New Roman"/>
                <w:sz w:val="16"/>
              </w:rPr>
              <w:t>20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$1.73</w:t>
            </w:r>
          </w:p>
        </w:tc>
        <w:tc>
          <w:tcPr>
            <w:tcW w:w="540" w:type="dxa"/>
          </w:tcPr>
          <w:p>
            <w:pPr>
              <w:jc w:val="center"/>
              <w:spacing w:before="10" w:after="10"/>
            </w:pPr>
            <w:r/>
            <w:r>
              <w:rPr>
                <w:rFonts w:ascii="Times New Roman" w:hAnsi="Times New Roman"/>
                <w:b/>
                <w:sz w:val="16"/>
              </w:rPr>
              <w:t>20</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+30</w:t>
            </w:r>
          </w:p>
        </w:tc>
      </w:tr>
      <w:tr>
        <w:tc>
          <w:tcPr>
            <w:tcW w:w="1800" w:type="dxa"/>
          </w:tcPr>
          <w:p>
            <w:pPr>
              <w:jc w:val="left"/>
              <w:spacing w:before="10" w:after="10"/>
            </w:pPr>
            <w:r/>
            <w:r>
              <w:rPr>
                <w:rFonts w:ascii="Times New Roman" w:hAnsi="Times New Roman"/>
                <w:sz w:val="16"/>
              </w:rPr>
              <w:t>Israel</w:t>
            </w:r>
          </w:p>
        </w:tc>
        <w:tc>
          <w:tcPr>
            <w:tcW w:w="900" w:type="dxa"/>
          </w:tcPr>
          <w:p>
            <w:pPr>
              <w:jc w:val="center"/>
              <w:spacing w:before="10" w:after="10"/>
            </w:pPr>
            <w:r/>
            <w:r>
              <w:rPr>
                <w:rFonts w:ascii="Times New Roman" w:hAnsi="Times New Roman"/>
                <w:sz w:val="16"/>
              </w:rPr>
              <w:t>$1.68</w:t>
            </w:r>
          </w:p>
        </w:tc>
        <w:tc>
          <w:tcPr>
            <w:tcW w:w="540" w:type="dxa"/>
          </w:tcPr>
          <w:p>
            <w:pPr>
              <w:jc w:val="center"/>
              <w:spacing w:before="10" w:after="10"/>
            </w:pPr>
            <w:r/>
            <w:r>
              <w:rPr>
                <w:rFonts w:ascii="Times New Roman" w:hAnsi="Times New Roman"/>
                <w:sz w:val="16"/>
              </w:rPr>
              <w:t>52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$1.68</w:t>
            </w:r>
          </w:p>
        </w:tc>
        <w:tc>
          <w:tcPr>
            <w:tcW w:w="540" w:type="dxa"/>
          </w:tcPr>
          <w:p>
            <w:pPr>
              <w:jc w:val="center"/>
              <w:spacing w:before="10" w:after="10"/>
            </w:pPr>
            <w:r/>
            <w:r>
              <w:rPr>
                <w:rFonts w:ascii="Times New Roman" w:hAnsi="Times New Roman"/>
                <w:sz w:val="16"/>
              </w:rPr>
              <w:t>50</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$1.73</w:t>
            </w:r>
          </w:p>
        </w:tc>
        <w:tc>
          <w:tcPr>
            <w:tcW w:w="450" w:type="dxa"/>
          </w:tcPr>
          <w:p>
            <w:pPr>
              <w:jc w:val="center"/>
              <w:spacing w:before="10" w:after="10"/>
            </w:pPr>
            <w:r/>
            <w:r>
              <w:rPr>
                <w:rFonts w:ascii="Times New Roman" w:hAnsi="Times New Roman"/>
                <w:sz w:val="16"/>
              </w:rPr>
              <w:t>0.87</w:t>
            </w:r>
          </w:p>
        </w:tc>
        <w:tc>
          <w:tcPr>
            <w:tcW w:w="540" w:type="dxa"/>
          </w:tcPr>
          <w:p>
            <w:pPr>
              <w:jc w:val="center"/>
              <w:spacing w:before="10" w:after="10"/>
            </w:pPr>
            <w:r/>
            <w:r>
              <w:rPr>
                <w:rFonts w:ascii="Times New Roman" w:hAnsi="Times New Roman"/>
                <w:sz w:val="16"/>
              </w:rPr>
              <w:t>21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$1.73</w:t>
            </w:r>
          </w:p>
        </w:tc>
        <w:tc>
          <w:tcPr>
            <w:tcW w:w="540" w:type="dxa"/>
          </w:tcPr>
          <w:p>
            <w:pPr>
              <w:jc w:val="center"/>
              <w:spacing w:before="10" w:after="10"/>
            </w:pPr>
            <w:r/>
            <w:r>
              <w:rPr>
                <w:rFonts w:ascii="Times New Roman" w:hAnsi="Times New Roman"/>
                <w:b/>
                <w:sz w:val="16"/>
              </w:rPr>
              <w:t>21</w:t>
            </w:r>
          </w:p>
        </w:tc>
        <w:tc>
          <w:tcPr>
            <w:tcW w:w="540" w:type="dxa"/>
          </w:tcPr>
          <w:p>
            <w:pPr>
              <w:jc w:val="center"/>
              <w:spacing w:before="10" w:after="10"/>
            </w:pPr>
            <w:r/>
            <w:r>
              <w:rPr>
                <w:rFonts w:ascii="Times New Roman" w:hAnsi="Times New Roman"/>
                <w:sz w:val="16"/>
              </w:rPr>
              <w:t>DD</w:t>
            </w:r>
          </w:p>
        </w:tc>
        <w:tc>
          <w:tcPr>
            <w:tcW w:w="540" w:type="dxa"/>
          </w:tcPr>
          <w:p>
            <w:pPr>
              <w:jc w:val="center"/>
              <w:spacing w:before="10" w:after="10"/>
            </w:pPr>
            <w:r/>
            <w:r>
              <w:rPr>
                <w:rFonts w:ascii="Times New Roman" w:hAnsi="Times New Roman"/>
                <w:sz w:val="16"/>
              </w:rPr>
              <w:t>+31</w:t>
            </w:r>
          </w:p>
        </w:tc>
      </w:tr>
      <w:tr>
        <w:tc>
          <w:tcPr>
            <w:tcW w:w="1800" w:type="dxa"/>
          </w:tcPr>
          <w:p>
            <w:pPr>
              <w:jc w:val="left"/>
              <w:spacing w:before="10" w:after="10"/>
            </w:pPr>
            <w:r/>
            <w:r>
              <w:rPr>
                <w:rFonts w:ascii="Times New Roman" w:hAnsi="Times New Roman"/>
                <w:sz w:val="16"/>
              </w:rPr>
              <w:t>Austria</w:t>
            </w:r>
          </w:p>
        </w:tc>
        <w:tc>
          <w:tcPr>
            <w:tcW w:w="900" w:type="dxa"/>
          </w:tcPr>
          <w:p>
            <w:pPr>
              <w:jc w:val="center"/>
              <w:spacing w:before="10" w:after="10"/>
            </w:pPr>
            <w:r/>
            <w:r>
              <w:rPr>
                <w:rFonts w:ascii="Times New Roman" w:hAnsi="Times New Roman"/>
                <w:sz w:val="16"/>
              </w:rPr>
              <w:t>$1.72</w:t>
            </w:r>
          </w:p>
        </w:tc>
        <w:tc>
          <w:tcPr>
            <w:tcW w:w="540" w:type="dxa"/>
          </w:tcPr>
          <w:p>
            <w:pPr>
              <w:jc w:val="center"/>
              <w:spacing w:before="10" w:after="10"/>
            </w:pPr>
            <w:r/>
            <w:r>
              <w:rPr>
                <w:rFonts w:ascii="Times New Roman" w:hAnsi="Times New Roman"/>
                <w:sz w:val="16"/>
              </w:rPr>
              <w:t>75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$1.72</w:t>
            </w:r>
          </w:p>
        </w:tc>
        <w:tc>
          <w:tcPr>
            <w:tcW w:w="540" w:type="dxa"/>
          </w:tcPr>
          <w:p>
            <w:pPr>
              <w:jc w:val="center"/>
              <w:spacing w:before="10" w:after="10"/>
            </w:pPr>
            <w:r/>
            <w:r>
              <w:rPr>
                <w:rFonts w:ascii="Times New Roman" w:hAnsi="Times New Roman"/>
                <w:sz w:val="16"/>
              </w:rPr>
              <w:t>75</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$1.73</w:t>
            </w:r>
          </w:p>
        </w:tc>
        <w:tc>
          <w:tcPr>
            <w:tcW w:w="450" w:type="dxa"/>
          </w:tcPr>
          <w:p>
            <w:pPr>
              <w:jc w:val="center"/>
              <w:spacing w:before="10" w:after="10"/>
            </w:pPr>
            <w:r/>
            <w:r>
              <w:rPr>
                <w:rFonts w:ascii="Times New Roman" w:hAnsi="Times New Roman"/>
                <w:sz w:val="16"/>
              </w:rPr>
              <w:t>0.99</w:t>
            </w:r>
          </w:p>
        </w:tc>
        <w:tc>
          <w:tcPr>
            <w:tcW w:w="540" w:type="dxa"/>
          </w:tcPr>
          <w:p>
            <w:pPr>
              <w:jc w:val="center"/>
              <w:spacing w:before="10" w:after="10"/>
            </w:pPr>
            <w:r/>
            <w:r>
              <w:rPr>
                <w:rFonts w:ascii="Times New Roman" w:hAnsi="Times New Roman"/>
                <w:sz w:val="16"/>
              </w:rPr>
              <w:t>22</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$1.73</w:t>
            </w:r>
          </w:p>
        </w:tc>
        <w:tc>
          <w:tcPr>
            <w:tcW w:w="540" w:type="dxa"/>
          </w:tcPr>
          <w:p>
            <w:pPr>
              <w:jc w:val="center"/>
              <w:spacing w:before="10" w:after="10"/>
            </w:pPr>
            <w:r/>
            <w:r>
              <w:rPr>
                <w:rFonts w:ascii="Times New Roman" w:hAnsi="Times New Roman"/>
                <w:b/>
                <w:sz w:val="16"/>
              </w:rPr>
              <w:t>22</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+53</w:t>
            </w:r>
          </w:p>
        </w:tc>
      </w:tr>
      <w:tr>
        <w:tc>
          <w:tcPr>
            <w:tcW w:w="1800" w:type="dxa"/>
          </w:tcPr>
          <w:p>
            <w:pPr>
              <w:jc w:val="left"/>
              <w:spacing w:before="10" w:after="10"/>
            </w:pPr>
            <w:r/>
            <w:r>
              <w:rPr>
                <w:rFonts w:ascii="Times New Roman" w:hAnsi="Times New Roman"/>
                <w:sz w:val="16"/>
              </w:rPr>
              <w:t>Germany</w:t>
            </w:r>
          </w:p>
        </w:tc>
        <w:tc>
          <w:tcPr>
            <w:tcW w:w="900" w:type="dxa"/>
          </w:tcPr>
          <w:p>
            <w:pPr>
              <w:jc w:val="center"/>
              <w:spacing w:before="10" w:after="10"/>
            </w:pPr>
            <w:r/>
            <w:r>
              <w:rPr>
                <w:rFonts w:ascii="Times New Roman" w:hAnsi="Times New Roman"/>
                <w:sz w:val="16"/>
              </w:rPr>
              <w:t>$1.72</w:t>
            </w:r>
          </w:p>
        </w:tc>
        <w:tc>
          <w:tcPr>
            <w:tcW w:w="540" w:type="dxa"/>
          </w:tcPr>
          <w:p>
            <w:pPr>
              <w:jc w:val="center"/>
              <w:spacing w:before="10" w:after="10"/>
            </w:pPr>
            <w:r/>
            <w:r>
              <w:rPr>
                <w:rFonts w:ascii="Times New Roman" w:hAnsi="Times New Roman"/>
                <w:sz w:val="16"/>
              </w:rPr>
              <w:t>73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$1.72</w:t>
            </w:r>
          </w:p>
        </w:tc>
        <w:tc>
          <w:tcPr>
            <w:tcW w:w="540" w:type="dxa"/>
          </w:tcPr>
          <w:p>
            <w:pPr>
              <w:jc w:val="center"/>
              <w:spacing w:before="10" w:after="10"/>
            </w:pPr>
            <w:r/>
            <w:r>
              <w:rPr>
                <w:rFonts w:ascii="Times New Roman" w:hAnsi="Times New Roman"/>
                <w:sz w:val="16"/>
              </w:rPr>
              <w:t>73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$1.73</w:t>
            </w:r>
          </w:p>
        </w:tc>
        <w:tc>
          <w:tcPr>
            <w:tcW w:w="450" w:type="dxa"/>
          </w:tcPr>
          <w:p>
            <w:pPr>
              <w:jc w:val="center"/>
              <w:spacing w:before="10" w:after="10"/>
            </w:pPr>
            <w:r/>
            <w:r>
              <w:rPr>
                <w:rFonts w:ascii="Times New Roman" w:hAnsi="Times New Roman"/>
                <w:sz w:val="16"/>
              </w:rPr>
              <w:t>0.96</w:t>
            </w:r>
          </w:p>
        </w:tc>
        <w:tc>
          <w:tcPr>
            <w:tcW w:w="540" w:type="dxa"/>
          </w:tcPr>
          <w:p>
            <w:pPr>
              <w:jc w:val="center"/>
              <w:spacing w:before="10" w:after="10"/>
            </w:pPr>
            <w:r/>
            <w:r>
              <w:rPr>
                <w:rFonts w:ascii="Times New Roman" w:hAnsi="Times New Roman"/>
                <w:sz w:val="16"/>
              </w:rPr>
              <w:t>23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$1.73</w:t>
            </w:r>
          </w:p>
        </w:tc>
        <w:tc>
          <w:tcPr>
            <w:tcW w:w="540" w:type="dxa"/>
          </w:tcPr>
          <w:p>
            <w:pPr>
              <w:jc w:val="center"/>
              <w:spacing w:before="10" w:after="10"/>
            </w:pPr>
            <w:r/>
            <w:r>
              <w:rPr>
                <w:rFonts w:ascii="Times New Roman" w:hAnsi="Times New Roman"/>
                <w:b/>
                <w:sz w:val="16"/>
              </w:rPr>
              <w:t>23</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+50</w:t>
            </w:r>
          </w:p>
        </w:tc>
      </w:tr>
      <w:tr>
        <w:tc>
          <w:tcPr>
            <w:tcW w:w="1800" w:type="dxa"/>
          </w:tcPr>
          <w:p>
            <w:pPr>
              <w:jc w:val="left"/>
              <w:spacing w:before="10" w:after="10"/>
            </w:pPr>
            <w:r/>
            <w:r>
              <w:rPr>
                <w:rFonts w:ascii="Times New Roman" w:hAnsi="Times New Roman"/>
                <w:sz w:val="16"/>
              </w:rPr>
              <w:t>Spain</w:t>
            </w:r>
          </w:p>
        </w:tc>
        <w:tc>
          <w:tcPr>
            <w:tcW w:w="900" w:type="dxa"/>
          </w:tcPr>
          <w:p>
            <w:pPr>
              <w:jc w:val="center"/>
              <w:spacing w:before="10" w:after="10"/>
            </w:pPr>
            <w:r/>
            <w:r>
              <w:rPr>
                <w:rFonts w:ascii="Times New Roman" w:hAnsi="Times New Roman"/>
                <w:sz w:val="16"/>
              </w:rPr>
              <w:t>$1.68</w:t>
            </w:r>
          </w:p>
        </w:tc>
        <w:tc>
          <w:tcPr>
            <w:tcW w:w="540" w:type="dxa"/>
          </w:tcPr>
          <w:p>
            <w:pPr>
              <w:jc w:val="center"/>
              <w:spacing w:before="10" w:after="10"/>
            </w:pPr>
            <w:r/>
            <w:r>
              <w:rPr>
                <w:rFonts w:ascii="Times New Roman" w:hAnsi="Times New Roman"/>
                <w:sz w:val="16"/>
              </w:rPr>
              <w:t>53</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$1.68</w:t>
            </w:r>
          </w:p>
        </w:tc>
        <w:tc>
          <w:tcPr>
            <w:tcW w:w="540" w:type="dxa"/>
          </w:tcPr>
          <w:p>
            <w:pPr>
              <w:jc w:val="center"/>
              <w:spacing w:before="10" w:after="10"/>
            </w:pPr>
            <w:r/>
            <w:r>
              <w:rPr>
                <w:rFonts w:ascii="Times New Roman" w:hAnsi="Times New Roman"/>
                <w:sz w:val="16"/>
              </w:rPr>
              <w:t>51</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$1.73</w:t>
            </w:r>
          </w:p>
        </w:tc>
        <w:tc>
          <w:tcPr>
            <w:tcW w:w="450" w:type="dxa"/>
          </w:tcPr>
          <w:p>
            <w:pPr>
              <w:jc w:val="center"/>
              <w:spacing w:before="10" w:after="10"/>
            </w:pPr>
            <w:r/>
            <w:r>
              <w:rPr>
                <w:rFonts w:ascii="Times New Roman" w:hAnsi="Times New Roman"/>
                <w:sz w:val="16"/>
              </w:rPr>
              <w:t>0.86</w:t>
            </w:r>
          </w:p>
        </w:tc>
        <w:tc>
          <w:tcPr>
            <w:tcW w:w="540" w:type="dxa"/>
          </w:tcPr>
          <w:p>
            <w:pPr>
              <w:jc w:val="center"/>
              <w:spacing w:before="10" w:after="10"/>
            </w:pPr>
            <w:r/>
            <w:r>
              <w:rPr>
                <w:rFonts w:ascii="Times New Roman" w:hAnsi="Times New Roman"/>
                <w:sz w:val="16"/>
              </w:rPr>
              <w:t>24</w:t>
            </w:r>
          </w:p>
        </w:tc>
        <w:tc>
          <w:tcPr>
            <w:tcW w:w="54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$1.73</w:t>
            </w:r>
          </w:p>
        </w:tc>
        <w:tc>
          <w:tcPr>
            <w:tcW w:w="540" w:type="dxa"/>
          </w:tcPr>
          <w:p>
            <w:pPr>
              <w:jc w:val="center"/>
              <w:spacing w:before="10" w:after="10"/>
            </w:pPr>
            <w:r/>
            <w:r>
              <w:rPr>
                <w:rFonts w:ascii="Times New Roman" w:hAnsi="Times New Roman"/>
                <w:b/>
                <w:sz w:val="16"/>
              </w:rPr>
              <w:t>24</w:t>
            </w:r>
          </w:p>
        </w:tc>
        <w:tc>
          <w:tcPr>
            <w:tcW w:w="540" w:type="dxa"/>
          </w:tcPr>
          <w:p>
            <w:pPr>
              <w:jc w:val="center"/>
              <w:spacing w:before="10" w:after="10"/>
            </w:pPr>
            <w:r/>
            <w:r>
              <w:rPr>
                <w:rFonts w:ascii="Times New Roman" w:hAnsi="Times New Roman"/>
                <w:sz w:val="16"/>
              </w:rPr>
              <w:t>II</w:t>
            </w:r>
          </w:p>
        </w:tc>
        <w:tc>
          <w:tcPr>
            <w:tcW w:w="540" w:type="dxa"/>
          </w:tcPr>
          <w:p>
            <w:pPr>
              <w:jc w:val="center"/>
              <w:spacing w:before="10" w:after="10"/>
            </w:pPr>
            <w:r/>
            <w:r>
              <w:rPr>
                <w:rFonts w:ascii="Times New Roman" w:hAnsi="Times New Roman"/>
                <w:sz w:val="16"/>
              </w:rPr>
              <w:t>+29</w:t>
            </w:r>
          </w:p>
        </w:tc>
      </w:tr>
      <w:tr>
        <w:tc>
          <w:tcPr>
            <w:tcBorders>
              <w:bottom w:val="double" w:sz="4" w:space="0" w:color="auto"/>
            </w:tcBorders>
            <w:tcW w:w="1800" w:type="dxa"/>
          </w:tcPr>
          <w:p>
            <w:pPr>
              <w:jc w:val="left"/>
              <w:spacing w:before="10" w:after="10"/>
            </w:pPr>
            <w:r/>
            <w:r>
              <w:rPr>
                <w:rFonts w:ascii="Times New Roman" w:hAnsi="Times New Roman"/>
                <w:sz w:val="16"/>
              </w:rPr>
              <w:t>Malta</w:t>
            </w:r>
          </w:p>
        </w:tc>
        <w:tc>
          <w:tcPr>
            <w:tcBorders>
              <w:bottom w:val="double" w:sz="4" w:space="0" w:color="auto"/>
            </w:tcBorders>
            <w:tcW w:w="900" w:type="dxa"/>
          </w:tcPr>
          <w:p>
            <w:pPr>
              <w:jc w:val="center"/>
              <w:spacing w:before="10" w:after="10"/>
            </w:pPr>
            <w:r/>
            <w:r>
              <w:rPr>
                <w:rFonts w:ascii="Times New Roman" w:hAnsi="Times New Roman"/>
                <w:sz w:val="16"/>
              </w:rPr>
              <w:t>$1.68</w:t>
            </w:r>
          </w:p>
        </w:tc>
        <w:tc>
          <w:tcPr>
            <w:tcBorders>
              <w:bottom w:val="double" w:sz="4" w:space="0" w:color="auto"/>
            </w:tcBorders>
            <w:tcW w:w="540" w:type="dxa"/>
          </w:tcPr>
          <w:p>
            <w:pPr>
              <w:jc w:val="center"/>
              <w:spacing w:before="10" w:after="10"/>
            </w:pPr>
            <w:r/>
            <w:r>
              <w:rPr>
                <w:rFonts w:ascii="Times New Roman" w:hAnsi="Times New Roman"/>
                <w:sz w:val="16"/>
              </w:rPr>
              <w:t>47</w:t>
            </w:r>
          </w:p>
        </w:tc>
        <w:tc>
          <w:tcPr>
            <w:tcBorders>
              <w:bottom w:val="double" w:sz="4" w:space="0" w:color="auto"/>
            </w:tcBorders>
            <w:tcW w:w="540" w:type="dxa"/>
          </w:tcPr>
          <w:p>
            <w:pPr>
              <w:jc w:val="center"/>
              <w:spacing w:before="10" w:after="10"/>
            </w:pPr>
            <w:r/>
            <w:r>
              <w:rPr>
                <w:rFonts w:ascii="Times New Roman" w:hAnsi="Times New Roman"/>
                <w:sz w:val="16"/>
              </w:rPr>
              <w:t>II</w:t>
            </w:r>
          </w:p>
        </w:tc>
        <w:tc>
          <w:tcPr>
            <w:tcBorders>
              <w:bottom w:val="double" w:sz="4" w:space="0" w:color="auto"/>
            </w:tcBorders>
            <w:tcW w:w="900" w:type="dxa"/>
          </w:tcPr>
          <w:p>
            <w:pPr>
              <w:jc w:val="center"/>
              <w:spacing w:before="10" w:after="10"/>
            </w:pPr>
            <w:r/>
            <w:r>
              <w:rPr>
                <w:rFonts w:ascii="Times New Roman" w:hAnsi="Times New Roman"/>
                <w:sz w:val="16"/>
              </w:rPr>
              <w:t>$1.68</w:t>
            </w:r>
          </w:p>
        </w:tc>
        <w:tc>
          <w:tcPr>
            <w:tcBorders>
              <w:bottom w:val="double" w:sz="4" w:space="0" w:color="auto"/>
            </w:tcBorders>
            <w:tcW w:w="540" w:type="dxa"/>
          </w:tcPr>
          <w:p>
            <w:pPr>
              <w:jc w:val="center"/>
              <w:spacing w:before="10" w:after="10"/>
            </w:pPr>
            <w:r/>
            <w:r>
              <w:rPr>
                <w:rFonts w:ascii="Times New Roman" w:hAnsi="Times New Roman"/>
                <w:sz w:val="16"/>
              </w:rPr>
              <w:t>45</w:t>
            </w:r>
          </w:p>
        </w:tc>
        <w:tc>
          <w:tcPr>
            <w:tcBorders>
              <w:bottom w:val="double" w:sz="4" w:space="0" w:color="auto"/>
            </w:tcBorders>
            <w:tcW w:w="540" w:type="dxa"/>
          </w:tcPr>
          <w:p>
            <w:pPr>
              <w:jc w:val="center"/>
              <w:spacing w:before="10" w:after="10"/>
            </w:pPr>
            <w:r/>
            <w:r>
              <w:rPr>
                <w:rFonts w:ascii="Times New Roman" w:hAnsi="Times New Roman"/>
                <w:sz w:val="16"/>
              </w:rPr>
              <w:t>II</w:t>
            </w:r>
          </w:p>
        </w:tc>
        <w:tc>
          <w:tcPr>
            <w:tcBorders>
              <w:bottom w:val="double" w:sz="4" w:space="0" w:color="auto"/>
            </w:tcBorders>
            <w:tcW w:w="900" w:type="dxa"/>
          </w:tcPr>
          <w:p>
            <w:pPr>
              <w:jc w:val="center"/>
              <w:spacing w:before="10" w:after="10"/>
            </w:pPr>
            <w:r/>
            <w:r>
              <w:rPr>
                <w:rFonts w:ascii="Times New Roman" w:hAnsi="Times New Roman"/>
                <w:sz w:val="16"/>
              </w:rPr>
              <w:t>$1.73</w:t>
            </w:r>
          </w:p>
        </w:tc>
        <w:tc>
          <w:tcPr>
            <w:tcBorders>
              <w:bottom w:val="double" w:sz="4" w:space="0" w:color="auto"/>
            </w:tcBorders>
            <w:tcW w:w="450" w:type="dxa"/>
          </w:tcPr>
          <w:p>
            <w:pPr>
              <w:jc w:val="center"/>
              <w:spacing w:before="10" w:after="10"/>
            </w:pPr>
            <w:r/>
            <w:r>
              <w:rPr>
                <w:rFonts w:ascii="Times New Roman" w:hAnsi="Times New Roman"/>
                <w:sz w:val="16"/>
              </w:rPr>
              <w:t>0.85</w:t>
            </w:r>
          </w:p>
        </w:tc>
        <w:tc>
          <w:tcPr>
            <w:tcBorders>
              <w:bottom w:val="double" w:sz="4" w:space="0" w:color="auto"/>
            </w:tcBorders>
            <w:tcW w:w="540" w:type="dxa"/>
          </w:tcPr>
          <w:p>
            <w:pPr>
              <w:jc w:val="center"/>
              <w:spacing w:before="10" w:after="10"/>
            </w:pPr>
            <w:r/>
            <w:r>
              <w:rPr>
                <w:rFonts w:ascii="Times New Roman" w:hAnsi="Times New Roman"/>
                <w:sz w:val="16"/>
              </w:rPr>
              <w:t>25</w:t>
            </w:r>
          </w:p>
        </w:tc>
        <w:tc>
          <w:tcPr>
            <w:tcBorders>
              <w:bottom w:val="double" w:sz="4" w:space="0" w:color="auto"/>
            </w:tcBorders>
            <w:tcW w:w="540" w:type="dxa"/>
          </w:tcPr>
          <w:p>
            <w:pPr>
              <w:jc w:val="center"/>
              <w:spacing w:before="10" w:after="10"/>
            </w:pPr>
            <w:r/>
            <w:r>
              <w:rPr>
                <w:rFonts w:ascii="Times New Roman" w:hAnsi="Times New Roman"/>
                <w:sz w:val="16"/>
              </w:rPr>
              <w:t>II</w:t>
            </w:r>
          </w:p>
        </w:tc>
        <w:tc>
          <w:tcPr>
            <w:tcBorders>
              <w:bottom w:val="double" w:sz="4" w:space="0" w:color="auto"/>
            </w:tcBorders>
            <w:tcW w:w="900" w:type="dxa"/>
          </w:tcPr>
          <w:p>
            <w:pPr>
              <w:jc w:val="center"/>
              <w:spacing w:before="10" w:after="10"/>
            </w:pPr>
            <w:r/>
            <w:r>
              <w:rPr>
                <w:rFonts w:ascii="Times New Roman" w:hAnsi="Times New Roman"/>
                <w:sz w:val="16"/>
              </w:rPr>
              <w:t>$1.73</w:t>
            </w:r>
          </w:p>
        </w:tc>
        <w:tc>
          <w:tcPr>
            <w:tcBorders>
              <w:bottom w:val="double" w:sz="4" w:space="0" w:color="auto"/>
            </w:tcBorders>
            <w:tcW w:w="540" w:type="dxa"/>
          </w:tcPr>
          <w:p>
            <w:pPr>
              <w:jc w:val="center"/>
              <w:spacing w:before="10" w:after="10"/>
            </w:pPr>
            <w:r/>
            <w:r>
              <w:rPr>
                <w:rFonts w:ascii="Times New Roman" w:hAnsi="Times New Roman"/>
                <w:b/>
                <w:sz w:val="16"/>
              </w:rPr>
              <w:t>25</w:t>
            </w:r>
          </w:p>
        </w:tc>
        <w:tc>
          <w:tcPr>
            <w:tcBorders>
              <w:bottom w:val="double" w:sz="4" w:space="0" w:color="auto"/>
            </w:tcBorders>
            <w:tcW w:w="540" w:type="dxa"/>
          </w:tcPr>
          <w:p>
            <w:pPr>
              <w:jc w:val="center"/>
              <w:spacing w:before="10" w:after="10"/>
            </w:pPr>
            <w:r/>
            <w:r>
              <w:rPr>
                <w:rFonts w:ascii="Times New Roman" w:hAnsi="Times New Roman"/>
                <w:sz w:val="16"/>
              </w:rPr>
              <w:t>II</w:t>
            </w:r>
          </w:p>
        </w:tc>
        <w:tc>
          <w:tcPr>
            <w:tcBorders>
              <w:bottom w:val="double" w:sz="4" w:space="0" w:color="auto"/>
            </w:tcBorders>
            <w:tcW w:w="540" w:type="dxa"/>
          </w:tcPr>
          <w:p>
            <w:pPr>
              <w:jc w:val="center"/>
              <w:spacing w:before="10" w:after="10"/>
            </w:pPr>
            <w:r/>
            <w:r>
              <w:rPr>
                <w:rFonts w:ascii="Times New Roman" w:hAnsi="Times New Roman"/>
                <w:sz w:val="16"/>
              </w:rPr>
              <w:t>+22</w:t>
            </w:r>
          </w:p>
        </w:tc>
      </w:tr>
    </w:tbl>
    <w:p>
      <w:pPr>
        <w:spacing w:before="0" w:after="120" w:line="240" w:lineRule="auto"/>
        <w:ind w:firstLine="0"/>
        <w:jc w:val="left"/>
      </w:pPr>
      <w:r>
        <w:rPr>
          <w:rFonts w:ascii="Times New Roman" w:hAnsi="Times New Roman"/>
          <w:b/>
          <w:sz w:val="20"/>
        </w:rPr>
        <w:t xml:space="preserve">Notes: </w:t>
      </w:r>
      <w:r>
        <w:rPr>
          <w:rFonts w:ascii="Times New Roman" w:hAnsi="Times New Roman"/>
          <w:sz w:val="20"/>
        </w:rPr>
        <w:t xml:space="preserve">Columns show unit cost ($/GPU-hr), rank among 85 countries, and regime type (EE = training + inference exporter; IE = inference exporter; DD = domestic producer; II = full importer). (1) Raw: observed electricity tariffs. (2) Cost-recovery: subsidized tariffs replaced with LRMC. (3) Efficiency-adjusted: ρ + (c_cr − ρ) / ξⱼᵉᶠᶠ, where ρ = $1.36/hr is globally-priced hardware; the ξ column reports each country’s efficiency index (preferred specification). (4) Bilateral: efficiency-adjusted cost with bilateral sovereignty premium λᵢⱼ from </w:t>
      </w:r>
      <w:bookmarkStart w:id="905" w:name="Eq2txt905"/>
      <w:hyperlink w:anchor="Eq2" w:history="1">
        <w:r>
          <w:rPr>
            <w:rFonts w:ascii="Times New Roman" w:hAnsi="Times New Roman"/>
            <w:sz w:val="20"/>
            <w:color w:val="1F3864"/>
            <w:u w:val="single"/>
          </w:rPr>
          <w:t xml:space="preserve">equation (2)</w:t>
        </w:r>
      </w:hyperlink>
      <w:bookmarkEnd w:id="905"/>
      <w:r>
        <w:rPr>
          <w:rFonts w:ascii="Times New Roman" w:hAnsi="Times New Roman"/>
          <w:sz w:val="20"/>
        </w:rPr>
        <w:t xml:space="preserve">. Ranks in columns (3) and (4) are the same, because the sovereignty premium does not affect production costs or cost rankings; it reshapes regime assignments. Δ = rank change from (1) to (3); positive values indicate improvement. 25 selected countries; see </w:t>
      </w:r>
      <w:hyperlink w:anchor="TableA2" w:history="1">
        <w:r>
          <w:rPr>
            <w:sz w:val="20"/>
            <w:color w:val="1F3864"/>
            <w:u w:val="single"/>
          </w:rPr>
          <w:t xml:space="preserve">Table A2</w:t>
        </w:r>
      </w:hyperlink>
      <w:r>
        <w:rPr>
          <w:rFonts w:ascii="Times New Roman" w:hAnsi="Times New Roman"/>
          <w:sz w:val="20"/>
        </w:rPr>
        <w:t xml:space="preserve"> for all 85 countries.</w:t>
      </w:r>
    </w:p>
    <w:p>
      <w:pPr>
        <w:pageBreakBefore/>
        <w:spacing w:before="0" w:after="60"/>
        <w:ind w:firstLine="0"/>
        <w:jc w:val="both"/>
      </w:pPr>
      <w:bookmarkStart w:id="114" w:name="Table3b"/>
      <w:hyperlink w:anchor="Table3btxt" w:history="1">
        <w:r>
          <w:rPr>
            <w:b/>
            <w:sz w:val="20"/>
            <w:color w:val="1F3864"/>
            <w:u w:val="single"/>
          </w:rPr>
          <w:t>Table 3b</w:t>
        </w:r>
      </w:hyperlink>
      <w:r>
        <w:rPr>
          <w:b/>
          <w:sz w:val="20"/>
        </w:rPr>
        <w:t>. Country rankings under alternative sovereignty specifications</w:t>
      </w:r>
      <w:bookmarkEnd w:id="114"/>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Borders>
              <w:top w:val="single" w:sz="4" w:space="0" w:color="auto"/>
              <w:bottom w:val="single" w:sz="4" w:space="0" w:color="auto"/>
            </w:tcBorders>
            <w:tcW w:w="2000" w:type="dxa"/>
          </w:tcPr>
          <w:p>
            <w:pPr>
              <w:jc w:val="center"/>
              <w:spacing w:before="10" w:after="10"/>
            </w:pPr>
            <w:r/>
            <w:r>
              <w:rPr>
                <w:rFonts w:ascii="Times New Roman" w:hAnsi="Times New Roman"/>
                <w:sz w:val="16"/>
              </w:rPr>
            </w:r>
          </w:p>
        </w:tc>
        <w:tc>
          <w:tcPr>
            <w:gridSpan w:val="2"/>
            <w:tcBorders>
              <w:top w:val="single" w:sz="4" w:space="0" w:color="auto"/>
              <w:bottom w:val="single" w:sz="4" w:space="0" w:color="auto"/>
            </w:tcBorders>
            <w:tcBorders>
              <w:top w:val="single" w:sz="4" w:space="0" w:color="auto"/>
              <w:bottom w:val="single" w:sz="4" w:space="0" w:color="auto"/>
            </w:tcBorders>
            <w:tcW w:w="900" w:type="dxa"/>
          </w:tcPr>
          <w:p>
            <w:pPr>
              <w:jc w:val="center"/>
              <w:spacing w:before="10" w:after="10"/>
              <w:spacing w:before="10" w:after="10"/>
            </w:pPr>
            <w:r/>
            <w:r>
              <w:rPr>
                <w:rFonts w:ascii="Times New Roman" w:hAnsi="Times New Roman"/>
                <w:b/>
                <w:sz w:val="16"/>
              </w:rPr>
              <w:t>(4)/(5) Bilateral</w:t>
            </w:r>
          </w:p>
        </w:tc>
        <w:tc>
          <w:tcPr>
            <w:gridSpan w:val="2"/>
            <w:tcBorders>
              <w:top w:val="single" w:sz="4" w:space="0" w:color="auto"/>
              <w:bottom w:val="single" w:sz="4" w:space="0" w:color="auto"/>
            </w:tcBorders>
            <w:tcBorders>
              <w:top w:val="single" w:sz="4" w:space="0" w:color="auto"/>
              <w:bottom w:val="single" w:sz="4" w:space="0" w:color="auto"/>
            </w:tcBorders>
            <w:tcW w:w="800" w:type="dxa"/>
          </w:tcPr>
          <w:p>
            <w:pPr>
              <w:jc w:val="center"/>
              <w:spacing w:before="10" w:after="10"/>
              <w:spacing w:before="10" w:after="10"/>
            </w:pPr>
            <w:r/>
            <w:r>
              <w:rPr>
                <w:rFonts w:ascii="Times New Roman" w:hAnsi="Times New Roman"/>
                <w:b/>
                <w:sz w:val="16"/>
              </w:rPr>
              <w:t>(6) Uniform (λ = 10%)</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(7) FDI</w:t>
            </w:r>
          </w:p>
        </w:tc>
        <w:tc>
          <w:tcPr>
            <w:tcBorders>
              <w:top w:val="single" w:sz="4" w:space="0" w:color="auto"/>
              <w:bottom w:val="single" w:sz="4" w:space="0" w:color="auto"/>
            </w:tcBorders>
            <w:tcW w:w="1100" w:type="dxa"/>
          </w:tcPr>
          <w:p>
            <w:pPr>
              <w:jc w:val="center"/>
              <w:spacing w:before="10" w:after="10"/>
            </w:pPr>
            <w:r/>
            <w:r>
              <w:rPr>
                <w:rFonts w:ascii="Times New Roman" w:hAnsi="Times New Roman"/>
                <w:sz w:val="16"/>
              </w:rPr>
            </w:r>
          </w:p>
        </w:tc>
      </w:tr>
      <w:tr>
        <w:tc>
          <w:tcPr>
            <w:tcBorders>
              <w:top w:val="single" w:sz="4" w:space="0" w:color="auto"/>
              <w:bottom w:val="single" w:sz="4" w:space="0" w:color="auto"/>
            </w:tcBorders>
            <w:tcW w:w="20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1100" w:type="dxa"/>
          </w:tcPr>
          <w:p>
            <w:pPr>
              <w:jc w:val="center"/>
              <w:spacing w:before="10" w:after="10"/>
            </w:pPr>
            <w:r/>
            <w:r>
              <w:rPr>
                <w:rFonts w:ascii="Times New Roman" w:hAnsi="Times New Roman"/>
                <w:b/>
                <w:sz w:val="16"/>
              </w:rPr>
              <w:t>cⱼᵃᵈʲ</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800" w:type="dxa"/>
          </w:tcPr>
          <w:p>
            <w:pPr>
              <w:jc w:val="center"/>
              <w:spacing w:before="10" w:after="10"/>
            </w:pPr>
            <w:r/>
            <w:r>
              <w:rPr>
                <w:rFonts w:ascii="Times New Roman" w:hAnsi="Times New Roman"/>
                <w:b/>
                <w:sz w:val="16"/>
              </w:rPr>
              <w:t>Rank₆</w:t>
            </w:r>
          </w:p>
        </w:tc>
        <w:tc>
          <w:tcPr>
            <w:tcBorders>
              <w:top w:val="single" w:sz="4" w:space="0" w:color="auto"/>
              <w:bottom w:val="single" w:sz="4" w:space="0" w:color="auto"/>
            </w:tcBorders>
            <w:tcW w:w="9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100" w:type="dxa"/>
          </w:tcPr>
          <w:p>
            <w:pPr>
              <w:jc w:val="center"/>
              <w:spacing w:before="10" w:after="10"/>
            </w:pPr>
            <w:r/>
            <w:r>
              <w:rPr>
                <w:rFonts w:ascii="Times New Roman" w:hAnsi="Times New Roman"/>
                <w:b/>
                <w:sz w:val="16"/>
              </w:rPr>
              <w:t>λₖ*</w:t>
            </w:r>
          </w:p>
        </w:tc>
      </w:tr>
      <w:tr>
        <w:tc>
          <w:tcPr>
            <w:tcW w:w="2000" w:type="dxa"/>
          </w:tcPr>
          <w:p>
            <w:pPr>
              <w:jc w:val="left"/>
              <w:spacing w:before="10" w:after="10"/>
            </w:pPr>
            <w:r/>
            <w:r>
              <w:rPr>
                <w:rFonts w:ascii="Times New Roman" w:hAnsi="Times New Roman"/>
                <w:sz w:val="16"/>
              </w:rPr>
              <w:t>Canada</w:t>
            </w:r>
          </w:p>
        </w:tc>
        <w:tc>
          <w:tcPr>
            <w:tcW w:w="1100" w:type="dxa"/>
          </w:tcPr>
          <w:p>
            <w:pPr>
              <w:jc w:val="center"/>
              <w:spacing w:before="10" w:after="10"/>
            </w:pPr>
            <w:r/>
            <w:r>
              <w:rPr>
                <w:rFonts w:ascii="Times New Roman" w:hAnsi="Times New Roman"/>
                <w:sz w:val="16"/>
              </w:rPr>
              <w:t>$1.63</w:t>
            </w:r>
          </w:p>
        </w:tc>
        <w:tc>
          <w:tcPr>
            <w:tcW w:w="900" w:type="dxa"/>
          </w:tcPr>
          <w:p>
            <w:pPr>
              <w:jc w:val="center"/>
              <w:spacing w:before="10" w:after="10"/>
            </w:pPr>
            <w:r/>
            <w:r>
              <w:rPr>
                <w:rFonts w:ascii="Times New Roman" w:hAnsi="Times New Roman"/>
                <w:sz w:val="16"/>
              </w:rPr>
              <w:t>EE</w:t>
            </w:r>
          </w:p>
        </w:tc>
        <w:tc>
          <w:tcPr>
            <w:tcW w:w="900" w:type="dxa"/>
          </w:tcPr>
          <w:p>
            <w:pPr>
              <w:jc w:val="center"/>
              <w:spacing w:before="10" w:after="10"/>
            </w:pPr>
            <w:r/>
            <w:r>
              <w:rPr>
                <w:rFonts w:ascii="Times New Roman" w:hAnsi="Times New Roman"/>
                <w:sz w:val="16"/>
              </w:rPr>
              <w:t>EE</w:t>
            </w:r>
          </w:p>
        </w:tc>
        <w:tc>
          <w:tcPr>
            <w:tcW w:w="800" w:type="dxa"/>
          </w:tcPr>
          <w:p>
            <w:pPr>
              <w:jc w:val="center"/>
              <w:spacing w:before="10" w:after="10"/>
            </w:pPr>
            <w:r/>
            <w:r>
              <w:rPr>
                <w:rFonts w:ascii="Times New Roman" w:hAnsi="Times New Roman"/>
                <w:sz w:val="16"/>
              </w:rPr>
              <w:t>1</w:t>
            </w:r>
          </w:p>
        </w:tc>
        <w:tc>
          <w:tcPr>
            <w:tcW w:w="900" w:type="dxa"/>
          </w:tcPr>
          <w:p>
            <w:pPr>
              <w:jc w:val="center"/>
              <w:spacing w:before="10" w:after="10"/>
            </w:pPr>
            <w:r/>
            <w:r>
              <w:rPr>
                <w:rFonts w:ascii="Times New Roman" w:hAnsi="Times New Roman"/>
                <w:sz w:val="16"/>
              </w:rPr>
              <w:t>EE</w:t>
            </w:r>
          </w:p>
        </w:tc>
        <w:tc>
          <w:tcPr>
            <w:tcW w:w="1100" w:type="dxa"/>
          </w:tcPr>
          <w:p>
            <w:pPr>
              <w:jc w:val="center"/>
              <w:spacing w:before="10" w:after="10"/>
            </w:pPr>
            <w:r/>
            <w:r>
              <w:rPr>
                <w:rFonts w:ascii="Times New Roman" w:hAnsi="Times New Roman"/>
                <w:sz w:val="16"/>
              </w:rPr>
              <w:t>1.4%</w:t>
            </w:r>
          </w:p>
        </w:tc>
      </w:tr>
      <w:tr>
        <w:tc>
          <w:tcPr>
            <w:tcW w:w="2000" w:type="dxa"/>
          </w:tcPr>
          <w:p>
            <w:pPr>
              <w:jc w:val="left"/>
              <w:spacing w:before="10" w:after="10"/>
            </w:pPr>
            <w:r/>
            <w:r>
              <w:rPr>
                <w:rFonts w:ascii="Times New Roman" w:hAnsi="Times New Roman"/>
                <w:sz w:val="16"/>
              </w:rPr>
              <w:t>Norway</w:t>
            </w:r>
          </w:p>
        </w:tc>
        <w:tc>
          <w:tcPr>
            <w:tcW w:w="1100" w:type="dxa"/>
          </w:tcPr>
          <w:p>
            <w:pPr>
              <w:jc w:val="center"/>
              <w:spacing w:before="10" w:after="10"/>
            </w:pPr>
            <w:r/>
            <w:r>
              <w:rPr>
                <w:rFonts w:ascii="Times New Roman" w:hAnsi="Times New Roman"/>
                <w:sz w:val="16"/>
              </w:rPr>
              <w:t>$1.64</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EE</w:t>
            </w:r>
          </w:p>
        </w:tc>
        <w:tc>
          <w:tcPr>
            <w:tcW w:w="800" w:type="dxa"/>
          </w:tcPr>
          <w:p>
            <w:pPr>
              <w:jc w:val="center"/>
              <w:spacing w:before="10" w:after="10"/>
            </w:pPr>
            <w:r/>
            <w:r>
              <w:rPr>
                <w:rFonts w:ascii="Times New Roman" w:hAnsi="Times New Roman"/>
                <w:sz w:val="16"/>
              </w:rPr>
              <w:t>2</w:t>
            </w:r>
          </w:p>
        </w:tc>
        <w:tc>
          <w:tcPr>
            <w:tcW w:w="900" w:type="dxa"/>
          </w:tcPr>
          <w:p>
            <w:pPr>
              <w:jc w:val="center"/>
              <w:spacing w:before="10" w:after="10"/>
            </w:pPr>
            <w:r/>
            <w:r>
              <w:rPr>
                <w:rFonts w:ascii="Times New Roman" w:hAnsi="Times New Roman"/>
                <w:sz w:val="16"/>
              </w:rPr>
              <w:t>DD</w:t>
            </w:r>
          </w:p>
        </w:tc>
        <w:tc>
          <w:tcPr>
            <w:tcW w:w="1100" w:type="dxa"/>
          </w:tcPr>
          <w:p>
            <w:pPr>
              <w:jc w:val="center"/>
              <w:spacing w:before="10" w:after="10"/>
            </w:pPr>
            <w:r/>
            <w:r>
              <w:rPr>
                <w:rFonts w:ascii="Times New Roman" w:hAnsi="Times New Roman"/>
                <w:sz w:val="16"/>
              </w:rPr>
              <w:t>2.5%</w:t>
            </w:r>
          </w:p>
        </w:tc>
      </w:tr>
      <w:tr>
        <w:tc>
          <w:tcPr>
            <w:tcW w:w="2000" w:type="dxa"/>
          </w:tcPr>
          <w:p>
            <w:pPr>
              <w:jc w:val="left"/>
              <w:spacing w:before="10" w:after="10"/>
            </w:pPr>
            <w:r/>
            <w:r>
              <w:rPr>
                <w:rFonts w:ascii="Times New Roman" w:hAnsi="Times New Roman"/>
                <w:sz w:val="16"/>
              </w:rPr>
              <w:t>Finland</w:t>
            </w:r>
          </w:p>
        </w:tc>
        <w:tc>
          <w:tcPr>
            <w:tcW w:w="1100" w:type="dxa"/>
          </w:tcPr>
          <w:p>
            <w:pPr>
              <w:jc w:val="center"/>
              <w:spacing w:before="10" w:after="10"/>
            </w:pPr>
            <w:r/>
            <w:r>
              <w:rPr>
                <w:rFonts w:ascii="Times New Roman" w:hAnsi="Times New Roman"/>
                <w:sz w:val="16"/>
              </w:rPr>
              <w:t>$1.65</w:t>
            </w:r>
          </w:p>
        </w:tc>
        <w:tc>
          <w:tcPr>
            <w:tcW w:w="900" w:type="dxa"/>
          </w:tcPr>
          <w:p>
            <w:pPr>
              <w:jc w:val="center"/>
              <w:spacing w:before="10" w:after="10"/>
            </w:pPr>
            <w:r/>
            <w:r>
              <w:rPr>
                <w:rFonts w:ascii="Times New Roman" w:hAnsi="Times New Roman"/>
                <w:sz w:val="16"/>
              </w:rPr>
              <w:t>IE</w:t>
            </w:r>
          </w:p>
        </w:tc>
        <w:tc>
          <w:tcPr>
            <w:tcW w:w="900" w:type="dxa"/>
          </w:tcPr>
          <w:p>
            <w:pPr>
              <w:jc w:val="center"/>
              <w:spacing w:before="10" w:after="10"/>
            </w:pPr>
            <w:r/>
            <w:r>
              <w:rPr>
                <w:rFonts w:ascii="Times New Roman" w:hAnsi="Times New Roman"/>
                <w:sz w:val="16"/>
              </w:rPr>
              <w:t>EE</w:t>
            </w:r>
          </w:p>
        </w:tc>
        <w:tc>
          <w:tcPr>
            <w:tcW w:w="800" w:type="dxa"/>
          </w:tcPr>
          <w:p>
            <w:pPr>
              <w:jc w:val="center"/>
              <w:spacing w:before="10" w:after="10"/>
            </w:pPr>
            <w:r/>
            <w:r>
              <w:rPr>
                <w:rFonts w:ascii="Times New Roman" w:hAnsi="Times New Roman"/>
                <w:sz w:val="16"/>
              </w:rPr>
              <w:t>3</w:t>
            </w:r>
          </w:p>
        </w:tc>
        <w:tc>
          <w:tcPr>
            <w:tcW w:w="900" w:type="dxa"/>
          </w:tcPr>
          <w:p>
            <w:pPr>
              <w:jc w:val="center"/>
              <w:spacing w:before="10" w:after="10"/>
            </w:pPr>
            <w:r/>
            <w:r>
              <w:rPr>
                <w:rFonts w:ascii="Times New Roman" w:hAnsi="Times New Roman"/>
                <w:sz w:val="16"/>
              </w:rPr>
              <w:t>DD</w:t>
            </w:r>
          </w:p>
        </w:tc>
        <w:tc>
          <w:tcPr>
            <w:tcW w:w="1100" w:type="dxa"/>
          </w:tcPr>
          <w:p>
            <w:pPr>
              <w:jc w:val="center"/>
              <w:spacing w:before="10" w:after="10"/>
            </w:pPr>
            <w:r/>
            <w:r>
              <w:rPr>
                <w:rFonts w:ascii="Times New Roman" w:hAnsi="Times New Roman"/>
                <w:sz w:val="16"/>
              </w:rPr>
              <w:t>2.6%</w:t>
            </w:r>
          </w:p>
        </w:tc>
      </w:tr>
      <w:tr>
        <w:tc>
          <w:tcPr>
            <w:tcW w:w="2000" w:type="dxa"/>
          </w:tcPr>
          <w:p>
            <w:pPr>
              <w:jc w:val="left"/>
              <w:spacing w:before="10" w:after="10"/>
            </w:pPr>
            <w:r/>
            <w:r>
              <w:rPr>
                <w:rFonts w:ascii="Times New Roman" w:hAnsi="Times New Roman"/>
                <w:sz w:val="16"/>
              </w:rPr>
              <w:t>Sweden</w:t>
            </w:r>
          </w:p>
        </w:tc>
        <w:tc>
          <w:tcPr>
            <w:tcW w:w="1100" w:type="dxa"/>
          </w:tcPr>
          <w:p>
            <w:pPr>
              <w:jc w:val="center"/>
              <w:spacing w:before="10" w:after="10"/>
            </w:pPr>
            <w:r/>
            <w:r>
              <w:rPr>
                <w:rFonts w:ascii="Times New Roman" w:hAnsi="Times New Roman"/>
                <w:sz w:val="16"/>
              </w:rPr>
              <w:t>$1.66</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EE</w:t>
            </w:r>
          </w:p>
        </w:tc>
        <w:tc>
          <w:tcPr>
            <w:tcW w:w="800" w:type="dxa"/>
          </w:tcPr>
          <w:p>
            <w:pPr>
              <w:jc w:val="center"/>
              <w:spacing w:before="10" w:after="10"/>
            </w:pPr>
            <w:r/>
            <w:r>
              <w:rPr>
                <w:rFonts w:ascii="Times New Roman" w:hAnsi="Times New Roman"/>
                <w:sz w:val="16"/>
              </w:rPr>
              <w:t>4</w:t>
            </w:r>
          </w:p>
        </w:tc>
        <w:tc>
          <w:tcPr>
            <w:tcW w:w="900" w:type="dxa"/>
          </w:tcPr>
          <w:p>
            <w:pPr>
              <w:jc w:val="center"/>
              <w:spacing w:before="10" w:after="10"/>
            </w:pPr>
            <w:r/>
            <w:r>
              <w:rPr>
                <w:rFonts w:ascii="Times New Roman" w:hAnsi="Times New Roman"/>
                <w:sz w:val="16"/>
              </w:rPr>
              <w:t>DD</w:t>
            </w:r>
          </w:p>
        </w:tc>
        <w:tc>
          <w:tcPr>
            <w:tcW w:w="1100" w:type="dxa"/>
          </w:tcPr>
          <w:p>
            <w:pPr>
              <w:jc w:val="center"/>
              <w:spacing w:before="10" w:after="10"/>
            </w:pPr>
            <w:r/>
            <w:r>
              <w:rPr>
                <w:rFonts w:ascii="Times New Roman" w:hAnsi="Times New Roman"/>
                <w:sz w:val="16"/>
              </w:rPr>
              <w:t>3.7%</w:t>
            </w:r>
          </w:p>
        </w:tc>
      </w:tr>
      <w:tr>
        <w:tc>
          <w:tcPr>
            <w:tcW w:w="2000" w:type="dxa"/>
          </w:tcPr>
          <w:p>
            <w:pPr>
              <w:jc w:val="left"/>
              <w:spacing w:before="10" w:after="10"/>
            </w:pPr>
            <w:r/>
            <w:r>
              <w:rPr>
                <w:rFonts w:ascii="Times New Roman" w:hAnsi="Times New Roman"/>
                <w:sz w:val="16"/>
              </w:rPr>
              <w:t>Iceland</w:t>
            </w:r>
          </w:p>
        </w:tc>
        <w:tc>
          <w:tcPr>
            <w:tcW w:w="1100" w:type="dxa"/>
          </w:tcPr>
          <w:p>
            <w:pPr>
              <w:jc w:val="center"/>
              <w:spacing w:before="10" w:after="10"/>
            </w:pPr>
            <w:r/>
            <w:r>
              <w:rPr>
                <w:rFonts w:ascii="Times New Roman" w:hAnsi="Times New Roman"/>
                <w:sz w:val="16"/>
              </w:rPr>
              <w:t>$1.68</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EE</w:t>
            </w:r>
          </w:p>
        </w:tc>
        <w:tc>
          <w:tcPr>
            <w:tcW w:w="800" w:type="dxa"/>
          </w:tcPr>
          <w:p>
            <w:pPr>
              <w:jc w:val="center"/>
              <w:spacing w:before="10" w:after="10"/>
            </w:pPr>
            <w:r/>
            <w:r>
              <w:rPr>
                <w:rFonts w:ascii="Times New Roman" w:hAnsi="Times New Roman"/>
                <w:sz w:val="16"/>
              </w:rPr>
              <w:t>5</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4.4%</w:t>
            </w:r>
          </w:p>
        </w:tc>
      </w:tr>
      <w:tr>
        <w:tc>
          <w:tcPr>
            <w:tcW w:w="2000" w:type="dxa"/>
          </w:tcPr>
          <w:p>
            <w:pPr>
              <w:jc w:val="left"/>
              <w:spacing w:before="10" w:after="10"/>
            </w:pPr>
            <w:r/>
            <w:r>
              <w:rPr>
                <w:rFonts w:ascii="Times New Roman" w:hAnsi="Times New Roman"/>
                <w:sz w:val="16"/>
              </w:rPr>
              <w:t>Australia</w:t>
            </w:r>
          </w:p>
        </w:tc>
        <w:tc>
          <w:tcPr>
            <w:tcW w:w="1100" w:type="dxa"/>
          </w:tcPr>
          <w:p>
            <w:pPr>
              <w:jc w:val="center"/>
              <w:spacing w:before="10" w:after="10"/>
            </w:pPr>
            <w:r/>
            <w:r>
              <w:rPr>
                <w:rFonts w:ascii="Times New Roman" w:hAnsi="Times New Roman"/>
                <w:sz w:val="16"/>
              </w:rPr>
              <w:t>$1.68</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6</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4.9%</w:t>
            </w:r>
          </w:p>
        </w:tc>
      </w:tr>
      <w:tr>
        <w:tc>
          <w:tcPr>
            <w:tcW w:w="2000" w:type="dxa"/>
          </w:tcPr>
          <w:p>
            <w:pPr>
              <w:jc w:val="left"/>
              <w:spacing w:before="10" w:after="10"/>
            </w:pPr>
            <w:r/>
            <w:r>
              <w:rPr>
                <w:rFonts w:ascii="Times New Roman" w:hAnsi="Times New Roman"/>
                <w:sz w:val="16"/>
              </w:rPr>
              <w:t>New Zealand</w:t>
            </w:r>
          </w:p>
        </w:tc>
        <w:tc>
          <w:tcPr>
            <w:tcW w:w="1100" w:type="dxa"/>
          </w:tcPr>
          <w:p>
            <w:pPr>
              <w:jc w:val="center"/>
              <w:spacing w:before="10" w:after="10"/>
            </w:pPr>
            <w:r/>
            <w:r>
              <w:rPr>
                <w:rFonts w:ascii="Times New Roman" w:hAnsi="Times New Roman"/>
                <w:sz w:val="16"/>
              </w:rPr>
              <w:t>$1.68</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7</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5.0%</w:t>
            </w:r>
          </w:p>
        </w:tc>
      </w:tr>
      <w:tr>
        <w:tc>
          <w:tcPr>
            <w:tcW w:w="2000" w:type="dxa"/>
          </w:tcPr>
          <w:p>
            <w:pPr>
              <w:jc w:val="left"/>
              <w:spacing w:before="10" w:after="10"/>
            </w:pPr>
            <w:r/>
            <w:r>
              <w:rPr>
                <w:rFonts w:ascii="Times New Roman" w:hAnsi="Times New Roman"/>
                <w:sz w:val="16"/>
              </w:rPr>
              <w:t>USA</w:t>
            </w:r>
          </w:p>
        </w:tc>
        <w:tc>
          <w:tcPr>
            <w:tcW w:w="1100" w:type="dxa"/>
          </w:tcPr>
          <w:p>
            <w:pPr>
              <w:jc w:val="center"/>
              <w:spacing w:before="10" w:after="10"/>
            </w:pPr>
            <w:r/>
            <w:r>
              <w:rPr>
                <w:rFonts w:ascii="Times New Roman" w:hAnsi="Times New Roman"/>
                <w:sz w:val="16"/>
              </w:rPr>
              <w:t>$1.69</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8</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5.0%</w:t>
            </w:r>
          </w:p>
        </w:tc>
      </w:tr>
      <w:tr>
        <w:tc>
          <w:tcPr>
            <w:tcW w:w="2000" w:type="dxa"/>
          </w:tcPr>
          <w:p>
            <w:pPr>
              <w:jc w:val="left"/>
              <w:spacing w:before="10" w:after="10"/>
            </w:pPr>
            <w:r/>
            <w:r>
              <w:rPr>
                <w:rFonts w:ascii="Times New Roman" w:hAnsi="Times New Roman"/>
                <w:sz w:val="16"/>
              </w:rPr>
              <w:t>UK</w:t>
            </w:r>
          </w:p>
        </w:tc>
        <w:tc>
          <w:tcPr>
            <w:tcW w:w="1100" w:type="dxa"/>
          </w:tcPr>
          <w:p>
            <w:pPr>
              <w:jc w:val="center"/>
              <w:spacing w:before="10" w:after="10"/>
            </w:pPr>
            <w:r/>
            <w:r>
              <w:rPr>
                <w:rFonts w:ascii="Times New Roman" w:hAnsi="Times New Roman"/>
                <w:sz w:val="16"/>
              </w:rPr>
              <w:t>$1.69</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9</w:t>
            </w:r>
          </w:p>
        </w:tc>
        <w:tc>
          <w:tcPr>
            <w:tcW w:w="900" w:type="dxa"/>
          </w:tcPr>
          <w:p>
            <w:pPr>
              <w:jc w:val="center"/>
              <w:spacing w:before="10" w:after="10"/>
            </w:pPr>
            <w:r/>
            <w:r>
              <w:rPr>
                <w:rFonts w:ascii="Times New Roman" w:hAnsi="Times New Roman"/>
                <w:sz w:val="16"/>
              </w:rPr>
              <w:t>IE</w:t>
            </w:r>
          </w:p>
        </w:tc>
        <w:tc>
          <w:tcPr>
            <w:tcW w:w="1100" w:type="dxa"/>
          </w:tcPr>
          <w:p>
            <w:pPr>
              <w:jc w:val="center"/>
              <w:spacing w:before="10" w:after="10"/>
            </w:pPr>
            <w:r/>
            <w:r>
              <w:rPr>
                <w:rFonts w:ascii="Times New Roman" w:hAnsi="Times New Roman"/>
                <w:sz w:val="16"/>
              </w:rPr>
              <w:t>5.6%</w:t>
            </w:r>
          </w:p>
        </w:tc>
      </w:tr>
      <w:tr>
        <w:tc>
          <w:tcPr>
            <w:tcW w:w="2000" w:type="dxa"/>
          </w:tcPr>
          <w:p>
            <w:pPr>
              <w:jc w:val="left"/>
              <w:spacing w:before="10" w:after="10"/>
            </w:pPr>
            <w:r/>
            <w:r>
              <w:rPr>
                <w:rFonts w:ascii="Times New Roman" w:hAnsi="Times New Roman"/>
                <w:sz w:val="16"/>
              </w:rPr>
              <w:t>Luxembourg</w:t>
            </w:r>
          </w:p>
        </w:tc>
        <w:tc>
          <w:tcPr>
            <w:tcW w:w="1100" w:type="dxa"/>
          </w:tcPr>
          <w:p>
            <w:pPr>
              <w:jc w:val="center"/>
              <w:spacing w:before="10" w:after="10"/>
            </w:pPr>
            <w:r/>
            <w:r>
              <w:rPr>
                <w:rFonts w:ascii="Times New Roman" w:hAnsi="Times New Roman"/>
                <w:sz w:val="16"/>
              </w:rPr>
              <w:t>$1.70</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10</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5.9%</w:t>
            </w:r>
          </w:p>
        </w:tc>
      </w:tr>
      <w:tr>
        <w:tc>
          <w:tcPr>
            <w:tcW w:w="2000" w:type="dxa"/>
          </w:tcPr>
          <w:p>
            <w:pPr>
              <w:jc w:val="left"/>
              <w:spacing w:before="10" w:after="10"/>
            </w:pPr>
            <w:r/>
            <w:r>
              <w:rPr>
                <w:rFonts w:ascii="Times New Roman" w:hAnsi="Times New Roman"/>
                <w:sz w:val="16"/>
              </w:rPr>
              <w:t>Denmark</w:t>
            </w:r>
          </w:p>
        </w:tc>
        <w:tc>
          <w:tcPr>
            <w:tcW w:w="1100" w:type="dxa"/>
          </w:tcPr>
          <w:p>
            <w:pPr>
              <w:jc w:val="center"/>
              <w:spacing w:before="10" w:after="10"/>
            </w:pPr>
            <w:r/>
            <w:r>
              <w:rPr>
                <w:rFonts w:ascii="Times New Roman" w:hAnsi="Times New Roman"/>
                <w:sz w:val="16"/>
              </w:rPr>
              <w:t>$1.70</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11</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6.0%</w:t>
            </w:r>
          </w:p>
        </w:tc>
      </w:tr>
      <w:tr>
        <w:tc>
          <w:tcPr>
            <w:tcW w:w="2000" w:type="dxa"/>
          </w:tcPr>
          <w:p>
            <w:pPr>
              <w:jc w:val="left"/>
              <w:spacing w:before="10" w:after="10"/>
            </w:pPr>
            <w:r/>
            <w:r>
              <w:rPr>
                <w:rFonts w:ascii="Times New Roman" w:hAnsi="Times New Roman"/>
                <w:sz w:val="16"/>
              </w:rPr>
              <w:t>France</w:t>
            </w:r>
          </w:p>
        </w:tc>
        <w:tc>
          <w:tcPr>
            <w:tcW w:w="1100" w:type="dxa"/>
          </w:tcPr>
          <w:p>
            <w:pPr>
              <w:jc w:val="center"/>
              <w:spacing w:before="10" w:after="10"/>
            </w:pPr>
            <w:r/>
            <w:r>
              <w:rPr>
                <w:rFonts w:ascii="Times New Roman" w:hAnsi="Times New Roman"/>
                <w:sz w:val="16"/>
              </w:rPr>
              <w:t>$1.70</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12</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6.0%</w:t>
            </w:r>
          </w:p>
        </w:tc>
      </w:tr>
      <w:tr>
        <w:tc>
          <w:tcPr>
            <w:tcW w:w="2000" w:type="dxa"/>
          </w:tcPr>
          <w:p>
            <w:pPr>
              <w:jc w:val="left"/>
              <w:spacing w:before="10" w:after="10"/>
            </w:pPr>
            <w:r/>
            <w:r>
              <w:rPr>
                <w:rFonts w:ascii="Times New Roman" w:hAnsi="Times New Roman"/>
                <w:sz w:val="16"/>
              </w:rPr>
              <w:t>Netherlands</w:t>
            </w:r>
          </w:p>
        </w:tc>
        <w:tc>
          <w:tcPr>
            <w:tcW w:w="1100" w:type="dxa"/>
          </w:tcPr>
          <w:p>
            <w:pPr>
              <w:jc w:val="center"/>
              <w:spacing w:before="10" w:after="10"/>
            </w:pPr>
            <w:r/>
            <w:r>
              <w:rPr>
                <w:rFonts w:ascii="Times New Roman" w:hAnsi="Times New Roman"/>
                <w:sz w:val="16"/>
              </w:rPr>
              <w:t>$1.70</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13</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6.2%</w:t>
            </w:r>
          </w:p>
        </w:tc>
      </w:tr>
      <w:tr>
        <w:tc>
          <w:tcPr>
            <w:tcW w:w="2000" w:type="dxa"/>
          </w:tcPr>
          <w:p>
            <w:pPr>
              <w:jc w:val="left"/>
              <w:spacing w:before="10" w:after="10"/>
            </w:pPr>
            <w:r/>
            <w:r>
              <w:rPr>
                <w:rFonts w:ascii="Times New Roman" w:hAnsi="Times New Roman"/>
                <w:sz w:val="16"/>
              </w:rPr>
              <w:t>Belgium</w:t>
            </w:r>
          </w:p>
        </w:tc>
        <w:tc>
          <w:tcPr>
            <w:tcW w:w="1100" w:type="dxa"/>
          </w:tcPr>
          <w:p>
            <w:pPr>
              <w:jc w:val="center"/>
              <w:spacing w:before="10" w:after="10"/>
            </w:pPr>
            <w:r/>
            <w:r>
              <w:rPr>
                <w:rFonts w:ascii="Times New Roman" w:hAnsi="Times New Roman"/>
                <w:sz w:val="16"/>
              </w:rPr>
              <w:t>$1.70</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14</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6.2%</w:t>
            </w:r>
          </w:p>
        </w:tc>
      </w:tr>
      <w:tr>
        <w:tc>
          <w:tcPr>
            <w:tcW w:w="2000" w:type="dxa"/>
          </w:tcPr>
          <w:p>
            <w:pPr>
              <w:jc w:val="left"/>
              <w:spacing w:before="10" w:after="10"/>
            </w:pPr>
            <w:r/>
            <w:r>
              <w:rPr>
                <w:rFonts w:ascii="Times New Roman" w:hAnsi="Times New Roman"/>
                <w:sz w:val="16"/>
              </w:rPr>
              <w:t>Portugal</w:t>
            </w:r>
          </w:p>
        </w:tc>
        <w:tc>
          <w:tcPr>
            <w:tcW w:w="1100" w:type="dxa"/>
          </w:tcPr>
          <w:p>
            <w:pPr>
              <w:jc w:val="center"/>
              <w:spacing w:before="10" w:after="10"/>
            </w:pPr>
            <w:r/>
            <w:r>
              <w:rPr>
                <w:rFonts w:ascii="Times New Roman" w:hAnsi="Times New Roman"/>
                <w:sz w:val="16"/>
              </w:rPr>
              <w:t>$1.72</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15</w:t>
            </w:r>
          </w:p>
        </w:tc>
        <w:tc>
          <w:tcPr>
            <w:tcW w:w="900" w:type="dxa"/>
          </w:tcPr>
          <w:p>
            <w:pPr>
              <w:jc w:val="center"/>
              <w:spacing w:before="10" w:after="10"/>
            </w:pPr>
            <w:r/>
            <w:r>
              <w:rPr>
                <w:rFonts w:ascii="Times New Roman" w:hAnsi="Times New Roman"/>
                <w:sz w:val="16"/>
              </w:rPr>
              <w:t>IE</w:t>
            </w:r>
          </w:p>
        </w:tc>
        <w:tc>
          <w:tcPr>
            <w:tcW w:w="1100" w:type="dxa"/>
          </w:tcPr>
          <w:p>
            <w:pPr>
              <w:jc w:val="center"/>
              <w:spacing w:before="10" w:after="10"/>
            </w:pPr>
            <w:r/>
            <w:r>
              <w:rPr>
                <w:rFonts w:ascii="Times New Roman" w:hAnsi="Times New Roman"/>
                <w:sz w:val="16"/>
              </w:rPr>
              <w:t>7.0%</w:t>
            </w:r>
          </w:p>
        </w:tc>
      </w:tr>
      <w:tr>
        <w:tc>
          <w:tcPr>
            <w:tcW w:w="2000" w:type="dxa"/>
          </w:tcPr>
          <w:p>
            <w:pPr>
              <w:jc w:val="left"/>
              <w:spacing w:before="10" w:after="10"/>
            </w:pPr>
            <w:r/>
            <w:r>
              <w:rPr>
                <w:rFonts w:ascii="Times New Roman" w:hAnsi="Times New Roman"/>
                <w:sz w:val="16"/>
              </w:rPr>
              <w:t>UAE</w:t>
            </w:r>
          </w:p>
        </w:tc>
        <w:tc>
          <w:tcPr>
            <w:tcW w:w="1100" w:type="dxa"/>
          </w:tcPr>
          <w:p>
            <w:pPr>
              <w:jc w:val="center"/>
              <w:spacing w:before="10" w:after="10"/>
            </w:pPr>
            <w:r/>
            <w:r>
              <w:rPr>
                <w:rFonts w:ascii="Times New Roman" w:hAnsi="Times New Roman"/>
                <w:sz w:val="16"/>
              </w:rPr>
              <w:t>$1.72</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16</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7.3%</w:t>
            </w:r>
          </w:p>
        </w:tc>
      </w:tr>
      <w:tr>
        <w:tc>
          <w:tcPr>
            <w:tcW w:w="2000" w:type="dxa"/>
          </w:tcPr>
          <w:p>
            <w:pPr>
              <w:jc w:val="left"/>
              <w:spacing w:before="10" w:after="10"/>
            </w:pPr>
            <w:r/>
            <w:r>
              <w:rPr>
                <w:rFonts w:ascii="Times New Roman" w:hAnsi="Times New Roman"/>
                <w:sz w:val="16"/>
              </w:rPr>
              <w:t>Estonia</w:t>
            </w:r>
          </w:p>
        </w:tc>
        <w:tc>
          <w:tcPr>
            <w:tcW w:w="1100" w:type="dxa"/>
          </w:tcPr>
          <w:p>
            <w:pPr>
              <w:jc w:val="center"/>
              <w:spacing w:before="10" w:after="10"/>
            </w:pPr>
            <w:r/>
            <w:r>
              <w:rPr>
                <w:rFonts w:ascii="Times New Roman" w:hAnsi="Times New Roman"/>
                <w:sz w:val="16"/>
              </w:rPr>
              <w:t>$1.72</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17</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7.4%</w:t>
            </w:r>
          </w:p>
        </w:tc>
      </w:tr>
      <w:tr>
        <w:tc>
          <w:tcPr>
            <w:tcW w:w="2000" w:type="dxa"/>
          </w:tcPr>
          <w:p>
            <w:pPr>
              <w:jc w:val="left"/>
              <w:spacing w:before="10" w:after="10"/>
            </w:pPr>
            <w:r/>
            <w:r>
              <w:rPr>
                <w:rFonts w:ascii="Times New Roman" w:hAnsi="Times New Roman"/>
                <w:sz w:val="16"/>
              </w:rPr>
              <w:t>South Korea</w:t>
            </w:r>
          </w:p>
        </w:tc>
        <w:tc>
          <w:tcPr>
            <w:tcW w:w="1100" w:type="dxa"/>
          </w:tcPr>
          <w:p>
            <w:pPr>
              <w:jc w:val="center"/>
              <w:spacing w:before="10" w:after="10"/>
            </w:pPr>
            <w:r/>
            <w:r>
              <w:rPr>
                <w:rFonts w:ascii="Times New Roman" w:hAnsi="Times New Roman"/>
                <w:sz w:val="16"/>
              </w:rPr>
              <w:t>$1.72</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18</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7.4%</w:t>
            </w:r>
          </w:p>
        </w:tc>
      </w:tr>
      <w:tr>
        <w:tc>
          <w:tcPr>
            <w:tcW w:w="2000" w:type="dxa"/>
          </w:tcPr>
          <w:p>
            <w:pPr>
              <w:jc w:val="left"/>
              <w:spacing w:before="10" w:after="10"/>
            </w:pPr>
            <w:r/>
            <w:r>
              <w:rPr>
                <w:rFonts w:ascii="Times New Roman" w:hAnsi="Times New Roman"/>
                <w:sz w:val="16"/>
              </w:rPr>
              <w:t>China</w:t>
            </w:r>
          </w:p>
        </w:tc>
        <w:tc>
          <w:tcPr>
            <w:tcW w:w="1100" w:type="dxa"/>
          </w:tcPr>
          <w:p>
            <w:pPr>
              <w:jc w:val="center"/>
              <w:spacing w:before="10" w:after="10"/>
            </w:pPr>
            <w:r/>
            <w:r>
              <w:rPr>
                <w:rFonts w:ascii="Times New Roman" w:hAnsi="Times New Roman"/>
                <w:sz w:val="16"/>
              </w:rPr>
              <w:t>$1.73</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19</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7.6%</w:t>
            </w:r>
          </w:p>
        </w:tc>
      </w:tr>
      <w:tr>
        <w:tc>
          <w:tcPr>
            <w:tcW w:w="2000" w:type="dxa"/>
          </w:tcPr>
          <w:p>
            <w:pPr>
              <w:jc w:val="left"/>
              <w:spacing w:before="10" w:after="10"/>
            </w:pPr>
            <w:r/>
            <w:r>
              <w:rPr>
                <w:rFonts w:ascii="Times New Roman" w:hAnsi="Times New Roman"/>
                <w:sz w:val="16"/>
              </w:rPr>
              <w:t>Latvia</w:t>
            </w:r>
          </w:p>
        </w:tc>
        <w:tc>
          <w:tcPr>
            <w:tcW w:w="1100" w:type="dxa"/>
          </w:tcPr>
          <w:p>
            <w:pPr>
              <w:jc w:val="center"/>
              <w:spacing w:before="10" w:after="10"/>
            </w:pPr>
            <w:r/>
            <w:r>
              <w:rPr>
                <w:rFonts w:ascii="Times New Roman" w:hAnsi="Times New Roman"/>
                <w:sz w:val="16"/>
              </w:rPr>
              <w:t>$1.73</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20</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7.7%</w:t>
            </w:r>
          </w:p>
        </w:tc>
      </w:tr>
      <w:tr>
        <w:tc>
          <w:tcPr>
            <w:tcW w:w="2000" w:type="dxa"/>
          </w:tcPr>
          <w:p>
            <w:pPr>
              <w:jc w:val="left"/>
              <w:spacing w:before="10" w:after="10"/>
            </w:pPr>
            <w:r/>
            <w:r>
              <w:rPr>
                <w:rFonts w:ascii="Times New Roman" w:hAnsi="Times New Roman"/>
                <w:sz w:val="16"/>
              </w:rPr>
              <w:t>Israel</w:t>
            </w:r>
          </w:p>
        </w:tc>
        <w:tc>
          <w:tcPr>
            <w:tcW w:w="1100" w:type="dxa"/>
          </w:tcPr>
          <w:p>
            <w:pPr>
              <w:jc w:val="center"/>
              <w:spacing w:before="10" w:after="10"/>
            </w:pPr>
            <w:r/>
            <w:r>
              <w:rPr>
                <w:rFonts w:ascii="Times New Roman" w:hAnsi="Times New Roman"/>
                <w:sz w:val="16"/>
              </w:rPr>
              <w:t>$1.73</w:t>
            </w:r>
          </w:p>
        </w:tc>
        <w:tc>
          <w:tcPr>
            <w:tcW w:w="900" w:type="dxa"/>
          </w:tcPr>
          <w:p>
            <w:pPr>
              <w:jc w:val="center"/>
              <w:spacing w:before="10" w:after="10"/>
            </w:pPr>
            <w:r/>
            <w:r>
              <w:rPr>
                <w:rFonts w:ascii="Times New Roman" w:hAnsi="Times New Roman"/>
                <w:sz w:val="16"/>
              </w:rPr>
              <w:t>DD</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21</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7.8%</w:t>
            </w:r>
          </w:p>
        </w:tc>
      </w:tr>
      <w:tr>
        <w:tc>
          <w:tcPr>
            <w:tcW w:w="2000" w:type="dxa"/>
          </w:tcPr>
          <w:p>
            <w:pPr>
              <w:jc w:val="left"/>
              <w:spacing w:before="10" w:after="10"/>
            </w:pPr>
            <w:r/>
            <w:r>
              <w:rPr>
                <w:rFonts w:ascii="Times New Roman" w:hAnsi="Times New Roman"/>
                <w:sz w:val="16"/>
              </w:rPr>
              <w:t>Austria</w:t>
            </w:r>
          </w:p>
        </w:tc>
        <w:tc>
          <w:tcPr>
            <w:tcW w:w="1100" w:type="dxa"/>
          </w:tcPr>
          <w:p>
            <w:pPr>
              <w:jc w:val="center"/>
              <w:spacing w:before="10" w:after="10"/>
            </w:pPr>
            <w:r/>
            <w:r>
              <w:rPr>
                <w:rFonts w:ascii="Times New Roman" w:hAnsi="Times New Roman"/>
                <w:sz w:val="16"/>
              </w:rPr>
              <w:t>$1.73</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22</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7.8%</w:t>
            </w:r>
          </w:p>
        </w:tc>
      </w:tr>
      <w:tr>
        <w:tc>
          <w:tcPr>
            <w:tcW w:w="2000" w:type="dxa"/>
          </w:tcPr>
          <w:p>
            <w:pPr>
              <w:jc w:val="left"/>
              <w:spacing w:before="10" w:after="10"/>
            </w:pPr>
            <w:r/>
            <w:r>
              <w:rPr>
                <w:rFonts w:ascii="Times New Roman" w:hAnsi="Times New Roman"/>
                <w:sz w:val="16"/>
              </w:rPr>
              <w:t>Germany</w:t>
            </w:r>
          </w:p>
        </w:tc>
        <w:tc>
          <w:tcPr>
            <w:tcW w:w="1100" w:type="dxa"/>
          </w:tcPr>
          <w:p>
            <w:pPr>
              <w:jc w:val="center"/>
              <w:spacing w:before="10" w:after="10"/>
            </w:pPr>
            <w:r/>
            <w:r>
              <w:rPr>
                <w:rFonts w:ascii="Times New Roman" w:hAnsi="Times New Roman"/>
                <w:sz w:val="16"/>
              </w:rPr>
              <w:t>$1.73</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23</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8.0%</w:t>
            </w:r>
          </w:p>
        </w:tc>
      </w:tr>
      <w:tr>
        <w:tc>
          <w:tcPr>
            <w:tcW w:w="2000" w:type="dxa"/>
          </w:tcPr>
          <w:p>
            <w:pPr>
              <w:jc w:val="left"/>
              <w:spacing w:before="10" w:after="10"/>
            </w:pPr>
            <w:r/>
            <w:r>
              <w:rPr>
                <w:rFonts w:ascii="Times New Roman" w:hAnsi="Times New Roman"/>
                <w:sz w:val="16"/>
              </w:rPr>
              <w:t>Spain</w:t>
            </w:r>
          </w:p>
        </w:tc>
        <w:tc>
          <w:tcPr>
            <w:tcW w:w="1100" w:type="dxa"/>
          </w:tcPr>
          <w:p>
            <w:pPr>
              <w:jc w:val="center"/>
              <w:spacing w:before="10" w:after="10"/>
            </w:pPr>
            <w:r/>
            <w:r>
              <w:rPr>
                <w:rFonts w:ascii="Times New Roman" w:hAnsi="Times New Roman"/>
                <w:sz w:val="16"/>
              </w:rPr>
              <w:t>$1.73</w:t>
            </w:r>
          </w:p>
        </w:tc>
        <w:tc>
          <w:tcPr>
            <w:tcW w:w="900" w:type="dxa"/>
          </w:tcPr>
          <w:p>
            <w:pPr>
              <w:jc w:val="center"/>
              <w:spacing w:before="10" w:after="10"/>
            </w:pPr>
            <w:r/>
            <w:r>
              <w:rPr>
                <w:rFonts w:ascii="Times New Roman" w:hAnsi="Times New Roman"/>
                <w:sz w:val="16"/>
              </w:rPr>
              <w:t>II</w:t>
            </w:r>
          </w:p>
        </w:tc>
        <w:tc>
          <w:tcPr>
            <w:tcW w:w="900" w:type="dxa"/>
          </w:tcPr>
          <w:p>
            <w:pPr>
              <w:jc w:val="center"/>
              <w:spacing w:before="10" w:after="10"/>
            </w:pPr>
            <w:r/>
            <w:r>
              <w:rPr>
                <w:rFonts w:ascii="Times New Roman" w:hAnsi="Times New Roman"/>
                <w:sz w:val="16"/>
              </w:rPr>
              <w:t>DD</w:t>
            </w:r>
          </w:p>
        </w:tc>
        <w:tc>
          <w:tcPr>
            <w:tcW w:w="800" w:type="dxa"/>
          </w:tcPr>
          <w:p>
            <w:pPr>
              <w:jc w:val="center"/>
              <w:spacing w:before="10" w:after="10"/>
            </w:pPr>
            <w:r/>
            <w:r>
              <w:rPr>
                <w:rFonts w:ascii="Times New Roman" w:hAnsi="Times New Roman"/>
                <w:sz w:val="16"/>
              </w:rPr>
              <w:t>24</w:t>
            </w:r>
          </w:p>
        </w:tc>
        <w:tc>
          <w:tcPr>
            <w:tcW w:w="900" w:type="dxa"/>
          </w:tcPr>
          <w:p>
            <w:pPr>
              <w:jc w:val="center"/>
              <w:spacing w:before="10" w:after="10"/>
            </w:pPr>
            <w:r/>
            <w:r>
              <w:rPr>
                <w:rFonts w:ascii="Times New Roman" w:hAnsi="Times New Roman"/>
                <w:sz w:val="16"/>
              </w:rPr>
              <w:t>II</w:t>
            </w:r>
          </w:p>
        </w:tc>
        <w:tc>
          <w:tcPr>
            <w:tcW w:w="1100" w:type="dxa"/>
          </w:tcPr>
          <w:p>
            <w:pPr>
              <w:jc w:val="center"/>
              <w:spacing w:before="10" w:after="10"/>
            </w:pPr>
            <w:r/>
            <w:r>
              <w:rPr>
                <w:rFonts w:ascii="Times New Roman" w:hAnsi="Times New Roman"/>
                <w:sz w:val="16"/>
              </w:rPr>
              <w:t>8.0%</w:t>
            </w:r>
          </w:p>
        </w:tc>
      </w:tr>
      <w:tr>
        <w:tc>
          <w:tcPr>
            <w:tcBorders>
              <w:bottom w:val="double" w:sz="4" w:space="0" w:color="auto"/>
            </w:tcBorders>
            <w:tcW w:w="2000" w:type="dxa"/>
          </w:tcPr>
          <w:p>
            <w:pPr>
              <w:jc w:val="left"/>
              <w:spacing w:before="10" w:after="10"/>
            </w:pPr>
            <w:r/>
            <w:r>
              <w:rPr>
                <w:rFonts w:ascii="Times New Roman" w:hAnsi="Times New Roman"/>
                <w:sz w:val="16"/>
              </w:rPr>
              <w:t>Malta</w:t>
            </w:r>
          </w:p>
        </w:tc>
        <w:tc>
          <w:tcPr>
            <w:tcBorders>
              <w:bottom w:val="double" w:sz="4" w:space="0" w:color="auto"/>
            </w:tcBorders>
            <w:tcW w:w="1100" w:type="dxa"/>
          </w:tcPr>
          <w:p>
            <w:pPr>
              <w:jc w:val="center"/>
              <w:spacing w:before="10" w:after="10"/>
            </w:pPr>
            <w:r/>
            <w:r>
              <w:rPr>
                <w:rFonts w:ascii="Times New Roman" w:hAnsi="Times New Roman"/>
                <w:sz w:val="16"/>
              </w:rPr>
              <w:t>$1.73</w:t>
            </w:r>
          </w:p>
        </w:tc>
        <w:tc>
          <w:tcPr>
            <w:tcBorders>
              <w:bottom w:val="double" w:sz="4" w:space="0" w:color="auto"/>
            </w:tcBorders>
            <w:tcW w:w="900" w:type="dxa"/>
          </w:tcPr>
          <w:p>
            <w:pPr>
              <w:jc w:val="center"/>
              <w:spacing w:before="10" w:after="10"/>
            </w:pPr>
            <w:r/>
            <w:r>
              <w:rPr>
                <w:rFonts w:ascii="Times New Roman" w:hAnsi="Times New Roman"/>
                <w:sz w:val="16"/>
              </w:rPr>
              <w:t>II</w:t>
            </w:r>
          </w:p>
        </w:tc>
        <w:tc>
          <w:tcPr>
            <w:tcBorders>
              <w:bottom w:val="double" w:sz="4" w:space="0" w:color="auto"/>
            </w:tcBorders>
            <w:tcW w:w="900" w:type="dxa"/>
          </w:tcPr>
          <w:p>
            <w:pPr>
              <w:jc w:val="center"/>
              <w:spacing w:before="10" w:after="10"/>
            </w:pPr>
            <w:r/>
            <w:r>
              <w:rPr>
                <w:rFonts w:ascii="Times New Roman" w:hAnsi="Times New Roman"/>
                <w:sz w:val="16"/>
              </w:rPr>
              <w:t>DD</w:t>
            </w:r>
          </w:p>
        </w:tc>
        <w:tc>
          <w:tcPr>
            <w:tcBorders>
              <w:bottom w:val="double" w:sz="4" w:space="0" w:color="auto"/>
            </w:tcBorders>
            <w:tcW w:w="800" w:type="dxa"/>
          </w:tcPr>
          <w:p>
            <w:pPr>
              <w:jc w:val="center"/>
              <w:spacing w:before="10" w:after="10"/>
            </w:pPr>
            <w:r/>
            <w:r>
              <w:rPr>
                <w:rFonts w:ascii="Times New Roman" w:hAnsi="Times New Roman"/>
                <w:sz w:val="16"/>
              </w:rPr>
              <w:t>25</w:t>
            </w:r>
          </w:p>
        </w:tc>
        <w:tc>
          <w:tcPr>
            <w:tcBorders>
              <w:bottom w:val="double" w:sz="4" w:space="0" w:color="auto"/>
            </w:tcBorders>
            <w:tcW w:w="900" w:type="dxa"/>
          </w:tcPr>
          <w:p>
            <w:pPr>
              <w:jc w:val="center"/>
              <w:spacing w:before="10" w:after="10"/>
            </w:pPr>
            <w:r/>
            <w:r>
              <w:rPr>
                <w:rFonts w:ascii="Times New Roman" w:hAnsi="Times New Roman"/>
                <w:sz w:val="16"/>
              </w:rPr>
              <w:t>II</w:t>
            </w:r>
          </w:p>
        </w:tc>
        <w:tc>
          <w:tcPr>
            <w:tcBorders>
              <w:bottom w:val="double" w:sz="4" w:space="0" w:color="auto"/>
            </w:tcBorders>
            <w:tcW w:w="1100" w:type="dxa"/>
          </w:tcPr>
          <w:p>
            <w:pPr>
              <w:jc w:val="center"/>
              <w:spacing w:before="10" w:after="10"/>
            </w:pPr>
            <w:r/>
            <w:r>
              <w:rPr>
                <w:rFonts w:ascii="Times New Roman" w:hAnsi="Times New Roman"/>
                <w:sz w:val="16"/>
              </w:rPr>
              <w:t>8.1%</w:t>
            </w:r>
          </w:p>
        </w:tc>
      </w:tr>
    </w:tbl>
    <w:p>
      <w:pPr>
        <w:spacing w:before="0" w:after="120" w:line="240" w:lineRule="auto"/>
        <w:ind w:firstLine="0"/>
        <w:jc w:val="left"/>
        <w:sectPr>
          <w:pgSz w:w="15840" w:h="12240" w:orient="landscape"/>
          <w:pgMar w:top="1080" w:right="1080" w:bottom="1080" w:left="1080" w:header="720" w:footer="720"/>
        </w:sectPr>
      </w:pPr>
      <w:r>
        <w:rPr>
          <w:rFonts w:ascii="Times New Roman" w:hAnsi="Times New Roman"/>
          <w:b/>
          <w:sz w:val="20"/>
        </w:rPr>
        <w:t xml:space="preserve">Notes: </w:t>
      </w:r>
      <w:r>
        <w:rPr>
          <w:rFonts w:ascii="Times New Roman" w:hAnsi="Times New Roman"/>
          <w:sz w:val="20"/>
        </w:rPr>
        <w:t xml:space="preserve">Type codes: EE = training + inference exporter; IE = inference exporter; DD = domestic producer; II = full importer. (4)/(5) Bilateral: bilateral sovereignty premium λᵢⱼ from </w:t>
      </w:r>
      <w:bookmarkStart w:id="906" w:name="Eq2txt906"/>
      <w:hyperlink w:anchor="Eq2" w:history="1">
        <w:r>
          <w:rPr>
            <w:rFonts w:ascii="Times New Roman" w:hAnsi="Times New Roman"/>
            <w:sz w:val="20"/>
            <w:color w:val="1F3864"/>
            <w:u w:val="single"/>
          </w:rPr>
          <w:t xml:space="preserve">equation (2)</w:t>
        </w:r>
      </w:hyperlink>
      <w:bookmarkEnd w:id="906"/>
      <w:r>
        <w:rPr>
          <w:rFonts w:ascii="Times New Roman" w:hAnsi="Times New Roman"/>
          <w:sz w:val="20"/>
        </w:rPr>
        <w:t xml:space="preserve">, with geopolitical, regulatory, and sanctions components. Under the calibrated parameters, demand tiering (sovereign 10%, regulated 20%, commercial 70%) leaves regime type assignments unchanged for all countries; tiering affects within-country demand allocation across tiers but not the equilibrium set of exporters. (6) Uniform: uniform λ = 10% premium (robustness check). (7) Hyperscaler FDI: bilateral premium replaced by λᶠᵈᵉ from equation (2′), where h is the hyperscaler’s home country (assumed US). Trust premium reflects buyer–operator relationship. Sanctions on host still apply. * = sanctioned/GPU-blocked. † = developing-country exporter. λₖ* = cₖ/pₜ − 1 is the minimum bilateral sovereignty premium at which country k switches from importing to domestic training production (Proposition 3); negative values indicate exporters.</w:t>
      </w:r>
    </w:p>
    <w:p>
      <w:pPr>
        <w:pStyle w:val="Heading1"/>
      </w:pPr>
      <w:r>
        <w:rPr>
          <w:rFonts w:ascii="Times New Roman" w:hAnsi="Times New Roman"/>
          <w:b/>
          <w:color w:val="2F5496"/>
          <w:sz w:val="28"/>
        </w:rPr>
        <w:t>Appendix A</w:t>
      </w:r>
    </w:p>
    <w:p>
      <w:pPr>
        <w:spacing w:before="0" w:after="60"/>
        <w:ind w:firstLine="0"/>
        <w:jc w:val="both"/>
      </w:pPr>
      <w:bookmarkStart w:id="104" w:name="TableA1"/>
      <w:hyperlink w:anchor="TableA1txt" w:history="1">
        <w:r>
          <w:rPr>
            <w:b/>
            <w:sz w:val="20"/>
            <w:color w:val="1F3864"/>
            <w:u w:val="single"/>
          </w:rPr>
          <w:t>Table A1</w:t>
        </w:r>
      </w:hyperlink>
      <w:bookmarkEnd w:id="104"/>
      <w:r>
        <w:rPr>
          <w:b/>
          <w:sz w:val="20"/>
        </w:rPr>
        <w:t>. Country-specific calibration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
        <w:gridCol w:w="864"/>
        <w:gridCol w:w="864"/>
        <w:gridCol w:w="864"/>
        <w:gridCol w:w="864"/>
        <w:gridCol w:w="864"/>
        <w:gridCol w:w="864"/>
        <w:gridCol w:w="864"/>
        <w:gridCol w:w="864"/>
        <w:gridCol w:w="864"/>
      </w:tblGrid>
      <w:tr>
        <w:tc>
          <w:tcPr>
            <w:tcBorders>
              <w:top w:val="single" w:sz="4" w:space="0" w:color="auto"/>
              <w:bottom w:val="single" w:sz="4" w:space="0" w:color="auto"/>
            </w:tcBorders>
            <w:tcW w:w="1500" w:type="dxa"/>
          </w:tcPr>
          <w:p>
            <w:pPr>
              <w:jc w:val="center"/>
              <w:spacing w:before="10" w:after="10"/>
            </w:pPr>
            <w:r/>
            <w:r>
              <w:rPr>
                <w:b/>
                <w:sz w:val="16"/>
              </w:rPr>
              <w:t>Country</w:t>
            </w:r>
          </w:p>
        </w:tc>
        <w:tc>
          <w:tcPr>
            <w:tcBorders>
              <w:top w:val="single" w:sz="4" w:space="0" w:color="auto"/>
              <w:bottom w:val="single" w:sz="4" w:space="0" w:color="auto"/>
            </w:tcBorders>
            <w:tcW w:w="650" w:type="dxa"/>
          </w:tcPr>
          <w:p>
            <w:pPr>
              <w:jc w:val="center"/>
              <w:spacing w:before="10" w:after="10"/>
            </w:pPr>
            <w:r/>
            <w:r>
              <w:rPr>
                <w:b/>
                <w:sz w:val="16"/>
              </w:rPr>
              <w:t>pᴱ</w:t>
              <w:br/>
              <w:t>($/kWh)</w:t>
            </w:r>
          </w:p>
        </w:tc>
        <w:tc>
          <w:tcPr>
            <w:tcBorders>
              <w:top w:val="single" w:sz="4" w:space="0" w:color="auto"/>
              <w:bottom w:val="single" w:sz="4" w:space="0" w:color="auto"/>
            </w:tcBorders>
            <w:tcW w:w="550" w:type="dxa"/>
          </w:tcPr>
          <w:p>
            <w:pPr>
              <w:jc w:val="center"/>
              <w:spacing w:before="10" w:after="10"/>
            </w:pPr>
            <w:r/>
            <w:r>
              <w:rPr>
                <w:b/>
                <w:sz w:val="16"/>
              </w:rPr>
              <w:t>θⱼ</w:t>
              <w:br/>
              <w:t>(°C)</w:t>
            </w:r>
          </w:p>
        </w:tc>
        <w:tc>
          <w:tcPr>
            <w:tcBorders>
              <w:top w:val="single" w:sz="4" w:space="0" w:color="auto"/>
              <w:bottom w:val="single" w:sz="4" w:space="0" w:color="auto"/>
            </w:tcBorders>
            <w:tcW w:w="500" w:type="dxa"/>
          </w:tcPr>
          <w:p>
            <w:pPr>
              <w:jc w:val="center"/>
              <w:spacing w:before="10" w:after="10"/>
            </w:pPr>
            <w:r/>
            <w:r>
              <w:rPr>
                <w:b/>
                <w:sz w:val="16"/>
              </w:rPr>
              <w:t>PUE</w:t>
            </w:r>
          </w:p>
        </w:tc>
        <w:tc>
          <w:tcPr>
            <w:tcBorders>
              <w:top w:val="single" w:sz="4" w:space="0" w:color="auto"/>
              <w:bottom w:val="single" w:sz="4" w:space="0" w:color="auto"/>
            </w:tcBorders>
            <w:tcW w:w="600" w:type="dxa"/>
          </w:tcPr>
          <w:p>
            <w:pPr>
              <w:jc w:val="center"/>
              <w:spacing w:before="10" w:after="10"/>
            </w:pPr>
            <w:r/>
            <w:r>
              <w:rPr>
                <w:b/>
                <w:sz w:val="16"/>
              </w:rPr>
              <w:t>Constr.</w:t>
              <w:br/>
              <w:t>($/W)</w:t>
            </w:r>
          </w:p>
        </w:tc>
        <w:tc>
          <w:tcPr>
            <w:tcBorders>
              <w:top w:val="single" w:sz="4" w:space="0" w:color="auto"/>
              <w:bottom w:val="single" w:sz="4" w:space="0" w:color="auto"/>
            </w:tcBorders>
            <w:tcW w:w="650" w:type="dxa"/>
          </w:tcPr>
          <w:p>
            <w:pPr>
              <w:jc w:val="center"/>
              <w:spacing w:before="10" w:after="10"/>
            </w:pPr>
            <w:r/>
            <w:r>
              <w:rPr>
                <w:b/>
                <w:sz w:val="16"/>
              </w:rPr>
              <w:t>k̄ⱼ</w:t>
              <w:br/>
              <w:t>(MW)</w:t>
            </w:r>
          </w:p>
        </w:tc>
        <w:tc>
          <w:tcPr>
            <w:tcBorders>
              <w:top w:val="single" w:sz="4" w:space="0" w:color="auto"/>
              <w:bottom w:val="single" w:sz="4" w:space="0" w:color="auto"/>
            </w:tcBorders>
            <w:tcW w:w="550" w:type="dxa"/>
          </w:tcPr>
          <w:p>
            <w:pPr>
              <w:jc w:val="center"/>
              <w:spacing w:before="10" w:after="10"/>
            </w:pPr>
            <w:r/>
            <w:r>
              <w:rPr>
                <w:b/>
                <w:sz w:val="16"/>
              </w:rPr>
              <w:t>ωⱼ</w:t>
              <w:br/>
              <w:t>(%)</w:t>
            </w:r>
          </w:p>
        </w:tc>
        <w:tc>
          <w:tcPr>
            <w:tcBorders>
              <w:top w:val="single" w:sz="4" w:space="0" w:color="auto"/>
              <w:bottom w:val="single" w:sz="4" w:space="0" w:color="auto"/>
            </w:tcBorders>
            <w:tcW w:w="450" w:type="dxa"/>
          </w:tcPr>
          <w:p>
            <w:pPr>
              <w:jc w:val="center"/>
              <w:spacing w:before="10" w:after="10"/>
            </w:pPr>
            <w:r/>
            <w:r>
              <w:rPr>
                <w:b/>
                <w:sz w:val="16"/>
              </w:rPr>
              <w:t>ξⱼᵉᶠᶠ</w:t>
            </w:r>
          </w:p>
        </w:tc>
        <w:tc>
          <w:tcPr>
            <w:tcBorders>
              <w:top w:val="single" w:sz="4" w:space="0" w:color="auto"/>
              <w:bottom w:val="single" w:sz="4" w:space="0" w:color="auto"/>
            </w:tcBorders>
            <w:tcW w:w="650" w:type="dxa"/>
          </w:tcPr>
          <w:p>
            <w:pPr>
              <w:jc w:val="center"/>
              <w:spacing w:before="10" w:after="10"/>
            </w:pPr>
            <w:r/>
            <w:r>
              <w:rPr>
                <w:b/>
                <w:sz w:val="16"/>
              </w:rPr>
              <w:t>cⱼ</w:t>
              <w:br/>
              <w:t>($/hr)</w:t>
            </w:r>
          </w:p>
        </w:tc>
        <w:tc>
          <w:tcPr>
            <w:tcBorders>
              <w:top w:val="single" w:sz="4" w:space="0" w:color="auto"/>
              <w:bottom w:val="single" w:sz="4" w:space="0" w:color="auto"/>
            </w:tcBorders>
            <w:tcW w:w="700" w:type="dxa"/>
          </w:tcPr>
          <w:p>
            <w:pPr>
              <w:jc w:val="center"/>
              <w:spacing w:before="10" w:after="10"/>
            </w:pPr>
            <w:r/>
            <w:r>
              <w:rPr>
                <w:b/>
                <w:sz w:val="16"/>
              </w:rPr>
              <w:t>Cost-Rec.</w:t>
              <w:br/>
              <w:t>pᴱ ($/kWh)</w:t>
            </w:r>
          </w:p>
        </w:tc>
      </w:tr>
      <w:tr>
        <w:tc>
          <w:tcPr>
            <w:tcW w:w="1500" w:type="dxa"/>
          </w:tcPr>
          <w:p>
            <w:pPr>
              <w:spacing w:before="10" w:after="10"/>
            </w:pPr>
            <w:r/>
            <w:r>
              <w:rPr>
                <w:sz w:val="16"/>
              </w:rPr>
              <w:t>Kyrgyzstan</w:t>
            </w:r>
          </w:p>
        </w:tc>
        <w:tc>
          <w:tcPr>
            <w:tcW w:w="650" w:type="dxa"/>
          </w:tcPr>
          <w:p>
            <w:pPr>
              <w:spacing w:before="10" w:after="10"/>
            </w:pPr>
            <w:r/>
            <w:r>
              <w:rPr>
                <w:sz w:val="16"/>
              </w:rPr>
              <w:t>$0.038</w:t>
            </w:r>
          </w:p>
        </w:tc>
        <w:tc>
          <w:tcPr>
            <w:tcW w:w="550" w:type="dxa"/>
          </w:tcPr>
          <w:p>
            <w:pPr>
              <w:jc w:val="right"/>
              <w:spacing w:before="10" w:after="10"/>
            </w:pPr>
            <w:r/>
            <w:r>
              <w:rPr>
                <w:sz w:val="16"/>
              </w:rPr>
              <w:t>13.3</w:t>
            </w:r>
          </w:p>
        </w:tc>
        <w:tc>
          <w:tcPr>
            <w:tcW w:w="500" w:type="dxa"/>
          </w:tcPr>
          <w:p>
            <w:pPr>
              <w:jc w:val="right"/>
              <w:spacing w:before="10" w:after="10"/>
            </w:pPr>
            <w:r/>
            <w:r>
              <w:rPr>
                <w:sz w:val="16"/>
              </w:rPr>
              <w:t>1.08</w:t>
            </w:r>
          </w:p>
        </w:tc>
        <w:tc>
          <w:tcPr>
            <w:tcW w:w="600" w:type="dxa"/>
          </w:tcPr>
          <w:p>
            <w:pPr>
              <w:jc w:val="right"/>
              <w:spacing w:before="10" w:after="10"/>
            </w:pPr>
            <w:r/>
            <w:r>
              <w:rPr>
                <w:sz w:val="16"/>
              </w:rPr>
              <w:t>$7.83</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0.29</w:t>
            </w:r>
          </w:p>
        </w:tc>
        <w:tc>
          <w:tcPr>
            <w:tcW w:w="650" w:type="dxa"/>
          </w:tcPr>
          <w:p>
            <w:pPr>
              <w:jc w:val="right"/>
              <w:spacing w:before="10" w:after="10"/>
            </w:pPr>
            <w:r/>
            <w:r>
              <w:rPr>
                <w:sz w:val="16"/>
              </w:rPr>
              <w:t>$1.43</w:t>
            </w:r>
          </w:p>
        </w:tc>
        <w:tc>
          <w:tcPr>
            <w:tcW w:w="700" w:type="dxa"/>
          </w:tcPr>
          <w:p>
            <w:pPr>
              <w:jc w:val="right"/>
              <w:spacing w:before="10" w:after="10"/>
            </w:pPr>
            <w:r/>
            <w:r>
              <w:rPr>
                <w:sz w:val="16"/>
              </w:rPr>
              <w:t>$0.038</w:t>
            </w:r>
          </w:p>
        </w:tc>
      </w:tr>
      <w:tr>
        <w:tc>
          <w:tcPr>
            <w:tcW w:w="1500" w:type="dxa"/>
          </w:tcPr>
          <w:p>
            <w:pPr>
              <w:spacing w:before="10" w:after="10"/>
            </w:pPr>
            <w:r/>
            <w:r>
              <w:rPr>
                <w:sz w:val="16"/>
              </w:rPr>
              <w:t>Ethiopia</w:t>
            </w:r>
          </w:p>
        </w:tc>
        <w:tc>
          <w:tcPr>
            <w:tcW w:w="650" w:type="dxa"/>
          </w:tcPr>
          <w:p>
            <w:pPr>
              <w:spacing w:before="10" w:after="10"/>
            </w:pPr>
            <w:r/>
            <w:r>
              <w:rPr>
                <w:sz w:val="16"/>
              </w:rPr>
              <w:t>$0.030</w:t>
            </w:r>
          </w:p>
        </w:tc>
        <w:tc>
          <w:tcPr>
            <w:tcW w:w="550" w:type="dxa"/>
          </w:tcPr>
          <w:p>
            <w:pPr>
              <w:jc w:val="right"/>
              <w:spacing w:before="10" w:after="10"/>
            </w:pPr>
            <w:r/>
            <w:r>
              <w:rPr>
                <w:sz w:val="16"/>
              </w:rPr>
              <w:t>26.5</w:t>
            </w:r>
          </w:p>
        </w:tc>
        <w:tc>
          <w:tcPr>
            <w:tcW w:w="500" w:type="dxa"/>
          </w:tcPr>
          <w:p>
            <w:pPr>
              <w:jc w:val="right"/>
              <w:spacing w:before="10" w:after="10"/>
            </w:pPr>
            <w:r/>
            <w:r>
              <w:rPr>
                <w:sz w:val="16"/>
              </w:rPr>
              <w:t>1.25</w:t>
            </w:r>
          </w:p>
        </w:tc>
        <w:tc>
          <w:tcPr>
            <w:tcW w:w="600" w:type="dxa"/>
          </w:tcPr>
          <w:p>
            <w:pPr>
              <w:jc w:val="right"/>
              <w:spacing w:before="10" w:after="10"/>
            </w:pPr>
            <w:r/>
            <w:r>
              <w:rPr>
                <w:sz w:val="16"/>
              </w:rPr>
              <w:t>$8.08</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0.38</w:t>
            </w:r>
          </w:p>
        </w:tc>
        <w:tc>
          <w:tcPr>
            <w:tcW w:w="650" w:type="dxa"/>
          </w:tcPr>
          <w:p>
            <w:pPr>
              <w:jc w:val="right"/>
              <w:spacing w:before="10" w:after="10"/>
            </w:pPr>
            <w:r/>
            <w:r>
              <w:rPr>
                <w:sz w:val="16"/>
              </w:rPr>
              <w:t>$1.43</w:t>
            </w:r>
          </w:p>
        </w:tc>
        <w:tc>
          <w:tcPr>
            <w:tcW w:w="700" w:type="dxa"/>
          </w:tcPr>
          <w:p>
            <w:pPr>
              <w:jc w:val="right"/>
              <w:spacing w:before="10" w:after="10"/>
            </w:pPr>
            <w:r>
              <w:rPr>
                <w:b/>
              </w:rPr>
            </w:r>
            <w:r>
              <w:rPr>
                <w:sz w:val="16"/>
                <w:b/>
              </w:rPr>
              <w:t>$0.050</w:t>
            </w:r>
          </w:p>
        </w:tc>
      </w:tr>
      <w:tr>
        <w:tc>
          <w:tcPr>
            <w:tcW w:w="1500" w:type="dxa"/>
          </w:tcPr>
          <w:p>
            <w:pPr>
              <w:spacing w:before="10" w:after="10"/>
            </w:pPr>
            <w:r/>
            <w:r>
              <w:rPr>
                <w:sz w:val="16"/>
              </w:rPr>
              <w:t>Canada</w:t>
            </w:r>
          </w:p>
        </w:tc>
        <w:tc>
          <w:tcPr>
            <w:tcW w:w="650" w:type="dxa"/>
          </w:tcPr>
          <w:p>
            <w:pPr>
              <w:spacing w:before="10" w:after="10"/>
            </w:pPr>
            <w:r/>
            <w:r>
              <w:rPr>
                <w:sz w:val="16"/>
              </w:rPr>
              <w:t>$0.045</w:t>
            </w:r>
          </w:p>
        </w:tc>
        <w:tc>
          <w:tcPr>
            <w:tcW w:w="550" w:type="dxa"/>
          </w:tcPr>
          <w:p>
            <w:pPr>
              <w:jc w:val="right"/>
              <w:spacing w:before="10" w:after="10"/>
            </w:pPr>
            <w:r/>
            <w:r>
              <w:rPr>
                <w:sz w:val="16"/>
              </w:rPr>
              <w:t>14.6</w:t>
            </w:r>
          </w:p>
        </w:tc>
        <w:tc>
          <w:tcPr>
            <w:tcW w:w="500" w:type="dxa"/>
          </w:tcPr>
          <w:p>
            <w:pPr>
              <w:jc w:val="right"/>
              <w:spacing w:before="10" w:after="10"/>
            </w:pPr>
            <w:r/>
            <w:r>
              <w:rPr>
                <w:sz w:val="16"/>
              </w:rPr>
              <w:t>1.08</w:t>
            </w:r>
          </w:p>
        </w:tc>
        <w:tc>
          <w:tcPr>
            <w:tcW w:w="600" w:type="dxa"/>
          </w:tcPr>
          <w:p>
            <w:pPr>
              <w:jc w:val="right"/>
              <w:spacing w:before="10" w:after="10"/>
            </w:pPr>
            <w:r/>
            <w:r>
              <w:rPr>
                <w:sz w:val="16"/>
              </w:rPr>
              <w:t>$9.39</w:t>
            </w:r>
          </w:p>
        </w:tc>
        <w:tc>
          <w:tcPr>
            <w:tcW w:w="650" w:type="dxa"/>
          </w:tcPr>
          <w:p>
            <w:pPr>
              <w:jc w:val="right"/>
              <w:spacing w:before="10" w:after="10"/>
            </w:pPr>
            <w:r/>
            <w:r>
              <w:rPr>
                <w:sz w:val="16"/>
              </w:rPr>
              <w:t>3,200</w:t>
            </w:r>
          </w:p>
        </w:tc>
        <w:tc>
          <w:tcPr>
            <w:tcW w:w="550" w:type="dxa"/>
          </w:tcPr>
          <w:p>
            <w:pPr>
              <w:jc w:val="right"/>
              <w:spacing w:before="10" w:after="10"/>
            </w:pPr>
            <w:r/>
            <w:r>
              <w:rPr>
                <w:sz w:val="16"/>
              </w:rPr>
              <w:t>2.6</w:t>
            </w:r>
          </w:p>
        </w:tc>
        <w:tc>
          <w:tcPr>
            <w:tcW w:w="450" w:type="dxa"/>
          </w:tcPr>
          <w:p>
            <w:pPr>
              <w:jc w:val="right"/>
              <w:spacing w:before="10" w:after="10"/>
            </w:pPr>
            <w:r/>
            <w:r>
              <w:rPr>
                <w:sz w:val="16"/>
              </w:rPr>
              <w:t>0.95</w:t>
            </w:r>
          </w:p>
        </w:tc>
        <w:tc>
          <w:tcPr>
            <w:tcW w:w="650" w:type="dxa"/>
          </w:tcPr>
          <w:p>
            <w:pPr>
              <w:jc w:val="right"/>
              <w:spacing w:before="10" w:after="10"/>
            </w:pPr>
            <w:r/>
            <w:r>
              <w:rPr>
                <w:sz w:val="16"/>
              </w:rPr>
              <w:t>$1.44</w:t>
            </w:r>
          </w:p>
        </w:tc>
        <w:tc>
          <w:tcPr>
            <w:tcW w:w="700" w:type="dxa"/>
          </w:tcPr>
          <w:p>
            <w:pPr>
              <w:jc w:val="right"/>
              <w:spacing w:before="10" w:after="10"/>
            </w:pPr>
            <w:r/>
            <w:r>
              <w:rPr>
                <w:sz w:val="16"/>
              </w:rPr>
              <w:t>$0.045</w:t>
            </w:r>
          </w:p>
        </w:tc>
      </w:tr>
      <w:tr>
        <w:tc>
          <w:tcPr>
            <w:tcW w:w="1500" w:type="dxa"/>
          </w:tcPr>
          <w:p>
            <w:pPr>
              <w:spacing w:before="10" w:after="10"/>
            </w:pPr>
            <w:r/>
            <w:r>
              <w:rPr>
                <w:sz w:val="16"/>
              </w:rPr>
              <w:t>Kosovo</w:t>
            </w:r>
          </w:p>
        </w:tc>
        <w:tc>
          <w:tcPr>
            <w:tcW w:w="650" w:type="dxa"/>
          </w:tcPr>
          <w:p>
            <w:pPr>
              <w:spacing w:before="10" w:after="10"/>
            </w:pPr>
            <w:r/>
            <w:r>
              <w:rPr>
                <w:sz w:val="16"/>
              </w:rPr>
              <w:t>$0.047</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00" w:type="dxa"/>
          </w:tcPr>
          <w:p>
            <w:pPr>
              <w:jc w:val="right"/>
              <w:spacing w:before="10" w:after="10"/>
            </w:pPr>
            <w:r/>
            <w:r>
              <w:rPr>
                <w:sz w:val="16"/>
              </w:rPr>
              <w:t>$9.48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0.60</w:t>
            </w:r>
          </w:p>
        </w:tc>
        <w:tc>
          <w:tcPr>
            <w:tcW w:w="650" w:type="dxa"/>
          </w:tcPr>
          <w:p>
            <w:pPr>
              <w:jc w:val="right"/>
              <w:spacing w:before="10" w:after="10"/>
            </w:pPr>
            <w:r/>
            <w:r>
              <w:rPr>
                <w:sz w:val="16"/>
              </w:rPr>
              <w:t>$1.45</w:t>
            </w:r>
          </w:p>
        </w:tc>
        <w:tc>
          <w:tcPr>
            <w:tcW w:w="700" w:type="dxa"/>
          </w:tcPr>
          <w:p>
            <w:pPr>
              <w:jc w:val="right"/>
              <w:spacing w:before="10" w:after="10"/>
            </w:pPr>
            <w:r/>
            <w:r>
              <w:rPr>
                <w:sz w:val="16"/>
              </w:rPr>
              <w:t>$0.047</w:t>
            </w:r>
          </w:p>
        </w:tc>
      </w:tr>
      <w:tr>
        <w:tc>
          <w:tcPr>
            <w:tcW w:w="1500" w:type="dxa"/>
          </w:tcPr>
          <w:p>
            <w:pPr>
              <w:spacing w:before="10" w:after="10"/>
            </w:pPr>
            <w:r/>
            <w:r>
              <w:rPr>
                <w:sz w:val="16"/>
              </w:rPr>
              <w:t>China</w:t>
            </w:r>
          </w:p>
        </w:tc>
        <w:tc>
          <w:tcPr>
            <w:tcW w:w="650" w:type="dxa"/>
          </w:tcPr>
          <w:p>
            <w:pPr>
              <w:spacing w:before="10" w:after="10"/>
            </w:pPr>
            <w:r/>
            <w:r>
              <w:rPr>
                <w:sz w:val="16"/>
              </w:rPr>
              <w:t>$0.079</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00" w:type="dxa"/>
          </w:tcPr>
          <w:p>
            <w:pPr>
              <w:jc w:val="right"/>
              <w:spacing w:before="10" w:after="10"/>
            </w:pPr>
            <w:r/>
            <w:r>
              <w:rPr>
                <w:sz w:val="16"/>
              </w:rPr>
              <w:t>$6.12</w:t>
            </w:r>
          </w:p>
        </w:tc>
        <w:tc>
          <w:tcPr>
            <w:tcW w:w="650" w:type="dxa"/>
          </w:tcPr>
          <w:p>
            <w:pPr>
              <w:jc w:val="right"/>
              <w:spacing w:before="10" w:after="10"/>
            </w:pPr>
            <w:r/>
            <w:r>
              <w:rPr>
                <w:sz w:val="16"/>
              </w:rPr>
              <w:t>31,900</w:t>
            </w:r>
          </w:p>
        </w:tc>
        <w:tc>
          <w:tcPr>
            <w:tcW w:w="550" w:type="dxa"/>
          </w:tcPr>
          <w:p>
            <w:pPr>
              <w:jc w:val="right"/>
              <w:spacing w:before="10" w:after="10"/>
            </w:pPr>
            <w:r/>
            <w:r>
              <w:rPr>
                <w:sz w:val="16"/>
              </w:rPr>
              <w:t>25.8</w:t>
            </w:r>
          </w:p>
        </w:tc>
        <w:tc>
          <w:tcPr>
            <w:tcW w:w="450" w:type="dxa"/>
          </w:tcPr>
          <w:p>
            <w:pPr>
              <w:jc w:val="right"/>
              <w:spacing w:before="10" w:after="10"/>
            </w:pPr>
            <w:r/>
            <w:r>
              <w:rPr>
                <w:sz w:val="16"/>
              </w:rPr>
              <w:t>0.71</w:t>
            </w:r>
          </w:p>
        </w:tc>
        <w:tc>
          <w:tcPr>
            <w:tcW w:w="650" w:type="dxa"/>
          </w:tcPr>
          <w:p>
            <w:pPr>
              <w:jc w:val="right"/>
              <w:spacing w:before="10" w:after="10"/>
            </w:pPr>
            <w:r/>
            <w:r>
              <w:rPr>
                <w:sz w:val="16"/>
              </w:rPr>
              <w:t>$1.46</w:t>
            </w:r>
          </w:p>
        </w:tc>
        <w:tc>
          <w:tcPr>
            <w:tcW w:w="700" w:type="dxa"/>
          </w:tcPr>
          <w:p>
            <w:pPr>
              <w:jc w:val="right"/>
              <w:spacing w:before="10" w:after="10"/>
            </w:pPr>
            <w:r/>
            <w:r>
              <w:rPr>
                <w:sz w:val="16"/>
              </w:rPr>
              <w:t>$0.079</w:t>
            </w:r>
          </w:p>
        </w:tc>
      </w:tr>
      <w:tr>
        <w:tc>
          <w:tcPr>
            <w:tcW w:w="1500" w:type="dxa"/>
          </w:tcPr>
          <w:p>
            <w:pPr>
              <w:spacing w:before="10" w:after="10"/>
            </w:pPr>
            <w:r/>
            <w:r>
              <w:rPr>
                <w:sz w:val="16"/>
              </w:rPr>
              <w:t>Tajikistan</w:t>
            </w:r>
          </w:p>
        </w:tc>
        <w:tc>
          <w:tcPr>
            <w:tcW w:w="650" w:type="dxa"/>
          </w:tcPr>
          <w:p>
            <w:pPr>
              <w:spacing w:before="10" w:after="10"/>
            </w:pPr>
            <w:r/>
            <w:r>
              <w:rPr>
                <w:sz w:val="16"/>
              </w:rPr>
              <w:t>$0.074</w:t>
            </w:r>
          </w:p>
        </w:tc>
        <w:tc>
          <w:tcPr>
            <w:tcW w:w="550" w:type="dxa"/>
          </w:tcPr>
          <w:p>
            <w:pPr>
              <w:jc w:val="right"/>
              <w:spacing w:before="10" w:after="10"/>
            </w:pPr>
            <w:r/>
            <w:r>
              <w:rPr>
                <w:sz w:val="16"/>
              </w:rPr>
              <w:t>16.8</w:t>
            </w:r>
          </w:p>
        </w:tc>
        <w:tc>
          <w:tcPr>
            <w:tcW w:w="500" w:type="dxa"/>
          </w:tcPr>
          <w:p>
            <w:pPr>
              <w:jc w:val="right"/>
              <w:spacing w:before="10" w:after="10"/>
            </w:pPr>
            <w:r/>
            <w:r>
              <w:rPr>
                <w:sz w:val="16"/>
              </w:rPr>
              <w:t>1.11</w:t>
            </w:r>
          </w:p>
        </w:tc>
        <w:tc>
          <w:tcPr>
            <w:tcW w:w="600" w:type="dxa"/>
          </w:tcPr>
          <w:p>
            <w:pPr>
              <w:jc w:val="right"/>
              <w:spacing w:before="10" w:after="10"/>
            </w:pPr>
            <w:r/>
            <w:r>
              <w:rPr>
                <w:sz w:val="16"/>
              </w:rPr>
              <w:t>$7.32</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0.25</w:t>
            </w:r>
          </w:p>
        </w:tc>
        <w:tc>
          <w:tcPr>
            <w:tcW w:w="650" w:type="dxa"/>
          </w:tcPr>
          <w:p>
            <w:pPr>
              <w:jc w:val="right"/>
              <w:spacing w:before="10" w:after="10"/>
            </w:pPr>
            <w:r/>
            <w:r>
              <w:rPr>
                <w:sz w:val="16"/>
              </w:rPr>
              <w:t>$1.45</w:t>
            </w:r>
          </w:p>
        </w:tc>
        <w:tc>
          <w:tcPr>
            <w:tcW w:w="700" w:type="dxa"/>
          </w:tcPr>
          <w:p>
            <w:pPr>
              <w:jc w:val="right"/>
              <w:spacing w:before="10" w:after="10"/>
            </w:pPr>
            <w:r/>
            <w:r>
              <w:rPr>
                <w:sz w:val="16"/>
              </w:rPr>
              <w:t>$0.074</w:t>
            </w:r>
          </w:p>
        </w:tc>
      </w:tr>
      <w:tr>
        <w:tc>
          <w:tcPr>
            <w:tcW w:w="1500" w:type="dxa"/>
          </w:tcPr>
          <w:p>
            <w:pPr>
              <w:spacing w:before="10" w:after="10"/>
            </w:pPr>
            <w:r/>
            <w:r>
              <w:rPr>
                <w:sz w:val="16"/>
              </w:rPr>
              <w:t>Montenegro</w:t>
            </w:r>
          </w:p>
        </w:tc>
        <w:tc>
          <w:tcPr>
            <w:tcW w:w="650" w:type="dxa"/>
          </w:tcPr>
          <w:p>
            <w:pPr>
              <w:spacing w:before="10" w:after="10"/>
            </w:pPr>
            <w:r/>
            <w:r>
              <w:rPr>
                <w:sz w:val="16"/>
              </w:rPr>
              <w:t>$0.051</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00" w:type="dxa"/>
          </w:tcPr>
          <w:p>
            <w:pPr>
              <w:jc w:val="right"/>
              <w:spacing w:before="10" w:after="10"/>
            </w:pPr>
            <w:r/>
            <w:r>
              <w:rPr>
                <w:sz w:val="16"/>
              </w:rPr>
              <w:t>$10.28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0.65</w:t>
            </w:r>
          </w:p>
        </w:tc>
        <w:tc>
          <w:tcPr>
            <w:tcW w:w="650" w:type="dxa"/>
          </w:tcPr>
          <w:p>
            <w:pPr>
              <w:jc w:val="right"/>
              <w:spacing w:before="10" w:after="10"/>
            </w:pPr>
            <w:r/>
            <w:r>
              <w:rPr>
                <w:sz w:val="16"/>
              </w:rPr>
              <w:t>$1.45</w:t>
            </w:r>
          </w:p>
        </w:tc>
        <w:tc>
          <w:tcPr>
            <w:tcW w:w="700" w:type="dxa"/>
          </w:tcPr>
          <w:p>
            <w:pPr>
              <w:jc w:val="right"/>
              <w:spacing w:before="10" w:after="10"/>
            </w:pPr>
            <w:r/>
            <w:r>
              <w:rPr>
                <w:sz w:val="16"/>
              </w:rPr>
              <w:t>$0.051</w:t>
            </w:r>
          </w:p>
        </w:tc>
      </w:tr>
      <w:tr>
        <w:tc>
          <w:tcPr>
            <w:tcW w:w="1500" w:type="dxa"/>
          </w:tcPr>
          <w:p>
            <w:pPr>
              <w:spacing w:before="10" w:after="10"/>
            </w:pPr>
            <w:r/>
            <w:r>
              <w:rPr>
                <w:sz w:val="16"/>
              </w:rPr>
              <w:t>Colombia</w:t>
            </w:r>
          </w:p>
        </w:tc>
        <w:tc>
          <w:tcPr>
            <w:tcW w:w="650" w:type="dxa"/>
          </w:tcPr>
          <w:p>
            <w:pPr>
              <w:spacing w:before="10" w:after="10"/>
            </w:pPr>
            <w:r/>
            <w:r>
              <w:rPr>
                <w:sz w:val="16"/>
              </w:rPr>
              <w:t>$0.075</w:t>
            </w:r>
          </w:p>
        </w:tc>
        <w:tc>
          <w:tcPr>
            <w:tcW w:w="550" w:type="dxa"/>
          </w:tcPr>
          <w:p>
            <w:pPr>
              <w:jc w:val="right"/>
              <w:spacing w:before="10" w:after="10"/>
            </w:pPr>
            <w:r/>
            <w:r>
              <w:rPr>
                <w:sz w:val="16"/>
              </w:rPr>
              <w:t>25.5</w:t>
            </w:r>
          </w:p>
        </w:tc>
        <w:tc>
          <w:tcPr>
            <w:tcW w:w="500" w:type="dxa"/>
          </w:tcPr>
          <w:p>
            <w:pPr>
              <w:jc w:val="right"/>
              <w:spacing w:before="10" w:after="10"/>
            </w:pPr>
            <w:r/>
            <w:r>
              <w:rPr>
                <w:sz w:val="16"/>
              </w:rPr>
              <w:t>1.24</w:t>
            </w:r>
          </w:p>
        </w:tc>
        <w:tc>
          <w:tcPr>
            <w:tcW w:w="600" w:type="dxa"/>
          </w:tcPr>
          <w:p>
            <w:pPr>
              <w:jc w:val="right"/>
              <w:spacing w:before="10" w:after="10"/>
            </w:pPr>
            <w:r/>
            <w:r>
              <w:rPr>
                <w:sz w:val="16"/>
              </w:rPr>
              <w:t>$7.49</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450" w:type="dxa"/>
          </w:tcPr>
          <w:p>
            <w:pPr>
              <w:jc w:val="right"/>
              <w:spacing w:before="10" w:after="10"/>
            </w:pPr>
            <w:r/>
            <w:r>
              <w:rPr>
                <w:sz w:val="16"/>
              </w:rPr>
              <w:t>0.52</w:t>
            </w:r>
          </w:p>
        </w:tc>
        <w:tc>
          <w:tcPr>
            <w:tcW w:w="650" w:type="dxa"/>
          </w:tcPr>
          <w:p>
            <w:pPr>
              <w:jc w:val="right"/>
              <w:spacing w:before="10" w:after="10"/>
            </w:pPr>
            <w:r/>
            <w:r>
              <w:rPr>
                <w:sz w:val="16"/>
              </w:rPr>
              <w:t>$1.46</w:t>
            </w:r>
          </w:p>
        </w:tc>
        <w:tc>
          <w:tcPr>
            <w:tcW w:w="700" w:type="dxa"/>
          </w:tcPr>
          <w:p>
            <w:pPr>
              <w:jc w:val="right"/>
              <w:spacing w:before="10" w:after="10"/>
            </w:pPr>
            <w:r/>
            <w:r>
              <w:rPr>
                <w:sz w:val="16"/>
              </w:rPr>
              <w:t>$0.075</w:t>
            </w:r>
          </w:p>
        </w:tc>
      </w:tr>
      <w:tr>
        <w:tc>
          <w:tcPr>
            <w:tcW w:w="1500" w:type="dxa"/>
          </w:tcPr>
          <w:p>
            <w:pPr>
              <w:spacing w:before="10" w:after="10"/>
            </w:pPr>
            <w:r/>
            <w:r>
              <w:rPr>
                <w:sz w:val="16"/>
              </w:rPr>
              <w:t>Ukraine</w:t>
            </w:r>
          </w:p>
        </w:tc>
        <w:tc>
          <w:tcPr>
            <w:tcW w:w="650" w:type="dxa"/>
          </w:tcPr>
          <w:p>
            <w:pPr>
              <w:spacing w:before="10" w:after="10"/>
            </w:pPr>
            <w:r/>
            <w:r>
              <w:rPr>
                <w:sz w:val="16"/>
              </w:rPr>
              <w:t>$0.057</w:t>
            </w:r>
          </w:p>
        </w:tc>
        <w:tc>
          <w:tcPr>
            <w:tcW w:w="550" w:type="dxa"/>
          </w:tcPr>
          <w:p>
            <w:pPr>
              <w:jc w:val="right"/>
              <w:spacing w:before="10" w:after="10"/>
            </w:pPr>
            <w:r/>
            <w:r>
              <w:rPr>
                <w:sz w:val="16"/>
              </w:rPr>
              <w:t>22.5</w:t>
            </w:r>
          </w:p>
        </w:tc>
        <w:tc>
          <w:tcPr>
            <w:tcW w:w="500" w:type="dxa"/>
          </w:tcPr>
          <w:p>
            <w:pPr>
              <w:jc w:val="right"/>
              <w:spacing w:before="10" w:after="10"/>
            </w:pPr>
            <w:r/>
            <w:r>
              <w:rPr>
                <w:sz w:val="16"/>
              </w:rPr>
              <w:t>1.19</w:t>
            </w:r>
          </w:p>
        </w:tc>
        <w:tc>
          <w:tcPr>
            <w:tcW w:w="600" w:type="dxa"/>
          </w:tcPr>
          <w:p>
            <w:pPr>
              <w:jc w:val="right"/>
              <w:spacing w:before="10" w:after="10"/>
            </w:pPr>
            <w:r/>
            <w:r>
              <w:rPr>
                <w:sz w:val="16"/>
              </w:rPr>
              <w:t>$9.86</w:t>
            </w:r>
          </w:p>
        </w:tc>
        <w:tc>
          <w:tcPr>
            <w:tcW w:w="650" w:type="dxa"/>
          </w:tcPr>
          <w:p>
            <w:pPr>
              <w:jc w:val="right"/>
              <w:spacing w:before="10" w:after="10"/>
            </w:pPr>
            <w:r/>
            <w:r>
              <w:rPr>
                <w:sz w:val="16"/>
              </w:rPr>
              <w:t>175</w:t>
            </w:r>
          </w:p>
        </w:tc>
        <w:tc>
          <w:tcPr>
            <w:tcW w:w="550" w:type="dxa"/>
          </w:tcPr>
          <w:p>
            <w:pPr>
              <w:jc w:val="right"/>
              <w:spacing w:before="10" w:after="10"/>
            </w:pPr>
            <w:r/>
            <w:r>
              <w:rPr>
                <w:sz w:val="16"/>
              </w:rPr>
              <w:t>0.1</w:t>
            </w:r>
          </w:p>
        </w:tc>
        <w:tc>
          <w:tcPr>
            <w:tcW w:w="450" w:type="dxa"/>
          </w:tcPr>
          <w:p>
            <w:pPr>
              <w:jc w:val="right"/>
              <w:spacing w:before="10" w:after="10"/>
            </w:pPr>
            <w:r/>
            <w:r>
              <w:rPr>
                <w:sz w:val="16"/>
              </w:rPr>
              <w:t>0.39</w:t>
            </w:r>
          </w:p>
        </w:tc>
        <w:tc>
          <w:tcPr>
            <w:tcW w:w="650" w:type="dxa"/>
          </w:tcPr>
          <w:p>
            <w:pPr>
              <w:jc w:val="right"/>
              <w:spacing w:before="10" w:after="10"/>
            </w:pPr>
            <w:r/>
            <w:r>
              <w:rPr>
                <w:sz w:val="16"/>
              </w:rPr>
              <w:t>$1.46</w:t>
            </w:r>
          </w:p>
        </w:tc>
        <w:tc>
          <w:tcPr>
            <w:tcW w:w="700" w:type="dxa"/>
          </w:tcPr>
          <w:p>
            <w:pPr>
              <w:jc w:val="right"/>
              <w:spacing w:before="10" w:after="10"/>
            </w:pPr>
            <w:r/>
            <w:r>
              <w:rPr>
                <w:sz w:val="16"/>
              </w:rPr>
              <w:t>$0.057</w:t>
            </w:r>
          </w:p>
        </w:tc>
      </w:tr>
      <w:tr>
        <w:tc>
          <w:tcPr>
            <w:tcW w:w="1500" w:type="dxa"/>
          </w:tcPr>
          <w:p>
            <w:pPr>
              <w:spacing w:before="10" w:after="10"/>
            </w:pPr>
            <w:r/>
            <w:r>
              <w:rPr>
                <w:sz w:val="16"/>
              </w:rPr>
              <w:t>Argentina</w:t>
            </w:r>
          </w:p>
        </w:tc>
        <w:tc>
          <w:tcPr>
            <w:tcW w:w="650" w:type="dxa"/>
          </w:tcPr>
          <w:p>
            <w:pPr>
              <w:spacing w:before="10" w:after="10"/>
            </w:pPr>
            <w:r/>
            <w:r>
              <w:rPr>
                <w:sz w:val="16"/>
              </w:rPr>
              <w:t>$0.060</w:t>
            </w:r>
          </w:p>
        </w:tc>
        <w:tc>
          <w:tcPr>
            <w:tcW w:w="550" w:type="dxa"/>
          </w:tcPr>
          <w:p>
            <w:pPr>
              <w:jc w:val="right"/>
              <w:spacing w:before="10" w:after="10"/>
            </w:pPr>
            <w:r/>
            <w:r>
              <w:rPr>
                <w:sz w:val="16"/>
              </w:rPr>
              <w:t>22.3</w:t>
            </w:r>
          </w:p>
        </w:tc>
        <w:tc>
          <w:tcPr>
            <w:tcW w:w="500" w:type="dxa"/>
          </w:tcPr>
          <w:p>
            <w:pPr>
              <w:jc w:val="right"/>
              <w:spacing w:before="10" w:after="10"/>
            </w:pPr>
            <w:r/>
            <w:r>
              <w:rPr>
                <w:sz w:val="16"/>
              </w:rPr>
              <w:t>1.19</w:t>
            </w:r>
          </w:p>
        </w:tc>
        <w:tc>
          <w:tcPr>
            <w:tcW w:w="600" w:type="dxa"/>
          </w:tcPr>
          <w:p>
            <w:pPr>
              <w:jc w:val="right"/>
              <w:spacing w:before="10" w:after="10"/>
            </w:pPr>
            <w:r/>
            <w:r>
              <w:rPr>
                <w:sz w:val="16"/>
              </w:rPr>
              <w:t>$10.10</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450" w:type="dxa"/>
          </w:tcPr>
          <w:p>
            <w:pPr>
              <w:jc w:val="right"/>
              <w:spacing w:before="10" w:after="10"/>
            </w:pPr>
            <w:r/>
            <w:r>
              <w:rPr>
                <w:sz w:val="16"/>
              </w:rPr>
              <w:t>0.53</w:t>
            </w:r>
          </w:p>
        </w:tc>
        <w:tc>
          <w:tcPr>
            <w:tcW w:w="650" w:type="dxa"/>
          </w:tcPr>
          <w:p>
            <w:pPr>
              <w:jc w:val="right"/>
              <w:spacing w:before="10" w:after="10"/>
            </w:pPr>
            <w:r/>
            <w:r>
              <w:rPr>
                <w:sz w:val="16"/>
              </w:rPr>
              <w:t>$1.46</w:t>
            </w:r>
          </w:p>
        </w:tc>
        <w:tc>
          <w:tcPr>
            <w:tcW w:w="700" w:type="dxa"/>
          </w:tcPr>
          <w:p>
            <w:pPr>
              <w:jc w:val="right"/>
              <w:spacing w:before="10" w:after="10"/>
            </w:pPr>
            <w:r/>
            <w:r>
              <w:rPr>
                <w:sz w:val="16"/>
              </w:rPr>
              <w:t>$0.060</w:t>
            </w:r>
          </w:p>
        </w:tc>
      </w:tr>
      <w:tr>
        <w:tc>
          <w:tcPr>
            <w:tcW w:w="1500" w:type="dxa"/>
          </w:tcPr>
          <w:p>
            <w:pPr>
              <w:spacing w:before="10" w:after="10"/>
            </w:pPr>
            <w:r/>
            <w:r>
              <w:rPr>
                <w:sz w:val="16"/>
              </w:rPr>
              <w:t>Azerbaijan</w:t>
            </w:r>
          </w:p>
        </w:tc>
        <w:tc>
          <w:tcPr>
            <w:tcW w:w="650" w:type="dxa"/>
          </w:tcPr>
          <w:p>
            <w:pPr>
              <w:spacing w:before="10" w:after="10"/>
            </w:pPr>
            <w:r/>
            <w:r>
              <w:rPr>
                <w:sz w:val="16"/>
              </w:rPr>
              <w:t>$0.062</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00" w:type="dxa"/>
          </w:tcPr>
          <w:p>
            <w:pPr>
              <w:jc w:val="right"/>
              <w:spacing w:before="10" w:after="10"/>
            </w:pPr>
            <w:r/>
            <w:r>
              <w:rPr>
                <w:sz w:val="16"/>
              </w:rPr>
              <w:t>$9.77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0.45</w:t>
            </w:r>
          </w:p>
        </w:tc>
        <w:tc>
          <w:tcPr>
            <w:tcW w:w="650" w:type="dxa"/>
          </w:tcPr>
          <w:p>
            <w:pPr>
              <w:jc w:val="right"/>
              <w:spacing w:before="10" w:after="10"/>
            </w:pPr>
            <w:r/>
            <w:r>
              <w:rPr>
                <w:sz w:val="16"/>
              </w:rPr>
              <w:t>$1.46</w:t>
            </w:r>
          </w:p>
        </w:tc>
        <w:tc>
          <w:tcPr>
            <w:tcW w:w="700" w:type="dxa"/>
          </w:tcPr>
          <w:p>
            <w:pPr>
              <w:jc w:val="right"/>
              <w:spacing w:before="10" w:after="10"/>
            </w:pPr>
            <w:r/>
            <w:r>
              <w:rPr>
                <w:sz w:val="16"/>
              </w:rPr>
              <w:t>$0.062</w:t>
            </w:r>
          </w:p>
        </w:tc>
      </w:tr>
      <w:tr>
        <w:tc>
          <w:tcPr>
            <w:tcW w:w="1500" w:type="dxa"/>
          </w:tcPr>
          <w:p>
            <w:pPr>
              <w:spacing w:before="10" w:after="10"/>
            </w:pPr>
            <w:r/>
            <w:r>
              <w:rPr>
                <w:sz w:val="16"/>
              </w:rPr>
              <w:t>Algeria</w:t>
            </w:r>
          </w:p>
        </w:tc>
        <w:tc>
          <w:tcPr>
            <w:tcW w:w="650" w:type="dxa"/>
          </w:tcPr>
          <w:p>
            <w:pPr>
              <w:spacing w:before="10" w:after="10"/>
            </w:pPr>
            <w:r/>
            <w:r>
              <w:rPr>
                <w:sz w:val="16"/>
              </w:rPr>
              <w:t>$0.033</w:t>
            </w:r>
          </w:p>
        </w:tc>
        <w:tc>
          <w:tcPr>
            <w:tcW w:w="550" w:type="dxa"/>
          </w:tcPr>
          <w:p>
            <w:pPr>
              <w:jc w:val="right"/>
              <w:spacing w:before="10" w:after="10"/>
            </w:pPr>
            <w:r/>
            <w:r>
              <w:rPr>
                <w:sz w:val="16"/>
              </w:rPr>
              <w:t>35.8</w:t>
            </w:r>
          </w:p>
        </w:tc>
        <w:tc>
          <w:tcPr>
            <w:tcW w:w="500" w:type="dxa"/>
          </w:tcPr>
          <w:p>
            <w:pPr>
              <w:jc w:val="right"/>
              <w:spacing w:before="10" w:after="10"/>
            </w:pPr>
            <w:r/>
            <w:r>
              <w:rPr>
                <w:sz w:val="16"/>
              </w:rPr>
              <w:t>1.39</w:t>
            </w:r>
          </w:p>
        </w:tc>
        <w:tc>
          <w:tcPr>
            <w:tcW w:w="600" w:type="dxa"/>
          </w:tcPr>
          <w:p>
            <w:pPr>
              <w:jc w:val="right"/>
              <w:spacing w:before="10" w:after="10"/>
            </w:pPr>
            <w:r/>
            <w:r>
              <w:rPr>
                <w:sz w:val="16"/>
              </w:rPr>
              <w:t>$8.48</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450" w:type="dxa"/>
          </w:tcPr>
          <w:p>
            <w:pPr>
              <w:jc w:val="right"/>
              <w:spacing w:before="10" w:after="10"/>
            </w:pPr>
            <w:r/>
            <w:r>
              <w:rPr>
                <w:sz w:val="16"/>
              </w:rPr>
              <w:t>0.43</w:t>
            </w:r>
          </w:p>
        </w:tc>
        <w:tc>
          <w:tcPr>
            <w:tcW w:w="650" w:type="dxa"/>
          </w:tcPr>
          <w:p>
            <w:pPr>
              <w:jc w:val="right"/>
              <w:spacing w:before="10" w:after="10"/>
            </w:pPr>
            <w:r/>
            <w:r>
              <w:rPr>
                <w:sz w:val="16"/>
              </w:rPr>
              <w:t>$1.44</w:t>
            </w:r>
          </w:p>
        </w:tc>
        <w:tc>
          <w:tcPr>
            <w:tcW w:w="700" w:type="dxa"/>
          </w:tcPr>
          <w:p>
            <w:pPr>
              <w:jc w:val="right"/>
              <w:spacing w:before="10" w:after="10"/>
            </w:pPr>
            <w:r>
              <w:rPr>
                <w:b/>
              </w:rPr>
            </w:r>
            <w:r>
              <w:rPr>
                <w:sz w:val="16"/>
                <w:b/>
              </w:rPr>
              <w:t>$0.065</w:t>
            </w:r>
          </w:p>
        </w:tc>
      </w:tr>
      <w:tr>
        <w:tc>
          <w:tcPr>
            <w:tcW w:w="1500" w:type="dxa"/>
          </w:tcPr>
          <w:p>
            <w:pPr>
              <w:spacing w:before="10" w:after="10"/>
            </w:pPr>
            <w:r/>
            <w:r>
              <w:rPr>
                <w:sz w:val="16"/>
              </w:rPr>
              <w:t>Russia</w:t>
            </w:r>
          </w:p>
        </w:tc>
        <w:tc>
          <w:tcPr>
            <w:tcW w:w="650" w:type="dxa"/>
          </w:tcPr>
          <w:p>
            <w:pPr>
              <w:spacing w:before="10" w:after="10"/>
            </w:pPr>
            <w:r/>
            <w:r>
              <w:rPr>
                <w:sz w:val="16"/>
              </w:rPr>
              <w:t>$0.040</w:t>
            </w:r>
          </w:p>
        </w:tc>
        <w:tc>
          <w:tcPr>
            <w:tcW w:w="550" w:type="dxa"/>
          </w:tcPr>
          <w:p>
            <w:pPr>
              <w:jc w:val="right"/>
              <w:spacing w:before="10" w:after="10"/>
            </w:pPr>
            <w:r/>
            <w:r>
              <w:rPr>
                <w:sz w:val="16"/>
              </w:rPr>
              <w:t>16.9</w:t>
            </w:r>
          </w:p>
        </w:tc>
        <w:tc>
          <w:tcPr>
            <w:tcW w:w="500" w:type="dxa"/>
          </w:tcPr>
          <w:p>
            <w:pPr>
              <w:jc w:val="right"/>
              <w:spacing w:before="10" w:after="10"/>
            </w:pPr>
            <w:r/>
            <w:r>
              <w:rPr>
                <w:sz w:val="16"/>
              </w:rPr>
              <w:t>1.11</w:t>
            </w:r>
          </w:p>
        </w:tc>
        <w:tc>
          <w:tcPr>
            <w:tcW w:w="600" w:type="dxa"/>
          </w:tcPr>
          <w:p>
            <w:pPr>
              <w:jc w:val="right"/>
              <w:spacing w:before="10" w:after="10"/>
            </w:pPr>
            <w:r/>
            <w:r>
              <w:rPr>
                <w:sz w:val="16"/>
              </w:rPr>
              <w:t>$10.36</w:t>
            </w:r>
          </w:p>
        </w:tc>
        <w:tc>
          <w:tcPr>
            <w:tcW w:w="650" w:type="dxa"/>
          </w:tcPr>
          <w:p>
            <w:pPr>
              <w:jc w:val="right"/>
              <w:spacing w:before="10" w:after="10"/>
            </w:pPr>
            <w:r/>
            <w:r>
              <w:rPr>
                <w:sz w:val="16"/>
              </w:rPr>
              <w:t>2,000</w:t>
            </w:r>
          </w:p>
        </w:tc>
        <w:tc>
          <w:tcPr>
            <w:tcW w:w="550" w:type="dxa"/>
          </w:tcPr>
          <w:p>
            <w:pPr>
              <w:jc w:val="right"/>
              <w:spacing w:before="10" w:after="10"/>
            </w:pPr>
            <w:r/>
            <w:r>
              <w:rPr>
                <w:sz w:val="16"/>
              </w:rPr>
              <w:t>1.6</w:t>
            </w:r>
          </w:p>
        </w:tc>
        <w:tc>
          <w:tcPr>
            <w:tcW w:w="450" w:type="dxa"/>
          </w:tcPr>
          <w:p>
            <w:pPr>
              <w:jc w:val="right"/>
              <w:spacing w:before="10" w:after="10"/>
            </w:pPr>
            <w:r/>
            <w:r>
              <w:rPr>
                <w:sz w:val="16"/>
              </w:rPr>
              <w:t>0.32</w:t>
            </w:r>
          </w:p>
        </w:tc>
        <w:tc>
          <w:tcPr>
            <w:tcW w:w="650" w:type="dxa"/>
          </w:tcPr>
          <w:p>
            <w:pPr>
              <w:jc w:val="right"/>
              <w:spacing w:before="10" w:after="10"/>
            </w:pPr>
            <w:r/>
            <w:r>
              <w:rPr>
                <w:sz w:val="16"/>
              </w:rPr>
              <w:t>$1.44</w:t>
            </w:r>
          </w:p>
        </w:tc>
        <w:tc>
          <w:tcPr>
            <w:tcW w:w="700" w:type="dxa"/>
          </w:tcPr>
          <w:p>
            <w:pPr>
              <w:jc w:val="right"/>
              <w:spacing w:before="10" w:after="10"/>
            </w:pPr>
            <w:r>
              <w:rPr>
                <w:b/>
              </w:rPr>
            </w:r>
            <w:r>
              <w:rPr>
                <w:sz w:val="16"/>
                <w:b/>
              </w:rPr>
              <w:t>$0.065</w:t>
            </w:r>
          </w:p>
        </w:tc>
      </w:tr>
      <w:tr>
        <w:tc>
          <w:tcPr>
            <w:tcW w:w="1500" w:type="dxa"/>
          </w:tcPr>
          <w:p>
            <w:pPr>
              <w:spacing w:before="10" w:after="10"/>
            </w:pPr>
            <w:r/>
            <w:r>
              <w:rPr>
                <w:sz w:val="16"/>
              </w:rPr>
              <w:t>Vietnam</w:t>
            </w:r>
          </w:p>
        </w:tc>
        <w:tc>
          <w:tcPr>
            <w:tcW w:w="650" w:type="dxa"/>
          </w:tcPr>
          <w:p>
            <w:pPr>
              <w:spacing w:before="10" w:after="10"/>
            </w:pPr>
            <w:r/>
            <w:r>
              <w:rPr>
                <w:sz w:val="16"/>
              </w:rPr>
              <w:t>$0.073</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00" w:type="dxa"/>
          </w:tcPr>
          <w:p>
            <w:pPr>
              <w:jc w:val="right"/>
              <w:spacing w:before="10" w:after="10"/>
            </w:pPr>
            <w:r/>
            <w:r>
              <w:rPr>
                <w:sz w:val="16"/>
              </w:rPr>
              <w:t>$8.76</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0.65</w:t>
            </w:r>
          </w:p>
        </w:tc>
        <w:tc>
          <w:tcPr>
            <w:tcW w:w="650" w:type="dxa"/>
          </w:tcPr>
          <w:p>
            <w:pPr>
              <w:jc w:val="right"/>
              <w:spacing w:before="10" w:after="10"/>
            </w:pPr>
            <w:r/>
            <w:r>
              <w:rPr>
                <w:sz w:val="16"/>
              </w:rPr>
              <w:t>$1.47</w:t>
            </w:r>
          </w:p>
        </w:tc>
        <w:tc>
          <w:tcPr>
            <w:tcW w:w="700" w:type="dxa"/>
          </w:tcPr>
          <w:p>
            <w:pPr>
              <w:jc w:val="right"/>
              <w:spacing w:before="10" w:after="10"/>
            </w:pPr>
            <w:r/>
            <w:r>
              <w:rPr>
                <w:sz w:val="16"/>
              </w:rPr>
              <w:t>$0.073</w:t>
            </w:r>
          </w:p>
        </w:tc>
      </w:tr>
      <w:tr>
        <w:tc>
          <w:tcPr>
            <w:tcW w:w="1500" w:type="dxa"/>
          </w:tcPr>
          <w:p>
            <w:pPr>
              <w:spacing w:before="10" w:after="10"/>
            </w:pPr>
            <w:r/>
            <w:r>
              <w:rPr>
                <w:sz w:val="16"/>
              </w:rPr>
              <w:t>Egypt</w:t>
            </w:r>
          </w:p>
        </w:tc>
        <w:tc>
          <w:tcPr>
            <w:tcW w:w="650" w:type="dxa"/>
          </w:tcPr>
          <w:p>
            <w:pPr>
              <w:spacing w:before="10" w:after="10"/>
            </w:pPr>
            <w:r/>
            <w:r>
              <w:rPr>
                <w:sz w:val="16"/>
              </w:rPr>
              <w:t>$0.038</w:t>
            </w:r>
          </w:p>
        </w:tc>
        <w:tc>
          <w:tcPr>
            <w:tcW w:w="550" w:type="dxa"/>
          </w:tcPr>
          <w:p>
            <w:pPr>
              <w:jc w:val="right"/>
              <w:spacing w:before="10" w:after="10"/>
            </w:pPr>
            <w:r/>
            <w:r>
              <w:rPr>
                <w:sz w:val="16"/>
              </w:rPr>
              <w:t>31.7</w:t>
            </w:r>
          </w:p>
        </w:tc>
        <w:tc>
          <w:tcPr>
            <w:tcW w:w="500" w:type="dxa"/>
          </w:tcPr>
          <w:p>
            <w:pPr>
              <w:jc w:val="right"/>
              <w:spacing w:before="10" w:after="10"/>
            </w:pPr>
            <w:r/>
            <w:r>
              <w:rPr>
                <w:sz w:val="16"/>
              </w:rPr>
              <w:t>1.33</w:t>
            </w:r>
          </w:p>
        </w:tc>
        <w:tc>
          <w:tcPr>
            <w:tcW w:w="600" w:type="dxa"/>
          </w:tcPr>
          <w:p>
            <w:pPr>
              <w:jc w:val="right"/>
              <w:spacing w:before="10" w:after="10"/>
            </w:pPr>
            <w:r/>
            <w:r>
              <w:rPr>
                <w:sz w:val="16"/>
              </w:rPr>
              <w:t>$7.63</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450" w:type="dxa"/>
          </w:tcPr>
          <w:p>
            <w:pPr>
              <w:jc w:val="right"/>
              <w:spacing w:before="10" w:after="10"/>
            </w:pPr>
            <w:r/>
            <w:r>
              <w:rPr>
                <w:sz w:val="16"/>
              </w:rPr>
              <w:t>0.56</w:t>
            </w:r>
          </w:p>
        </w:tc>
        <w:tc>
          <w:tcPr>
            <w:tcW w:w="650" w:type="dxa"/>
          </w:tcPr>
          <w:p>
            <w:pPr>
              <w:jc w:val="right"/>
              <w:spacing w:before="10" w:after="10"/>
            </w:pPr>
            <w:r/>
            <w:r>
              <w:rPr>
                <w:sz w:val="16"/>
              </w:rPr>
              <w:t>$1.43</w:t>
            </w:r>
          </w:p>
        </w:tc>
        <w:tc>
          <w:tcPr>
            <w:tcW w:w="700" w:type="dxa"/>
          </w:tcPr>
          <w:p>
            <w:pPr>
              <w:jc w:val="right"/>
              <w:spacing w:before="10" w:after="10"/>
            </w:pPr>
            <w:r>
              <w:rPr>
                <w:b/>
              </w:rPr>
            </w:r>
            <w:r>
              <w:rPr>
                <w:sz w:val="16"/>
                <w:b/>
              </w:rPr>
              <w:t>$0.080</w:t>
            </w:r>
          </w:p>
        </w:tc>
      </w:tr>
      <w:tr>
        <w:tc>
          <w:tcPr>
            <w:tcW w:w="1500" w:type="dxa"/>
          </w:tcPr>
          <w:p>
            <w:pPr>
              <w:spacing w:before="10" w:after="10"/>
            </w:pPr>
            <w:r/>
            <w:r>
              <w:rPr>
                <w:sz w:val="16"/>
              </w:rPr>
              <w:t>India</w:t>
            </w:r>
          </w:p>
        </w:tc>
        <w:tc>
          <w:tcPr>
            <w:tcW w:w="650" w:type="dxa"/>
          </w:tcPr>
          <w:p>
            <w:pPr>
              <w:spacing w:before="10" w:after="10"/>
            </w:pPr>
            <w:r/>
            <w:r>
              <w:rPr>
                <w:sz w:val="16"/>
              </w:rPr>
              <w:t>$0.090</w:t>
            </w:r>
          </w:p>
        </w:tc>
        <w:tc>
          <w:tcPr>
            <w:tcW w:w="550" w:type="dxa"/>
          </w:tcPr>
          <w:p>
            <w:pPr>
              <w:jc w:val="right"/>
              <w:spacing w:before="10" w:after="10"/>
            </w:pPr>
            <w:r/>
            <w:r>
              <w:rPr>
                <w:sz w:val="16"/>
              </w:rPr>
              <w:t>30.2</w:t>
            </w:r>
          </w:p>
        </w:tc>
        <w:tc>
          <w:tcPr>
            <w:tcW w:w="500" w:type="dxa"/>
          </w:tcPr>
          <w:p>
            <w:pPr>
              <w:jc w:val="right"/>
              <w:spacing w:before="10" w:after="10"/>
            </w:pPr>
            <w:r/>
            <w:r>
              <w:rPr>
                <w:sz w:val="16"/>
              </w:rPr>
              <w:t>1.31</w:t>
            </w:r>
          </w:p>
        </w:tc>
        <w:tc>
          <w:tcPr>
            <w:tcW w:w="600" w:type="dxa"/>
          </w:tcPr>
          <w:p>
            <w:pPr>
              <w:jc w:val="right"/>
              <w:spacing w:before="10" w:after="10"/>
            </w:pPr>
            <w:r/>
            <w:r>
              <w:rPr>
                <w:sz w:val="16"/>
              </w:rPr>
              <w:t>$6.64</w:t>
            </w:r>
          </w:p>
        </w:tc>
        <w:tc>
          <w:tcPr>
            <w:tcW w:w="650" w:type="dxa"/>
          </w:tcPr>
          <w:p>
            <w:pPr>
              <w:jc w:val="right"/>
              <w:spacing w:before="10" w:after="10"/>
            </w:pPr>
            <w:r/>
            <w:r>
              <w:rPr>
                <w:sz w:val="16"/>
              </w:rPr>
              <w:t>3,600</w:t>
            </w:r>
          </w:p>
        </w:tc>
        <w:tc>
          <w:tcPr>
            <w:tcW w:w="550" w:type="dxa"/>
          </w:tcPr>
          <w:p>
            <w:pPr>
              <w:jc w:val="right"/>
              <w:spacing w:before="10" w:after="10"/>
            </w:pPr>
            <w:r/>
            <w:r>
              <w:rPr>
                <w:sz w:val="16"/>
              </w:rPr>
              <w:t>2.9</w:t>
            </w:r>
          </w:p>
        </w:tc>
        <w:tc>
          <w:tcPr>
            <w:tcW w:w="450" w:type="dxa"/>
          </w:tcPr>
          <w:p>
            <w:pPr>
              <w:jc w:val="right"/>
              <w:spacing w:before="10" w:after="10"/>
            </w:pPr>
            <w:r/>
            <w:r>
              <w:rPr>
                <w:sz w:val="16"/>
              </w:rPr>
              <w:t>0.63</w:t>
            </w:r>
          </w:p>
        </w:tc>
        <w:tc>
          <w:tcPr>
            <w:tcW w:w="650" w:type="dxa"/>
          </w:tcPr>
          <w:p>
            <w:pPr>
              <w:jc w:val="right"/>
              <w:spacing w:before="10" w:after="10"/>
            </w:pPr>
            <w:r/>
            <w:r>
              <w:rPr>
                <w:sz w:val="16"/>
              </w:rPr>
              <w:t>$1.48</w:t>
            </w:r>
          </w:p>
        </w:tc>
        <w:tc>
          <w:tcPr>
            <w:tcW w:w="700" w:type="dxa"/>
          </w:tcPr>
          <w:p>
            <w:pPr>
              <w:jc w:val="right"/>
              <w:spacing w:before="10" w:after="10"/>
            </w:pPr>
            <w:r/>
            <w:r>
              <w:rPr>
                <w:sz w:val="16"/>
              </w:rPr>
              <w:t>$0.090</w:t>
            </w:r>
          </w:p>
        </w:tc>
      </w:tr>
      <w:tr>
        <w:tc>
          <w:tcPr>
            <w:tcW w:w="1500" w:type="dxa"/>
          </w:tcPr>
          <w:p>
            <w:pPr>
              <w:spacing w:before="10" w:after="10"/>
            </w:pPr>
            <w:r/>
            <w:r>
              <w:rPr>
                <w:sz w:val="16"/>
              </w:rPr>
              <w:t>Norway</w:t>
            </w:r>
          </w:p>
        </w:tc>
        <w:tc>
          <w:tcPr>
            <w:tcW w:w="650" w:type="dxa"/>
          </w:tcPr>
          <w:p>
            <w:pPr>
              <w:spacing w:before="10" w:after="10"/>
            </w:pPr>
            <w:r/>
            <w:r>
              <w:rPr>
                <w:sz w:val="16"/>
              </w:rPr>
              <w:t>$0.054</w:t>
            </w:r>
          </w:p>
        </w:tc>
        <w:tc>
          <w:tcPr>
            <w:tcW w:w="550" w:type="dxa"/>
          </w:tcPr>
          <w:p>
            <w:pPr>
              <w:jc w:val="right"/>
              <w:spacing w:before="10" w:after="10"/>
            </w:pPr>
            <w:r/>
            <w:r>
              <w:rPr>
                <w:sz w:val="16"/>
              </w:rPr>
              <w:t>14.5</w:t>
            </w:r>
          </w:p>
        </w:tc>
        <w:tc>
          <w:tcPr>
            <w:tcW w:w="500" w:type="dxa"/>
          </w:tcPr>
          <w:p>
            <w:pPr>
              <w:jc w:val="right"/>
              <w:spacing w:before="10" w:after="10"/>
            </w:pPr>
            <w:r/>
            <w:r>
              <w:rPr>
                <w:sz w:val="16"/>
              </w:rPr>
              <w:t>1.08</w:t>
            </w:r>
          </w:p>
        </w:tc>
        <w:tc>
          <w:tcPr>
            <w:tcW w:w="600" w:type="dxa"/>
          </w:tcPr>
          <w:p>
            <w:pPr>
              <w:jc w:val="right"/>
              <w:spacing w:before="10" w:after="10"/>
            </w:pPr>
            <w:r/>
            <w:r>
              <w:rPr>
                <w:sz w:val="16"/>
              </w:rPr>
              <w:t>$12.41</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450" w:type="dxa"/>
          </w:tcPr>
          <w:p>
            <w:pPr>
              <w:jc w:val="right"/>
              <w:spacing w:before="10" w:after="10"/>
            </w:pPr>
            <w:r/>
            <w:r>
              <w:rPr>
                <w:sz w:val="16"/>
              </w:rPr>
              <w:t>1.00</w:t>
            </w:r>
          </w:p>
        </w:tc>
        <w:tc>
          <w:tcPr>
            <w:tcW w:w="650" w:type="dxa"/>
          </w:tcPr>
          <w:p>
            <w:pPr>
              <w:jc w:val="right"/>
              <w:spacing w:before="10" w:after="10"/>
            </w:pPr>
            <w:r/>
            <w:r>
              <w:rPr>
                <w:sz w:val="16"/>
              </w:rPr>
              <w:t>$1.47</w:t>
            </w:r>
          </w:p>
        </w:tc>
        <w:tc>
          <w:tcPr>
            <w:tcW w:w="700" w:type="dxa"/>
          </w:tcPr>
          <w:p>
            <w:pPr>
              <w:jc w:val="right"/>
              <w:spacing w:before="10" w:after="10"/>
            </w:pPr>
            <w:r/>
            <w:r>
              <w:rPr>
                <w:sz w:val="16"/>
              </w:rPr>
              <w:t>$0.054</w:t>
            </w:r>
          </w:p>
        </w:tc>
      </w:tr>
      <w:tr>
        <w:tc>
          <w:tcPr>
            <w:tcW w:w="1500" w:type="dxa"/>
          </w:tcPr>
          <w:p>
            <w:pPr>
              <w:spacing w:before="10" w:after="10"/>
            </w:pPr>
            <w:r/>
            <w:r>
              <w:rPr>
                <w:sz w:val="16"/>
              </w:rPr>
              <w:t>Turkmenistan</w:t>
            </w:r>
          </w:p>
        </w:tc>
        <w:tc>
          <w:tcPr>
            <w:tcW w:w="650" w:type="dxa"/>
          </w:tcPr>
          <w:p>
            <w:pPr>
              <w:spacing w:before="10" w:after="10"/>
            </w:pPr>
            <w:r/>
            <w:r>
              <w:rPr>
                <w:sz w:val="16"/>
              </w:rPr>
              <w:t>$0.010</w:t>
            </w:r>
          </w:p>
        </w:tc>
        <w:tc>
          <w:tcPr>
            <w:tcW w:w="550" w:type="dxa"/>
          </w:tcPr>
          <w:p>
            <w:pPr>
              <w:jc w:val="right"/>
              <w:spacing w:before="10" w:after="10"/>
            </w:pPr>
            <w:r/>
            <w:r>
              <w:rPr>
                <w:sz w:val="16"/>
              </w:rPr>
              <w:t>32.2</w:t>
            </w:r>
          </w:p>
        </w:tc>
        <w:tc>
          <w:tcPr>
            <w:tcW w:w="500" w:type="dxa"/>
          </w:tcPr>
          <w:p>
            <w:pPr>
              <w:jc w:val="right"/>
              <w:spacing w:before="10" w:after="10"/>
            </w:pPr>
            <w:r/>
            <w:r>
              <w:rPr>
                <w:sz w:val="16"/>
              </w:rPr>
              <w:t>1.34</w:t>
            </w:r>
          </w:p>
        </w:tc>
        <w:tc>
          <w:tcPr>
            <w:tcW w:w="600" w:type="dxa"/>
          </w:tcPr>
          <w:p>
            <w:pPr>
              <w:jc w:val="right"/>
              <w:spacing w:before="10" w:after="10"/>
            </w:pPr>
            <w:r/>
            <w:r>
              <w:rPr>
                <w:sz w:val="16"/>
              </w:rPr>
              <w:t>$9.24</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0.22</w:t>
            </w:r>
          </w:p>
        </w:tc>
        <w:tc>
          <w:tcPr>
            <w:tcW w:w="650" w:type="dxa"/>
          </w:tcPr>
          <w:p>
            <w:pPr>
              <w:jc w:val="right"/>
              <w:spacing w:before="10" w:after="10"/>
            </w:pPr>
            <w:r/>
            <w:r>
              <w:rPr>
                <w:sz w:val="16"/>
              </w:rPr>
              <w:t>$1.42</w:t>
            </w:r>
          </w:p>
        </w:tc>
        <w:tc>
          <w:tcPr>
            <w:tcW w:w="700" w:type="dxa"/>
          </w:tcPr>
          <w:p>
            <w:pPr>
              <w:jc w:val="right"/>
              <w:spacing w:before="10" w:after="10"/>
            </w:pPr>
            <w:r>
              <w:rPr>
                <w:b/>
              </w:rPr>
            </w:r>
            <w:r>
              <w:rPr>
                <w:sz w:val="16"/>
                <w:b/>
              </w:rPr>
              <w:t>$0.070</w:t>
            </w:r>
          </w:p>
        </w:tc>
      </w:tr>
      <w:tr>
        <w:tc>
          <w:tcPr>
            <w:tcW w:w="1500" w:type="dxa"/>
          </w:tcPr>
          <w:p>
            <w:pPr>
              <w:spacing w:before="10" w:after="10"/>
            </w:pPr>
            <w:r/>
            <w:r>
              <w:rPr>
                <w:sz w:val="16"/>
              </w:rPr>
              <w:t>Finland</w:t>
            </w:r>
          </w:p>
        </w:tc>
        <w:tc>
          <w:tcPr>
            <w:tcW w:w="650" w:type="dxa"/>
          </w:tcPr>
          <w:p>
            <w:pPr>
              <w:spacing w:before="10" w:after="10"/>
            </w:pPr>
            <w:r/>
            <w:r>
              <w:rPr>
                <w:sz w:val="16"/>
              </w:rPr>
              <w:t>$0.057</w:t>
            </w:r>
          </w:p>
        </w:tc>
        <w:tc>
          <w:tcPr>
            <w:tcW w:w="550" w:type="dxa"/>
          </w:tcPr>
          <w:p>
            <w:pPr>
              <w:jc w:val="right"/>
              <w:spacing w:before="10" w:after="10"/>
            </w:pPr>
            <w:r/>
            <w:r>
              <w:rPr>
                <w:sz w:val="16"/>
              </w:rPr>
              <w:t>16.4</w:t>
            </w:r>
          </w:p>
        </w:tc>
        <w:tc>
          <w:tcPr>
            <w:tcW w:w="500" w:type="dxa"/>
          </w:tcPr>
          <w:p>
            <w:pPr>
              <w:jc w:val="right"/>
              <w:spacing w:before="10" w:after="10"/>
            </w:pPr>
            <w:r/>
            <w:r>
              <w:rPr>
                <w:sz w:val="16"/>
              </w:rPr>
              <w:t>1.10</w:t>
            </w:r>
          </w:p>
        </w:tc>
        <w:tc>
          <w:tcPr>
            <w:tcW w:w="600" w:type="dxa"/>
          </w:tcPr>
          <w:p>
            <w:pPr>
              <w:jc w:val="right"/>
              <w:spacing w:before="10" w:after="10"/>
            </w:pPr>
            <w:r/>
            <w:r>
              <w:rPr>
                <w:sz w:val="16"/>
              </w:rPr>
              <w:t>$12.29</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450" w:type="dxa"/>
          </w:tcPr>
          <w:p>
            <w:pPr>
              <w:jc w:val="right"/>
              <w:spacing w:before="10" w:after="10"/>
            </w:pPr>
            <w:r/>
            <w:r>
              <w:rPr>
                <w:sz w:val="16"/>
              </w:rPr>
              <w:t>1.00</w:t>
            </w:r>
          </w:p>
        </w:tc>
        <w:tc>
          <w:tcPr>
            <w:tcW w:w="650" w:type="dxa"/>
          </w:tcPr>
          <w:p>
            <w:pPr>
              <w:jc w:val="right"/>
              <w:spacing w:before="10" w:after="10"/>
            </w:pPr>
            <w:r/>
            <w:r>
              <w:rPr>
                <w:sz w:val="16"/>
              </w:rPr>
              <w:t>$1.47</w:t>
            </w:r>
          </w:p>
        </w:tc>
        <w:tc>
          <w:tcPr>
            <w:tcW w:w="700" w:type="dxa"/>
          </w:tcPr>
          <w:p>
            <w:pPr>
              <w:jc w:val="right"/>
              <w:spacing w:before="10" w:after="10"/>
            </w:pPr>
            <w:r/>
            <w:r>
              <w:rPr>
                <w:sz w:val="16"/>
              </w:rPr>
              <w:t>$0.057</w:t>
            </w:r>
          </w:p>
        </w:tc>
      </w:tr>
      <w:tr>
        <w:tc>
          <w:tcPr>
            <w:tcW w:w="1500" w:type="dxa"/>
          </w:tcPr>
          <w:p>
            <w:pPr>
              <w:spacing w:before="10" w:after="10"/>
            </w:pPr>
            <w:r/>
            <w:r>
              <w:rPr>
                <w:sz w:val="16"/>
              </w:rPr>
              <w:t>Brazil</w:t>
            </w:r>
          </w:p>
        </w:tc>
        <w:tc>
          <w:tcPr>
            <w:tcW w:w="650" w:type="dxa"/>
          </w:tcPr>
          <w:p>
            <w:pPr>
              <w:spacing w:before="10" w:after="10"/>
            </w:pPr>
            <w:r/>
            <w:r>
              <w:rPr>
                <w:sz w:val="16"/>
              </w:rPr>
              <w:t>$0.063</w:t>
            </w:r>
          </w:p>
        </w:tc>
        <w:tc>
          <w:tcPr>
            <w:tcW w:w="550" w:type="dxa"/>
          </w:tcPr>
          <w:p>
            <w:pPr>
              <w:jc w:val="right"/>
              <w:spacing w:before="10" w:after="10"/>
            </w:pPr>
            <w:r/>
            <w:r>
              <w:rPr>
                <w:sz w:val="16"/>
              </w:rPr>
              <w:t>27.3</w:t>
            </w:r>
          </w:p>
        </w:tc>
        <w:tc>
          <w:tcPr>
            <w:tcW w:w="500" w:type="dxa"/>
          </w:tcPr>
          <w:p>
            <w:pPr>
              <w:jc w:val="right"/>
              <w:spacing w:before="10" w:after="10"/>
            </w:pPr>
            <w:r/>
            <w:r>
              <w:rPr>
                <w:sz w:val="16"/>
              </w:rPr>
              <w:t>1.26</w:t>
            </w:r>
          </w:p>
        </w:tc>
        <w:tc>
          <w:tcPr>
            <w:tcW w:w="600" w:type="dxa"/>
          </w:tcPr>
          <w:p>
            <w:pPr>
              <w:jc w:val="right"/>
              <w:spacing w:before="10" w:after="10"/>
            </w:pPr>
            <w:r/>
            <w:r>
              <w:rPr>
                <w:sz w:val="16"/>
              </w:rPr>
              <w:t>$10.75</w:t>
            </w:r>
          </w:p>
        </w:tc>
        <w:tc>
          <w:tcPr>
            <w:tcW w:w="650" w:type="dxa"/>
          </w:tcPr>
          <w:p>
            <w:pPr>
              <w:jc w:val="right"/>
              <w:spacing w:before="10" w:after="10"/>
            </w:pPr>
            <w:r/>
            <w:r>
              <w:rPr>
                <w:sz w:val="16"/>
              </w:rPr>
              <w:t>1,200</w:t>
            </w:r>
          </w:p>
        </w:tc>
        <w:tc>
          <w:tcPr>
            <w:tcW w:w="550" w:type="dxa"/>
          </w:tcPr>
          <w:p>
            <w:pPr>
              <w:jc w:val="right"/>
              <w:spacing w:before="10" w:after="10"/>
            </w:pPr>
            <w:r/>
            <w:r>
              <w:rPr>
                <w:sz w:val="16"/>
              </w:rPr>
              <w:t>1.0</w:t>
            </w:r>
          </w:p>
        </w:tc>
        <w:tc>
          <w:tcPr>
            <w:tcW w:w="450" w:type="dxa"/>
          </w:tcPr>
          <w:p>
            <w:pPr>
              <w:jc w:val="right"/>
              <w:spacing w:before="10" w:after="10"/>
            </w:pPr>
            <w:r/>
            <w:r>
              <w:rPr>
                <w:sz w:val="16"/>
              </w:rPr>
              <w:t>0.54</w:t>
            </w:r>
          </w:p>
        </w:tc>
        <w:tc>
          <w:tcPr>
            <w:tcW w:w="650" w:type="dxa"/>
          </w:tcPr>
          <w:p>
            <w:pPr>
              <w:jc w:val="right"/>
              <w:spacing w:before="10" w:after="10"/>
            </w:pPr>
            <w:r/>
            <w:r>
              <w:rPr>
                <w:sz w:val="16"/>
              </w:rPr>
              <w:t>$1.47</w:t>
            </w:r>
          </w:p>
        </w:tc>
        <w:tc>
          <w:tcPr>
            <w:tcW w:w="700" w:type="dxa"/>
          </w:tcPr>
          <w:p>
            <w:pPr>
              <w:jc w:val="right"/>
              <w:spacing w:before="10" w:after="10"/>
            </w:pPr>
            <w:r/>
            <w:r>
              <w:rPr>
                <w:sz w:val="16"/>
              </w:rPr>
              <w:t>$0.063</w:t>
            </w:r>
          </w:p>
        </w:tc>
      </w:tr>
      <w:tr>
        <w:tc>
          <w:tcPr>
            <w:tcW w:w="1500" w:type="dxa"/>
          </w:tcPr>
          <w:p>
            <w:pPr>
              <w:spacing w:before="10" w:after="10"/>
            </w:pPr>
            <w:r/>
            <w:r>
              <w:rPr>
                <w:sz w:val="16"/>
              </w:rPr>
              <w:t>Iran</w:t>
            </w:r>
          </w:p>
        </w:tc>
        <w:tc>
          <w:tcPr>
            <w:tcW w:w="650" w:type="dxa"/>
          </w:tcPr>
          <w:p>
            <w:pPr>
              <w:spacing w:before="10" w:after="10"/>
            </w:pPr>
            <w:r/>
            <w:r>
              <w:rPr>
                <w:sz w:val="16"/>
              </w:rPr>
              <w:t>$0.005</w:t>
            </w:r>
          </w:p>
        </w:tc>
        <w:tc>
          <w:tcPr>
            <w:tcW w:w="550" w:type="dxa"/>
          </w:tcPr>
          <w:p>
            <w:pPr>
              <w:jc w:val="right"/>
              <w:spacing w:before="10" w:after="10"/>
            </w:pPr>
            <w:r/>
            <w:r>
              <w:rPr>
                <w:sz w:val="16"/>
              </w:rPr>
              <w:t>31.2</w:t>
            </w:r>
          </w:p>
        </w:tc>
        <w:tc>
          <w:tcPr>
            <w:tcW w:w="500" w:type="dxa"/>
          </w:tcPr>
          <w:p>
            <w:pPr>
              <w:jc w:val="right"/>
              <w:spacing w:before="10" w:after="10"/>
            </w:pPr>
            <w:r/>
            <w:r>
              <w:rPr>
                <w:sz w:val="16"/>
              </w:rPr>
              <w:t>1.32</w:t>
            </w:r>
          </w:p>
        </w:tc>
        <w:tc>
          <w:tcPr>
            <w:tcW w:w="600" w:type="dxa"/>
          </w:tcPr>
          <w:p>
            <w:pPr>
              <w:jc w:val="right"/>
              <w:spacing w:before="10" w:after="10"/>
            </w:pPr>
            <w:r/>
            <w:r>
              <w:rPr>
                <w:sz w:val="16"/>
              </w:rPr>
              <w:t>$8.50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0.35</w:t>
            </w:r>
          </w:p>
        </w:tc>
        <w:tc>
          <w:tcPr>
            <w:tcW w:w="650" w:type="dxa"/>
          </w:tcPr>
          <w:p>
            <w:pPr>
              <w:jc w:val="right"/>
              <w:spacing w:before="10" w:after="10"/>
            </w:pPr>
            <w:r/>
            <w:r>
              <w:rPr>
                <w:sz w:val="16"/>
              </w:rPr>
              <w:t>$1.41</w:t>
            </w:r>
          </w:p>
        </w:tc>
        <w:tc>
          <w:tcPr>
            <w:tcW w:w="700" w:type="dxa"/>
          </w:tcPr>
          <w:p>
            <w:pPr>
              <w:jc w:val="right"/>
              <w:spacing w:before="10" w:after="10"/>
            </w:pPr>
            <w:r>
              <w:rPr>
                <w:b/>
              </w:rPr>
            </w:r>
            <w:r>
              <w:rPr>
                <w:sz w:val="16"/>
                <w:b/>
              </w:rPr>
              <w:t>$0.085</w:t>
            </w:r>
          </w:p>
        </w:tc>
      </w:tr>
      <w:tr>
        <w:tc>
          <w:tcPr>
            <w:tcW w:w="1500" w:type="dxa"/>
          </w:tcPr>
          <w:p>
            <w:pPr>
              <w:spacing w:before="10" w:after="10"/>
            </w:pPr>
            <w:r/>
            <w:r>
              <w:rPr>
                <w:sz w:val="16"/>
              </w:rPr>
              <w:t>Indonesia</w:t>
            </w:r>
          </w:p>
        </w:tc>
        <w:tc>
          <w:tcPr>
            <w:tcW w:w="650" w:type="dxa"/>
          </w:tcPr>
          <w:p>
            <w:pPr>
              <w:spacing w:before="10" w:after="10"/>
            </w:pPr>
            <w:r/>
            <w:r>
              <w:rPr>
                <w:sz w:val="16"/>
              </w:rPr>
              <w:t>$0.067</w:t>
            </w:r>
          </w:p>
        </w:tc>
        <w:tc>
          <w:tcPr>
            <w:tcW w:w="550" w:type="dxa"/>
          </w:tcPr>
          <w:p>
            <w:pPr>
              <w:jc w:val="right"/>
              <w:spacing w:before="10" w:after="10"/>
            </w:pPr>
            <w:r/>
            <w:r>
              <w:rPr>
                <w:sz w:val="16"/>
              </w:rPr>
              <w:t>26.4</w:t>
            </w:r>
          </w:p>
        </w:tc>
        <w:tc>
          <w:tcPr>
            <w:tcW w:w="500" w:type="dxa"/>
          </w:tcPr>
          <w:p>
            <w:pPr>
              <w:jc w:val="right"/>
              <w:spacing w:before="10" w:after="10"/>
            </w:pPr>
            <w:r/>
            <w:r>
              <w:rPr>
                <w:sz w:val="16"/>
              </w:rPr>
              <w:t>1.25</w:t>
            </w:r>
          </w:p>
        </w:tc>
        <w:tc>
          <w:tcPr>
            <w:tcW w:w="600" w:type="dxa"/>
          </w:tcPr>
          <w:p>
            <w:pPr>
              <w:jc w:val="right"/>
              <w:spacing w:before="10" w:after="10"/>
            </w:pPr>
            <w:r/>
            <w:r>
              <w:rPr>
                <w:sz w:val="16"/>
              </w:rPr>
              <w:t>$11.21</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0.57</w:t>
            </w:r>
          </w:p>
        </w:tc>
        <w:tc>
          <w:tcPr>
            <w:tcW w:w="650" w:type="dxa"/>
          </w:tcPr>
          <w:p>
            <w:pPr>
              <w:jc w:val="right"/>
              <w:spacing w:before="10" w:after="10"/>
            </w:pPr>
            <w:r/>
            <w:r>
              <w:rPr>
                <w:sz w:val="16"/>
              </w:rPr>
              <w:t>$1.48</w:t>
            </w:r>
          </w:p>
        </w:tc>
        <w:tc>
          <w:tcPr>
            <w:tcW w:w="700" w:type="dxa"/>
          </w:tcPr>
          <w:p>
            <w:pPr>
              <w:jc w:val="right"/>
              <w:spacing w:before="10" w:after="10"/>
            </w:pPr>
            <w:r/>
            <w:r>
              <w:rPr>
                <w:sz w:val="16"/>
              </w:rPr>
              <w:t>$0.067</w:t>
            </w:r>
          </w:p>
        </w:tc>
      </w:tr>
      <w:tr>
        <w:tc>
          <w:tcPr>
            <w:tcW w:w="1500" w:type="dxa"/>
          </w:tcPr>
          <w:p>
            <w:pPr>
              <w:spacing w:before="10" w:after="10"/>
            </w:pPr>
            <w:r/>
            <w:r>
              <w:rPr>
                <w:sz w:val="16"/>
              </w:rPr>
              <w:t>Sweden</w:t>
            </w:r>
          </w:p>
        </w:tc>
        <w:tc>
          <w:tcPr>
            <w:tcW w:w="650" w:type="dxa"/>
          </w:tcPr>
          <w:p>
            <w:pPr>
              <w:spacing w:before="10" w:after="10"/>
            </w:pPr>
            <w:r/>
            <w:r>
              <w:rPr>
                <w:sz w:val="16"/>
              </w:rPr>
              <w:t>$0.068</w:t>
            </w:r>
          </w:p>
        </w:tc>
        <w:tc>
          <w:tcPr>
            <w:tcW w:w="550" w:type="dxa"/>
          </w:tcPr>
          <w:p>
            <w:pPr>
              <w:jc w:val="right"/>
              <w:spacing w:before="10" w:after="10"/>
            </w:pPr>
            <w:r/>
            <w:r>
              <w:rPr>
                <w:sz w:val="16"/>
              </w:rPr>
              <w:t>15.2</w:t>
            </w:r>
          </w:p>
        </w:tc>
        <w:tc>
          <w:tcPr>
            <w:tcW w:w="500" w:type="dxa"/>
          </w:tcPr>
          <w:p>
            <w:pPr>
              <w:jc w:val="right"/>
              <w:spacing w:before="10" w:after="10"/>
            </w:pPr>
            <w:r/>
            <w:r>
              <w:rPr>
                <w:sz w:val="16"/>
              </w:rPr>
              <w:t>1.08</w:t>
            </w:r>
          </w:p>
        </w:tc>
        <w:tc>
          <w:tcPr>
            <w:tcW w:w="600" w:type="dxa"/>
          </w:tcPr>
          <w:p>
            <w:pPr>
              <w:jc w:val="right"/>
              <w:spacing w:before="10" w:after="10"/>
            </w:pPr>
            <w:r/>
            <w:r>
              <w:rPr>
                <w:sz w:val="16"/>
              </w:rPr>
              <w:t>$12.29</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0.97</w:t>
            </w:r>
          </w:p>
        </w:tc>
        <w:tc>
          <w:tcPr>
            <w:tcW w:w="650" w:type="dxa"/>
          </w:tcPr>
          <w:p>
            <w:pPr>
              <w:jc w:val="right"/>
              <w:spacing w:before="10" w:after="10"/>
            </w:pPr>
            <w:r/>
            <w:r>
              <w:rPr>
                <w:sz w:val="16"/>
              </w:rPr>
              <w:t>$1.48</w:t>
            </w:r>
          </w:p>
        </w:tc>
        <w:tc>
          <w:tcPr>
            <w:tcW w:w="700" w:type="dxa"/>
          </w:tcPr>
          <w:p>
            <w:pPr>
              <w:jc w:val="right"/>
              <w:spacing w:before="10" w:after="10"/>
            </w:pPr>
            <w:r/>
            <w:r>
              <w:rPr>
                <w:sz w:val="16"/>
              </w:rPr>
              <w:t>$0.068</w:t>
            </w:r>
          </w:p>
        </w:tc>
      </w:tr>
      <w:tr>
        <w:tc>
          <w:tcPr>
            <w:tcW w:w="1500" w:type="dxa"/>
          </w:tcPr>
          <w:p>
            <w:pPr>
              <w:spacing w:before="10" w:after="10"/>
            </w:pPr>
            <w:r/>
            <w:r>
              <w:rPr>
                <w:sz w:val="16"/>
              </w:rPr>
              <w:t>Kazakhstan</w:t>
            </w:r>
          </w:p>
        </w:tc>
        <w:tc>
          <w:tcPr>
            <w:tcW w:w="650" w:type="dxa"/>
          </w:tcPr>
          <w:p>
            <w:pPr>
              <w:spacing w:before="10" w:after="10"/>
            </w:pPr>
            <w:r/>
            <w:r>
              <w:rPr>
                <w:sz w:val="16"/>
              </w:rPr>
              <w:t>$0.066</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00" w:type="dxa"/>
          </w:tcPr>
          <w:p>
            <w:pPr>
              <w:jc w:val="right"/>
              <w:spacing w:before="10" w:after="10"/>
            </w:pPr>
            <w:r/>
            <w:r>
              <w:rPr>
                <w:sz w:val="16"/>
              </w:rPr>
              <w:t>$9.53</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0.54</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$0.085</w:t>
            </w:r>
          </w:p>
        </w:tc>
      </w:tr>
      <w:tr>
        <w:tc>
          <w:tcPr>
            <w:tcW w:w="1500" w:type="dxa"/>
          </w:tcPr>
          <w:p>
            <w:pPr>
              <w:spacing w:before="10" w:after="10"/>
            </w:pPr>
            <w:r/>
            <w:r>
              <w:rPr>
                <w:sz w:val="16"/>
              </w:rPr>
              <w:t>Uzbekistan</w:t>
            </w:r>
          </w:p>
        </w:tc>
        <w:tc>
          <w:tcPr>
            <w:tcW w:w="650" w:type="dxa"/>
          </w:tcPr>
          <w:p>
            <w:pPr>
              <w:spacing w:before="10" w:after="10"/>
            </w:pPr>
            <w:r/>
            <w:r>
              <w:rPr>
                <w:sz w:val="16"/>
              </w:rPr>
              <w:t>$0.071</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00" w:type="dxa"/>
          </w:tcPr>
          <w:p>
            <w:pPr>
              <w:jc w:val="right"/>
              <w:spacing w:before="10" w:after="10"/>
            </w:pPr>
            <w:r/>
            <w:r>
              <w:rPr>
                <w:sz w:val="16"/>
              </w:rPr>
              <w:t>$8.37</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450" w:type="dxa"/>
          </w:tcPr>
          <w:p>
            <w:pPr>
              <w:jc w:val="right"/>
              <w:spacing w:before="10" w:after="10"/>
            </w:pPr>
            <w:r/>
            <w:r>
              <w:rPr>
                <w:sz w:val="16"/>
              </w:rPr>
              <w:t>0.40</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$0.090</w:t>
            </w:r>
          </w:p>
        </w:tc>
      </w:tr>
      <w:tr>
        <w:tc>
          <w:tcPr>
            <w:tcW w:w="1500" w:type="dxa"/>
          </w:tcPr>
          <w:p>
            <w:pPr>
              <w:spacing w:before="10" w:after="10"/>
            </w:pPr>
            <w:r/>
            <w:r>
              <w:rPr>
                <w:sz w:val="16"/>
              </w:rPr>
              <w:t>Georgia</w:t>
            </w:r>
          </w:p>
        </w:tc>
        <w:tc>
          <w:tcPr>
            <w:tcW w:w="650" w:type="dxa"/>
          </w:tcPr>
          <w:p>
            <w:pPr>
              <w:spacing w:before="10" w:after="10"/>
            </w:pPr>
            <w:r/>
            <w:r>
              <w:rPr>
                <w:sz w:val="16"/>
              </w:rPr>
              <w:t>$0.091</w:t>
            </w:r>
          </w:p>
        </w:tc>
        <w:tc>
          <w:tcPr>
            <w:tcW w:w="550" w:type="dxa"/>
          </w:tcPr>
          <w:p>
            <w:pPr>
              <w:jc w:val="right"/>
              <w:spacing w:before="10" w:after="10"/>
            </w:pPr>
            <w:r/>
            <w:r>
              <w:rPr>
                <w:sz w:val="16"/>
              </w:rPr>
              <w:t>19.4</w:t>
            </w:r>
          </w:p>
        </w:tc>
        <w:tc>
          <w:tcPr>
            <w:tcW w:w="500" w:type="dxa"/>
          </w:tcPr>
          <w:p>
            <w:pPr>
              <w:jc w:val="right"/>
              <w:spacing w:before="10" w:after="10"/>
            </w:pPr>
            <w:r/>
            <w:r>
              <w:rPr>
                <w:sz w:val="16"/>
              </w:rPr>
              <w:t>1.15</w:t>
            </w:r>
          </w:p>
        </w:tc>
        <w:tc>
          <w:tcPr>
            <w:tcW w:w="600" w:type="dxa"/>
          </w:tcPr>
          <w:p>
            <w:pPr>
              <w:jc w:val="right"/>
              <w:spacing w:before="10" w:after="10"/>
            </w:pPr>
            <w:r/>
            <w:r>
              <w:rPr>
                <w:sz w:val="16"/>
              </w:rPr>
              <w:t>$9.58</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450" w:type="dxa"/>
          </w:tcPr>
          <w:p>
            <w:pPr>
              <w:jc w:val="right"/>
              <w:spacing w:before="10" w:after="10"/>
            </w:pPr>
            <w:r/>
            <w:r>
              <w:rPr>
                <w:sz w:val="16"/>
              </w:rPr>
              <w:t>0.66</w:t>
            </w:r>
          </w:p>
        </w:tc>
        <w:tc>
          <w:tcPr>
            <w:tcW w:w="650" w:type="dxa"/>
          </w:tcPr>
          <w:p>
            <w:pPr>
              <w:jc w:val="right"/>
              <w:spacing w:before="10" w:after="10"/>
            </w:pPr>
            <w:r/>
            <w:r>
              <w:rPr>
                <w:sz w:val="16"/>
              </w:rPr>
              <w:t>$1.48</w:t>
            </w:r>
          </w:p>
        </w:tc>
        <w:tc>
          <w:tcPr>
            <w:tcW w:w="700" w:type="dxa"/>
          </w:tcPr>
          <w:p>
            <w:pPr>
              <w:jc w:val="right"/>
              <w:spacing w:before="10" w:after="10"/>
            </w:pPr>
            <w:r/>
            <w:r>
              <w:rPr>
                <w:sz w:val="16"/>
              </w:rPr>
              <w:t>$0.091</w:t>
            </w:r>
          </w:p>
        </w:tc>
      </w:tr>
      <w:tr>
        <w:tc>
          <w:tcPr>
            <w:tcW w:w="1500" w:type="dxa"/>
          </w:tcPr>
          <w:p>
            <w:pPr>
              <w:spacing w:before="10" w:after="10"/>
            </w:pPr>
            <w:r/>
            <w:r>
              <w:rPr>
                <w:sz w:val="16"/>
              </w:rPr>
              <w:t>United States of Am.</w:t>
            </w:r>
          </w:p>
        </w:tc>
        <w:tc>
          <w:tcPr>
            <w:tcW w:w="650" w:type="dxa"/>
          </w:tcPr>
          <w:p>
            <w:pPr>
              <w:spacing w:before="10" w:after="10"/>
            </w:pPr>
            <w:r/>
            <w:r>
              <w:rPr>
                <w:sz w:val="16"/>
              </w:rPr>
              <w:t>$0.081</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00" w:type="dxa"/>
          </w:tcPr>
          <w:p>
            <w:pPr>
              <w:jc w:val="right"/>
              <w:spacing w:before="10" w:after="10"/>
            </w:pPr>
            <w:r/>
            <w:r>
              <w:rPr>
                <w:sz w:val="16"/>
              </w:rPr>
              <w:t>$10.78</w:t>
            </w:r>
          </w:p>
        </w:tc>
        <w:tc>
          <w:tcPr>
            <w:tcW w:w="650" w:type="dxa"/>
          </w:tcPr>
          <w:p>
            <w:pPr>
              <w:jc w:val="right"/>
              <w:spacing w:before="10" w:after="10"/>
            </w:pPr>
            <w:r/>
            <w:r>
              <w:rPr>
                <w:sz w:val="16"/>
              </w:rPr>
              <w:t>53,700</w:t>
            </w:r>
          </w:p>
        </w:tc>
        <w:tc>
          <w:tcPr>
            <w:tcW w:w="550" w:type="dxa"/>
          </w:tcPr>
          <w:p>
            <w:pPr>
              <w:jc w:val="right"/>
              <w:spacing w:before="10" w:after="10"/>
            </w:pPr>
            <w:r/>
            <w:r>
              <w:rPr>
                <w:sz w:val="16"/>
              </w:rPr>
              <w:t>43.4</w:t>
            </w:r>
          </w:p>
        </w:tc>
        <w:tc>
          <w:tcPr>
            <w:tcW w:w="450" w:type="dxa"/>
          </w:tcPr>
          <w:p>
            <w:pPr>
              <w:jc w:val="right"/>
              <w:spacing w:before="10" w:after="10"/>
            </w:pPr>
            <w:r/>
            <w:r>
              <w:rPr>
                <w:sz w:val="16"/>
              </w:rPr>
              <w:t>0.92</w:t>
            </w:r>
          </w:p>
        </w:tc>
        <w:tc>
          <w:tcPr>
            <w:tcW w:w="650" w:type="dxa"/>
          </w:tcPr>
          <w:p>
            <w:pPr>
              <w:jc w:val="right"/>
              <w:spacing w:before="10" w:after="10"/>
            </w:pPr>
            <w:r/>
            <w:r>
              <w:rPr>
                <w:sz w:val="16"/>
              </w:rPr>
              <w:t>$1.48</w:t>
            </w:r>
          </w:p>
        </w:tc>
        <w:tc>
          <w:tcPr>
            <w:tcW w:w="700" w:type="dxa"/>
          </w:tcPr>
          <w:p>
            <w:pPr>
              <w:jc w:val="right"/>
              <w:spacing w:before="10" w:after="10"/>
            </w:pPr>
            <w:r/>
            <w:r>
              <w:rPr>
                <w:sz w:val="16"/>
              </w:rPr>
              <w:t>$0.081</w:t>
            </w:r>
          </w:p>
        </w:tc>
      </w:tr>
      <w:tr>
        <w:tc>
          <w:tcPr>
            <w:tcW w:w="1500" w:type="dxa"/>
          </w:tcPr>
          <w:p>
            <w:pPr>
              <w:spacing w:before="10" w:after="10"/>
            </w:pPr>
            <w:r/>
            <w:r>
              <w:rPr>
                <w:sz w:val="16"/>
              </w:rPr>
              <w:t>Bosnia and Herz.</w:t>
            </w:r>
          </w:p>
        </w:tc>
        <w:tc>
          <w:tcPr>
            <w:tcW w:w="650" w:type="dxa"/>
          </w:tcPr>
          <w:p>
            <w:pPr>
              <w:spacing w:before="10" w:after="10"/>
            </w:pPr>
            <w:r/>
            <w:r>
              <w:rPr>
                <w:sz w:val="16"/>
              </w:rPr>
              <w:t>$0.099</w:t>
            </w:r>
          </w:p>
        </w:tc>
        <w:tc>
          <w:tcPr>
            <w:tcW w:w="550" w:type="dxa"/>
          </w:tcPr>
          <w:p>
            <w:pPr>
              <w:jc w:val="right"/>
              <w:spacing w:before="10" w:after="10"/>
            </w:pPr>
            <w:r/>
            <w:r>
              <w:rPr>
                <w:sz w:val="16"/>
              </w:rPr>
              <w:t>21.6</w:t>
            </w:r>
          </w:p>
        </w:tc>
        <w:tc>
          <w:tcPr>
            <w:tcW w:w="500" w:type="dxa"/>
          </w:tcPr>
          <w:p>
            <w:pPr>
              <w:jc w:val="right"/>
              <w:spacing w:before="10" w:after="10"/>
            </w:pPr>
            <w:r/>
            <w:r>
              <w:rPr>
                <w:sz w:val="16"/>
              </w:rPr>
              <w:t>1.18</w:t>
            </w:r>
          </w:p>
        </w:tc>
        <w:tc>
          <w:tcPr>
            <w:tcW w:w="600" w:type="dxa"/>
          </w:tcPr>
          <w:p>
            <w:pPr>
              <w:jc w:val="right"/>
              <w:spacing w:before="10" w:after="10"/>
            </w:pPr>
            <w:r/>
            <w:r>
              <w:rPr>
                <w:sz w:val="16"/>
              </w:rPr>
              <w:t>$9.17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0.55</w:t>
            </w:r>
          </w:p>
        </w:tc>
        <w:tc>
          <w:tcPr>
            <w:tcW w:w="650" w:type="dxa"/>
          </w:tcPr>
          <w:p>
            <w:pPr>
              <w:jc w:val="right"/>
              <w:spacing w:before="10" w:after="10"/>
            </w:pPr>
            <w:r/>
            <w:r>
              <w:rPr>
                <w:sz w:val="16"/>
              </w:rPr>
              <w:t>$1.49</w:t>
            </w:r>
          </w:p>
        </w:tc>
        <w:tc>
          <w:tcPr>
            <w:tcW w:w="700" w:type="dxa"/>
          </w:tcPr>
          <w:p>
            <w:pPr>
              <w:jc w:val="right"/>
              <w:spacing w:before="10" w:after="10"/>
            </w:pPr>
            <w:r/>
            <w:r>
              <w:rPr>
                <w:sz w:val="16"/>
              </w:rPr>
              <w:t>$0.099</w:t>
            </w:r>
          </w:p>
        </w:tc>
      </w:tr>
      <w:tr>
        <w:tc>
          <w:tcPr>
            <w:tcW w:w="1500" w:type="dxa"/>
          </w:tcPr>
          <w:p>
            <w:pPr>
              <w:spacing w:before="10" w:after="10"/>
            </w:pPr>
            <w:r/>
            <w:r>
              <w:rPr>
                <w:sz w:val="16"/>
              </w:rPr>
              <w:t>Kenya</w:t>
            </w:r>
          </w:p>
        </w:tc>
        <w:tc>
          <w:tcPr>
            <w:tcW w:w="650" w:type="dxa"/>
          </w:tcPr>
          <w:p>
            <w:pPr>
              <w:spacing w:before="10" w:after="10"/>
            </w:pPr>
            <w:r/>
            <w:r>
              <w:rPr>
                <w:sz w:val="16"/>
              </w:rPr>
              <w:t>$0.088</w:t>
            </w:r>
          </w:p>
        </w:tc>
        <w:tc>
          <w:tcPr>
            <w:tcW w:w="550" w:type="dxa"/>
          </w:tcPr>
          <w:p>
            <w:pPr>
              <w:jc w:val="right"/>
              <w:spacing w:before="10" w:after="10"/>
            </w:pPr>
            <w:r/>
            <w:r>
              <w:rPr>
                <w:sz w:val="16"/>
              </w:rPr>
              <w:t>27.4</w:t>
            </w:r>
          </w:p>
        </w:tc>
        <w:tc>
          <w:tcPr>
            <w:tcW w:w="500" w:type="dxa"/>
          </w:tcPr>
          <w:p>
            <w:pPr>
              <w:jc w:val="right"/>
              <w:spacing w:before="10" w:after="10"/>
            </w:pPr>
            <w:r/>
            <w:r>
              <w:rPr>
                <w:sz w:val="16"/>
              </w:rPr>
              <w:t>1.26</w:t>
            </w:r>
          </w:p>
        </w:tc>
        <w:tc>
          <w:tcPr>
            <w:tcW w:w="600" w:type="dxa"/>
          </w:tcPr>
          <w:p>
            <w:pPr>
              <w:jc w:val="right"/>
              <w:spacing w:before="10" w:after="10"/>
            </w:pPr>
            <w:r/>
            <w:r>
              <w:rPr>
                <w:sz w:val="16"/>
              </w:rPr>
              <w:t>$9.74</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450" w:type="dxa"/>
          </w:tcPr>
          <w:p>
            <w:pPr>
              <w:jc w:val="right"/>
              <w:spacing w:before="10" w:after="10"/>
            </w:pPr>
            <w:r/>
            <w:r>
              <w:rPr>
                <w:sz w:val="16"/>
              </w:rPr>
              <w:t>0.50</w:t>
            </w:r>
          </w:p>
        </w:tc>
        <w:tc>
          <w:tcPr>
            <w:tcW w:w="650" w:type="dxa"/>
          </w:tcPr>
          <w:p>
            <w:pPr>
              <w:jc w:val="right"/>
              <w:spacing w:before="10" w:after="10"/>
            </w:pPr>
            <w:r/>
            <w:r>
              <w:rPr>
                <w:sz w:val="16"/>
              </w:rPr>
              <w:t>$1.49</w:t>
            </w:r>
          </w:p>
        </w:tc>
        <w:tc>
          <w:tcPr>
            <w:tcW w:w="700" w:type="dxa"/>
          </w:tcPr>
          <w:p>
            <w:pPr>
              <w:jc w:val="right"/>
              <w:spacing w:before="10" w:after="10"/>
            </w:pPr>
            <w:r/>
            <w:r>
              <w:rPr>
                <w:sz w:val="16"/>
              </w:rPr>
              <w:t>$0.088</w:t>
            </w:r>
          </w:p>
        </w:tc>
      </w:tr>
      <w:tr>
        <w:tc>
          <w:tcPr>
            <w:tcW w:w="1500" w:type="dxa"/>
          </w:tcPr>
          <w:p>
            <w:pPr>
              <w:spacing w:before="10" w:after="10"/>
            </w:pPr>
            <w:r/>
            <w:r>
              <w:rPr>
                <w:sz w:val="16"/>
              </w:rPr>
              <w:t>Turkey</w:t>
            </w:r>
          </w:p>
        </w:tc>
        <w:tc>
          <w:tcPr>
            <w:tcW w:w="650" w:type="dxa"/>
          </w:tcPr>
          <w:p>
            <w:pPr>
              <w:spacing w:before="10" w:after="10"/>
            </w:pPr>
            <w:r/>
            <w:r>
              <w:rPr>
                <w:sz w:val="16"/>
              </w:rPr>
              <w:t>$0.086</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00" w:type="dxa"/>
          </w:tcPr>
          <w:p>
            <w:pPr>
              <w:jc w:val="right"/>
              <w:spacing w:before="10" w:after="10"/>
            </w:pPr>
            <w:r/>
            <w:r>
              <w:rPr>
                <w:sz w:val="16"/>
              </w:rPr>
              <w:t>$10.57</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450" w:type="dxa"/>
          </w:tcPr>
          <w:p>
            <w:pPr>
              <w:jc w:val="right"/>
              <w:spacing w:before="10" w:after="10"/>
            </w:pPr>
            <w:r/>
            <w:r>
              <w:rPr>
                <w:sz w:val="16"/>
              </w:rPr>
              <w:t>0.53</w:t>
            </w:r>
          </w:p>
        </w:tc>
        <w:tc>
          <w:tcPr>
            <w:tcW w:w="650" w:type="dxa"/>
          </w:tcPr>
          <w:p>
            <w:pPr>
              <w:jc w:val="right"/>
              <w:spacing w:before="10" w:after="10"/>
            </w:pPr>
            <w:r/>
            <w:r>
              <w:rPr>
                <w:sz w:val="16"/>
              </w:rPr>
              <w:t>$1.49</w:t>
            </w:r>
          </w:p>
        </w:tc>
        <w:tc>
          <w:tcPr>
            <w:tcW w:w="700" w:type="dxa"/>
          </w:tcPr>
          <w:p>
            <w:pPr>
              <w:jc w:val="right"/>
              <w:spacing w:before="10" w:after="10"/>
            </w:pPr>
            <w:r/>
            <w:r>
              <w:rPr>
                <w:sz w:val="16"/>
              </w:rPr>
              <w:t>$0.086</w:t>
            </w:r>
          </w:p>
        </w:tc>
      </w:tr>
      <w:tr>
        <w:tc>
          <w:tcPr>
            <w:tcW w:w="1500" w:type="dxa"/>
          </w:tcPr>
          <w:p>
            <w:pPr>
              <w:spacing w:before="10" w:after="10"/>
            </w:pPr>
            <w:r/>
            <w:r>
              <w:rPr>
                <w:sz w:val="16"/>
              </w:rPr>
              <w:t>Nigeria</w:t>
            </w:r>
          </w:p>
        </w:tc>
        <w:tc>
          <w:tcPr>
            <w:tcW w:w="650" w:type="dxa"/>
          </w:tcPr>
          <w:p>
            <w:pPr>
              <w:spacing w:before="10" w:after="10"/>
            </w:pPr>
            <w:r/>
            <w:r>
              <w:rPr>
                <w:sz w:val="16"/>
              </w:rPr>
              <w:t>$0.042</w:t>
            </w:r>
          </w:p>
        </w:tc>
        <w:tc>
          <w:tcPr>
            <w:tcW w:w="550" w:type="dxa"/>
          </w:tcPr>
          <w:p>
            <w:pPr>
              <w:jc w:val="right"/>
              <w:spacing w:before="10" w:after="10"/>
            </w:pPr>
            <w:r/>
            <w:r>
              <w:rPr>
                <w:sz w:val="16"/>
              </w:rPr>
              <w:t>31.4</w:t>
            </w:r>
          </w:p>
        </w:tc>
        <w:tc>
          <w:tcPr>
            <w:tcW w:w="500" w:type="dxa"/>
          </w:tcPr>
          <w:p>
            <w:pPr>
              <w:jc w:val="right"/>
              <w:spacing w:before="10" w:after="10"/>
            </w:pPr>
            <w:r/>
            <w:r>
              <w:rPr>
                <w:sz w:val="16"/>
              </w:rPr>
              <w:t>1.33</w:t>
            </w:r>
          </w:p>
        </w:tc>
        <w:tc>
          <w:tcPr>
            <w:tcW w:w="600" w:type="dxa"/>
          </w:tcPr>
          <w:p>
            <w:pPr>
              <w:jc w:val="right"/>
              <w:spacing w:before="10" w:after="10"/>
            </w:pPr>
            <w:r/>
            <w:r>
              <w:rPr>
                <w:sz w:val="16"/>
              </w:rPr>
              <w:t>$10.50</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0.32</w:t>
            </w:r>
          </w:p>
        </w:tc>
        <w:tc>
          <w:tcPr>
            <w:tcW w:w="650" w:type="dxa"/>
          </w:tcPr>
          <w:p>
            <w:pPr>
              <w:jc w:val="right"/>
              <w:spacing w:before="10" w:after="10"/>
            </w:pPr>
            <w:r/>
            <w:r>
              <w:rPr>
                <w:sz w:val="16"/>
              </w:rPr>
              <w:t>$1.45</w:t>
            </w:r>
          </w:p>
        </w:tc>
        <w:tc>
          <w:tcPr>
            <w:tcW w:w="700" w:type="dxa"/>
          </w:tcPr>
          <w:p>
            <w:pPr>
              <w:jc w:val="right"/>
              <w:spacing w:before="10" w:after="10"/>
            </w:pPr>
            <w:r>
              <w:rPr>
                <w:b/>
              </w:rPr>
            </w:r>
            <w:r>
              <w:rPr>
                <w:sz w:val="16"/>
                <w:b/>
              </w:rPr>
              <w:t>$0.080</w:t>
            </w:r>
          </w:p>
        </w:tc>
      </w:tr>
      <w:tr>
        <w:tc>
          <w:tcPr>
            <w:tcW w:w="1500" w:type="dxa"/>
          </w:tcPr>
          <w:p>
            <w:pPr>
              <w:spacing w:before="10" w:after="10"/>
            </w:pPr>
            <w:r/>
            <w:r>
              <w:rPr>
                <w:sz w:val="16"/>
              </w:rPr>
              <w:t>Morocco</w:t>
            </w:r>
          </w:p>
        </w:tc>
        <w:tc>
          <w:tcPr>
            <w:tcW w:w="650" w:type="dxa"/>
          </w:tcPr>
          <w:p>
            <w:pPr>
              <w:spacing w:before="10" w:after="10"/>
            </w:pPr>
            <w:r/>
            <w:r>
              <w:rPr>
                <w:sz w:val="16"/>
              </w:rPr>
              <w:t>$0.108</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00" w:type="dxa"/>
          </w:tcPr>
          <w:p>
            <w:pPr>
              <w:jc w:val="right"/>
              <w:spacing w:before="10" w:after="10"/>
            </w:pPr>
            <w:r/>
            <w:r>
              <w:rPr>
                <w:sz w:val="16"/>
              </w:rPr>
              <w:t>$7.82</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0.60</w:t>
            </w:r>
          </w:p>
        </w:tc>
        <w:tc>
          <w:tcPr>
            <w:tcW w:w="650" w:type="dxa"/>
          </w:tcPr>
          <w:p>
            <w:pPr>
              <w:jc w:val="right"/>
              <w:spacing w:before="10" w:after="10"/>
            </w:pPr>
            <w:r/>
            <w:r>
              <w:rPr>
                <w:sz w:val="16"/>
              </w:rPr>
              <w:t>$1.50</w:t>
            </w:r>
          </w:p>
        </w:tc>
        <w:tc>
          <w:tcPr>
            <w:tcW w:w="700" w:type="dxa"/>
          </w:tcPr>
          <w:p>
            <w:pPr>
              <w:jc w:val="right"/>
              <w:spacing w:before="10" w:after="10"/>
            </w:pPr>
            <w:r/>
            <w:r>
              <w:rPr>
                <w:sz w:val="16"/>
              </w:rPr>
              <w:t>$0.108</w:t>
            </w:r>
          </w:p>
        </w:tc>
      </w:tr>
      <w:tr>
        <w:tc>
          <w:tcPr>
            <w:tcW w:w="1500" w:type="dxa"/>
          </w:tcPr>
          <w:p>
            <w:pPr>
              <w:spacing w:before="10" w:after="10"/>
            </w:pPr>
            <w:r/>
            <w:r>
              <w:rPr>
                <w:sz w:val="16"/>
              </w:rPr>
              <w:t>South Africa</w:t>
            </w:r>
          </w:p>
        </w:tc>
        <w:tc>
          <w:tcPr>
            <w:tcW w:w="650" w:type="dxa"/>
          </w:tcPr>
          <w:p>
            <w:pPr>
              <w:spacing w:before="10" w:after="10"/>
            </w:pPr>
            <w:r/>
            <w:r>
              <w:rPr>
                <w:sz w:val="16"/>
              </w:rPr>
              <w:t>$0.040</w:t>
            </w:r>
          </w:p>
        </w:tc>
        <w:tc>
          <w:tcPr>
            <w:tcW w:w="550" w:type="dxa"/>
          </w:tcPr>
          <w:p>
            <w:pPr>
              <w:jc w:val="right"/>
              <w:spacing w:before="10" w:after="10"/>
            </w:pPr>
            <w:r/>
            <w:r>
              <w:rPr>
                <w:sz w:val="16"/>
              </w:rPr>
              <w:t>23.5</w:t>
            </w:r>
          </w:p>
        </w:tc>
        <w:tc>
          <w:tcPr>
            <w:tcW w:w="500" w:type="dxa"/>
          </w:tcPr>
          <w:p>
            <w:pPr>
              <w:jc w:val="right"/>
              <w:spacing w:before="10" w:after="10"/>
            </w:pPr>
            <w:r/>
            <w:r>
              <w:rPr>
                <w:sz w:val="16"/>
              </w:rPr>
              <w:t>1.21</w:t>
            </w:r>
          </w:p>
        </w:tc>
        <w:tc>
          <w:tcPr>
            <w:tcW w:w="600" w:type="dxa"/>
          </w:tcPr>
          <w:p>
            <w:pPr>
              <w:jc w:val="right"/>
              <w:spacing w:before="10" w:after="10"/>
            </w:pPr>
            <w:r/>
            <w:r>
              <w:rPr>
                <w:sz w:val="16"/>
              </w:rPr>
              <w:t>$10.20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0.59</w:t>
            </w:r>
          </w:p>
        </w:tc>
        <w:tc>
          <w:tcPr>
            <w:tcW w:w="650" w:type="dxa"/>
          </w:tcPr>
          <w:p>
            <w:pPr>
              <w:jc w:val="right"/>
              <w:spacing w:before="10" w:after="10"/>
            </w:pPr>
            <w:r/>
            <w:r>
              <w:rPr>
                <w:sz w:val="16"/>
              </w:rPr>
              <w:t>$1.45</w:t>
            </w:r>
          </w:p>
        </w:tc>
        <w:tc>
          <w:tcPr>
            <w:tcW w:w="700" w:type="dxa"/>
          </w:tcPr>
          <w:p>
            <w:pPr>
              <w:jc w:val="right"/>
              <w:spacing w:before="10" w:after="10"/>
            </w:pPr>
            <w:r>
              <w:rPr>
                <w:b/>
              </w:rPr>
            </w:r>
            <w:r>
              <w:rPr>
                <w:sz w:val="16"/>
                <w:b/>
              </w:rPr>
              <w:t>$0.095</w:t>
            </w:r>
          </w:p>
        </w:tc>
      </w:tr>
      <w:tr>
        <w:tc>
          <w:tcPr>
            <w:tcW w:w="1500" w:type="dxa"/>
          </w:tcPr>
          <w:p>
            <w:pPr>
              <w:spacing w:before="10" w:after="10"/>
            </w:pPr>
            <w:r/>
            <w:r>
              <w:rPr>
                <w:sz w:val="16"/>
              </w:rPr>
              <w:t>Australia</w:t>
            </w:r>
          </w:p>
        </w:tc>
        <w:tc>
          <w:tcPr>
            <w:tcW w:w="650" w:type="dxa"/>
          </w:tcPr>
          <w:p>
            <w:pPr>
              <w:spacing w:before="10" w:after="10"/>
            </w:pPr>
            <w:r/>
            <w:r>
              <w:rPr>
                <w:sz w:val="16"/>
              </w:rPr>
              <w:t>$0.090</w:t>
            </w:r>
          </w:p>
        </w:tc>
        <w:tc>
          <w:tcPr>
            <w:tcW w:w="550" w:type="dxa"/>
          </w:tcPr>
          <w:p>
            <w:pPr>
              <w:jc w:val="right"/>
              <w:spacing w:before="10" w:after="10"/>
            </w:pPr>
            <w:r/>
            <w:r>
              <w:rPr>
                <w:sz w:val="16"/>
              </w:rPr>
              <w:t>28.8</w:t>
            </w:r>
          </w:p>
        </w:tc>
        <w:tc>
          <w:tcPr>
            <w:tcW w:w="500" w:type="dxa"/>
          </w:tcPr>
          <w:p>
            <w:pPr>
              <w:jc w:val="right"/>
              <w:spacing w:before="10" w:after="10"/>
            </w:pPr>
            <w:r/>
            <w:r>
              <w:rPr>
                <w:sz w:val="16"/>
              </w:rPr>
              <w:t>1.29</w:t>
            </w:r>
          </w:p>
        </w:tc>
        <w:tc>
          <w:tcPr>
            <w:tcW w:w="600" w:type="dxa"/>
          </w:tcPr>
          <w:p>
            <w:pPr>
              <w:jc w:val="right"/>
              <w:spacing w:before="10" w:after="10"/>
            </w:pPr>
            <w:r/>
            <w:r>
              <w:rPr>
                <w:sz w:val="16"/>
              </w:rPr>
              <w:t>$10.68</w:t>
            </w:r>
          </w:p>
        </w:tc>
        <w:tc>
          <w:tcPr>
            <w:tcW w:w="650" w:type="dxa"/>
          </w:tcPr>
          <w:p>
            <w:pPr>
              <w:jc w:val="right"/>
              <w:spacing w:before="10" w:after="10"/>
            </w:pPr>
            <w:r/>
            <w:r>
              <w:rPr>
                <w:sz w:val="16"/>
              </w:rPr>
              <w:t>2,670</w:t>
            </w:r>
          </w:p>
        </w:tc>
        <w:tc>
          <w:tcPr>
            <w:tcW w:w="550" w:type="dxa"/>
          </w:tcPr>
          <w:p>
            <w:pPr>
              <w:jc w:val="right"/>
              <w:spacing w:before="10" w:after="10"/>
            </w:pPr>
            <w:r/>
            <w:r>
              <w:rPr>
                <w:sz w:val="16"/>
              </w:rPr>
              <w:t>2.2</w:t>
            </w:r>
          </w:p>
        </w:tc>
        <w:tc>
          <w:tcPr>
            <w:tcW w:w="450" w:type="dxa"/>
          </w:tcPr>
          <w:p>
            <w:pPr>
              <w:jc w:val="right"/>
              <w:spacing w:before="10" w:after="10"/>
            </w:pPr>
            <w:r/>
            <w:r>
              <w:rPr>
                <w:sz w:val="16"/>
              </w:rPr>
              <w:t>0.96</w:t>
            </w:r>
          </w:p>
        </w:tc>
        <w:tc>
          <w:tcPr>
            <w:tcW w:w="650" w:type="dxa"/>
          </w:tcPr>
          <w:p>
            <w:pPr>
              <w:jc w:val="right"/>
              <w:spacing w:before="10" w:after="10"/>
            </w:pPr>
            <w:r/>
            <w:r>
              <w:rPr>
                <w:sz w:val="16"/>
              </w:rPr>
              <w:t>$1.50</w:t>
            </w:r>
          </w:p>
        </w:tc>
        <w:tc>
          <w:tcPr>
            <w:tcW w:w="700" w:type="dxa"/>
          </w:tcPr>
          <w:p>
            <w:pPr>
              <w:jc w:val="right"/>
              <w:spacing w:before="10" w:after="10"/>
            </w:pPr>
            <w:r/>
            <w:r>
              <w:rPr>
                <w:sz w:val="16"/>
              </w:rPr>
              <w:t>$0.090</w:t>
            </w:r>
          </w:p>
        </w:tc>
      </w:tr>
      <w:tr>
        <w:tc>
          <w:tcPr>
            <w:tcW w:w="1500" w:type="dxa"/>
          </w:tcPr>
          <w:p>
            <w:pPr>
              <w:spacing w:before="10" w:after="10"/>
            </w:pPr>
            <w:r/>
            <w:r>
              <w:rPr>
                <w:sz w:val="16"/>
              </w:rPr>
              <w:t>Iceland</w:t>
            </w:r>
          </w:p>
        </w:tc>
        <w:tc>
          <w:tcPr>
            <w:tcW w:w="650" w:type="dxa"/>
          </w:tcPr>
          <w:p>
            <w:pPr>
              <w:spacing w:before="10" w:after="10"/>
            </w:pPr>
            <w:r/>
            <w:r>
              <w:rPr>
                <w:sz w:val="16"/>
              </w:rPr>
              <w:t>$0.089</w:t>
            </w:r>
          </w:p>
        </w:tc>
        <w:tc>
          <w:tcPr>
            <w:tcW w:w="550" w:type="dxa"/>
          </w:tcPr>
          <w:p>
            <w:pPr>
              <w:jc w:val="right"/>
              <w:spacing w:before="10" w:after="10"/>
            </w:pPr>
            <w:r/>
            <w:r>
              <w:rPr>
                <w:sz w:val="16"/>
              </w:rPr>
              <w:t>8.7</w:t>
            </w:r>
          </w:p>
        </w:tc>
        <w:tc>
          <w:tcPr>
            <w:tcW w:w="500" w:type="dxa"/>
          </w:tcPr>
          <w:p>
            <w:pPr>
              <w:jc w:val="right"/>
              <w:spacing w:before="10" w:after="10"/>
            </w:pPr>
            <w:r/>
            <w:r>
              <w:rPr>
                <w:sz w:val="16"/>
              </w:rPr>
              <w:t>1.08</w:t>
            </w:r>
          </w:p>
        </w:tc>
        <w:tc>
          <w:tcPr>
            <w:tcW w:w="600" w:type="dxa"/>
          </w:tcPr>
          <w:p>
            <w:pPr>
              <w:jc w:val="right"/>
              <w:spacing w:before="10" w:after="10"/>
            </w:pPr>
            <w:r/>
            <w:r>
              <w:rPr>
                <w:sz w:val="16"/>
              </w:rPr>
              <w:t>$12.47</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450" w:type="dxa"/>
          </w:tcPr>
          <w:p>
            <w:pPr>
              <w:jc w:val="right"/>
              <w:spacing w:before="10" w:after="10"/>
            </w:pPr>
            <w:r/>
            <w:r>
              <w:rPr>
                <w:sz w:val="16"/>
              </w:rPr>
              <w:t>0.98</w:t>
            </w:r>
          </w:p>
        </w:tc>
        <w:tc>
          <w:tcPr>
            <w:tcW w:w="650" w:type="dxa"/>
          </w:tcPr>
          <w:p>
            <w:pPr>
              <w:jc w:val="right"/>
              <w:spacing w:before="10" w:after="10"/>
            </w:pPr>
            <w:r/>
            <w:r>
              <w:rPr>
                <w:sz w:val="16"/>
              </w:rPr>
              <w:t>$1.49</w:t>
            </w:r>
          </w:p>
        </w:tc>
        <w:tc>
          <w:tcPr>
            <w:tcW w:w="700" w:type="dxa"/>
          </w:tcPr>
          <w:p>
            <w:pPr>
              <w:jc w:val="right"/>
              <w:spacing w:before="10" w:after="10"/>
            </w:pPr>
            <w:r/>
            <w:r>
              <w:rPr>
                <w:sz w:val="16"/>
              </w:rPr>
              <w:t>$0.089</w:t>
            </w:r>
          </w:p>
        </w:tc>
      </w:tr>
      <w:tr>
        <w:tc>
          <w:tcPr>
            <w:tcW w:w="1500" w:type="dxa"/>
          </w:tcPr>
          <w:p>
            <w:pPr>
              <w:spacing w:before="10" w:after="10"/>
            </w:pPr>
            <w:r/>
            <w:r>
              <w:rPr>
                <w:sz w:val="16"/>
              </w:rPr>
              <w:t>Mexico</w:t>
            </w:r>
          </w:p>
        </w:tc>
        <w:tc>
          <w:tcPr>
            <w:tcW w:w="650" w:type="dxa"/>
          </w:tcPr>
          <w:p>
            <w:pPr>
              <w:spacing w:before="10" w:after="10"/>
            </w:pPr>
            <w:r/>
            <w:r>
              <w:rPr>
                <w:sz w:val="16"/>
              </w:rPr>
              <w:t>$0.095</w:t>
            </w:r>
          </w:p>
        </w:tc>
        <w:tc>
          <w:tcPr>
            <w:tcW w:w="550" w:type="dxa"/>
          </w:tcPr>
          <w:p>
            <w:pPr>
              <w:jc w:val="right"/>
              <w:spacing w:before="10" w:after="10"/>
            </w:pPr>
            <w:r/>
            <w:r>
              <w:rPr>
                <w:sz w:val="16"/>
              </w:rPr>
              <w:t>26.6</w:t>
            </w:r>
          </w:p>
        </w:tc>
        <w:tc>
          <w:tcPr>
            <w:tcW w:w="500" w:type="dxa"/>
          </w:tcPr>
          <w:p>
            <w:pPr>
              <w:jc w:val="right"/>
              <w:spacing w:before="10" w:after="10"/>
            </w:pPr>
            <w:r/>
            <w:r>
              <w:rPr>
                <w:sz w:val="16"/>
              </w:rPr>
              <w:t>1.25</w:t>
            </w:r>
          </w:p>
        </w:tc>
        <w:tc>
          <w:tcPr>
            <w:tcW w:w="600" w:type="dxa"/>
          </w:tcPr>
          <w:p>
            <w:pPr>
              <w:jc w:val="right"/>
              <w:spacing w:before="10" w:after="10"/>
            </w:pPr>
            <w:r/>
            <w:r>
              <w:rPr>
                <w:sz w:val="16"/>
              </w:rPr>
              <w:t>$10.40</w:t>
            </w:r>
          </w:p>
        </w:tc>
        <w:tc>
          <w:tcPr>
            <w:tcW w:w="650" w:type="dxa"/>
          </w:tcPr>
          <w:p>
            <w:pPr>
              <w:jc w:val="right"/>
              <w:spacing w:before="10" w:after="10"/>
            </w:pPr>
            <w:r/>
            <w:r>
              <w:rPr>
                <w:sz w:val="16"/>
              </w:rPr>
              <w:t>900</w:t>
            </w:r>
          </w:p>
        </w:tc>
        <w:tc>
          <w:tcPr>
            <w:tcW w:w="550" w:type="dxa"/>
          </w:tcPr>
          <w:p>
            <w:pPr>
              <w:jc w:val="right"/>
              <w:spacing w:before="10" w:after="10"/>
            </w:pPr>
            <w:r/>
            <w:r>
              <w:rPr>
                <w:sz w:val="16"/>
              </w:rPr>
              <w:t>0.7</w:t>
            </w:r>
          </w:p>
        </w:tc>
        <w:tc>
          <w:tcPr>
            <w:tcW w:w="450" w:type="dxa"/>
          </w:tcPr>
          <w:p>
            <w:pPr>
              <w:jc w:val="right"/>
              <w:spacing w:before="10" w:after="10"/>
            </w:pPr>
            <w:r/>
            <w:r>
              <w:rPr>
                <w:sz w:val="16"/>
              </w:rPr>
              <w:t>0.42</w:t>
            </w:r>
          </w:p>
        </w:tc>
        <w:tc>
          <w:tcPr>
            <w:tcW w:w="650" w:type="dxa"/>
          </w:tcPr>
          <w:p>
            <w:pPr>
              <w:jc w:val="right"/>
              <w:spacing w:before="10" w:after="10"/>
            </w:pPr>
            <w:r/>
            <w:r>
              <w:rPr>
                <w:sz w:val="16"/>
              </w:rPr>
              <w:t>$1.50</w:t>
            </w:r>
          </w:p>
        </w:tc>
        <w:tc>
          <w:tcPr>
            <w:tcW w:w="700" w:type="dxa"/>
          </w:tcPr>
          <w:p>
            <w:pPr>
              <w:jc w:val="right"/>
              <w:spacing w:before="10" w:after="10"/>
            </w:pPr>
            <w:r/>
            <w:r>
              <w:rPr>
                <w:sz w:val="16"/>
              </w:rPr>
              <w:t>$0.095</w:t>
            </w:r>
          </w:p>
        </w:tc>
      </w:tr>
      <w:tr>
        <w:tc>
          <w:tcPr>
            <w:tcW w:w="1500" w:type="dxa"/>
          </w:tcPr>
          <w:p>
            <w:pPr>
              <w:spacing w:before="10" w:after="10"/>
            </w:pPr>
            <w:r/>
            <w:r>
              <w:rPr>
                <w:sz w:val="16"/>
              </w:rPr>
              <w:t>Belarus</w:t>
            </w:r>
          </w:p>
        </w:tc>
        <w:tc>
          <w:tcPr>
            <w:tcW w:w="650" w:type="dxa"/>
          </w:tcPr>
          <w:p>
            <w:pPr>
              <w:spacing w:before="10" w:after="10"/>
            </w:pPr>
            <w:r/>
            <w:r>
              <w:rPr>
                <w:sz w:val="16"/>
              </w:rPr>
              <w:t>$0.099</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00" w:type="dxa"/>
          </w:tcPr>
          <w:p>
            <w:pPr>
              <w:jc w:val="right"/>
              <w:spacing w:before="10" w:after="10"/>
            </w:pPr>
            <w:r/>
            <w:r>
              <w:rPr>
                <w:sz w:val="16"/>
              </w:rPr>
              <w:t>$10.91</w:t>
            </w:r>
          </w:p>
        </w:tc>
        <w:tc>
          <w:tcPr>
            <w:tcW w:w="650" w:type="dxa"/>
          </w:tcPr>
          <w:p>
            <w:pPr>
              <w:jc w:val="right"/>
              <w:spacing w:before="10" w:after="10"/>
            </w:pPr>
            <w:r/>
            <w:r>
              <w:rPr>
                <w:sz w:val="16"/>
              </w:rPr>
              <w:t>35</w:t>
            </w:r>
          </w:p>
        </w:tc>
        <w:tc>
          <w:tcPr>
            <w:tcW w:w="550" w:type="dxa"/>
          </w:tcPr>
          <w:p>
            <w:pPr>
              <w:jc w:val="right"/>
              <w:spacing w:before="10" w:after="10"/>
            </w:pPr>
            <w:r/>
            <w:r>
              <w:rPr>
                <w:sz w:val="16"/>
              </w:rPr>
              <w:t>0.0</w:t>
            </w:r>
          </w:p>
        </w:tc>
        <w:tc>
          <w:tcPr>
            <w:tcW w:w="450" w:type="dxa"/>
          </w:tcPr>
          <w:p>
            <w:pPr>
              <w:jc w:val="right"/>
              <w:spacing w:before="10" w:after="10"/>
            </w:pPr>
            <w:r/>
            <w:r>
              <w:rPr>
                <w:sz w:val="16"/>
              </w:rPr>
              <w:t>0.30</w:t>
            </w:r>
          </w:p>
        </w:tc>
        <w:tc>
          <w:tcPr>
            <w:tcW w:w="650" w:type="dxa"/>
          </w:tcPr>
          <w:p>
            <w:pPr>
              <w:jc w:val="right"/>
              <w:spacing w:before="10" w:after="10"/>
            </w:pPr>
            <w:r/>
            <w:r>
              <w:rPr>
                <w:sz w:val="16"/>
              </w:rPr>
              <w:t>$1.50</w:t>
            </w:r>
          </w:p>
        </w:tc>
        <w:tc>
          <w:tcPr>
            <w:tcW w:w="700" w:type="dxa"/>
          </w:tcPr>
          <w:p>
            <w:pPr>
              <w:jc w:val="right"/>
              <w:spacing w:before="10" w:after="10"/>
            </w:pPr>
            <w:r/>
            <w:r>
              <w:rPr>
                <w:sz w:val="16"/>
              </w:rPr>
              <w:t>$0.099</w:t>
            </w:r>
          </w:p>
        </w:tc>
      </w:tr>
      <w:tr>
        <w:tc>
          <w:tcPr>
            <w:tcW w:w="1500" w:type="dxa"/>
          </w:tcPr>
          <w:p>
            <w:pPr>
              <w:spacing w:before="10" w:after="10"/>
            </w:pPr>
            <w:r/>
            <w:r>
              <w:rPr>
                <w:sz w:val="16"/>
              </w:rPr>
              <w:t>France</w:t>
            </w:r>
          </w:p>
        </w:tc>
        <w:tc>
          <w:tcPr>
            <w:tcW w:w="650" w:type="dxa"/>
          </w:tcPr>
          <w:p>
            <w:pPr>
              <w:spacing w:before="10" w:after="10"/>
            </w:pPr>
            <w:r/>
            <w:r>
              <w:rPr>
                <w:sz w:val="16"/>
              </w:rPr>
              <w:t>$0.102</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00" w:type="dxa"/>
          </w:tcPr>
          <w:p>
            <w:pPr>
              <w:jc w:val="right"/>
              <w:spacing w:before="10" w:after="10"/>
            </w:pPr>
            <w:r/>
            <w:r>
              <w:rPr>
                <w:sz w:val="16"/>
              </w:rPr>
              <w:t>$10.43</w:t>
            </w:r>
          </w:p>
        </w:tc>
        <w:tc>
          <w:tcPr>
            <w:tcW w:w="650" w:type="dxa"/>
          </w:tcPr>
          <w:p>
            <w:pPr>
              <w:jc w:val="right"/>
              <w:spacing w:before="10" w:after="10"/>
            </w:pPr>
            <w:r/>
            <w:r>
              <w:rPr>
                <w:sz w:val="16"/>
              </w:rPr>
              <w:t>1,400</w:t>
            </w:r>
          </w:p>
        </w:tc>
        <w:tc>
          <w:tcPr>
            <w:tcW w:w="550" w:type="dxa"/>
          </w:tcPr>
          <w:p>
            <w:pPr>
              <w:jc w:val="right"/>
              <w:spacing w:before="10" w:after="10"/>
            </w:pPr>
            <w:r/>
            <w:r>
              <w:rPr>
                <w:sz w:val="16"/>
              </w:rPr>
              <w:t>1.1</w:t>
            </w:r>
          </w:p>
        </w:tc>
        <w:tc>
          <w:tcPr>
            <w:tcW w:w="450" w:type="dxa"/>
          </w:tcPr>
          <w:p>
            <w:pPr>
              <w:jc w:val="right"/>
              <w:spacing w:before="10" w:after="10"/>
            </w:pPr>
            <w:r/>
            <w:r>
              <w:rPr>
                <w:sz w:val="16"/>
              </w:rPr>
              <w:t>0.91</w:t>
            </w:r>
          </w:p>
        </w:tc>
        <w:tc>
          <w:tcPr>
            <w:tcW w:w="650" w:type="dxa"/>
          </w:tcPr>
          <w:p>
            <w:pPr>
              <w:jc w:val="right"/>
              <w:spacing w:before="10" w:after="10"/>
            </w:pPr>
            <w:r/>
            <w:r>
              <w:rPr>
                <w:sz w:val="16"/>
              </w:rPr>
              <w:t>$1.50</w:t>
            </w:r>
          </w:p>
        </w:tc>
        <w:tc>
          <w:tcPr>
            <w:tcW w:w="700" w:type="dxa"/>
          </w:tcPr>
          <w:p>
            <w:pPr>
              <w:jc w:val="right"/>
              <w:spacing w:before="10" w:after="10"/>
            </w:pPr>
            <w:r/>
            <w:r>
              <w:rPr>
                <w:sz w:val="16"/>
              </w:rPr>
              <w:t>$0.102</w:t>
            </w:r>
          </w:p>
        </w:tc>
      </w:tr>
      <w:tr>
        <w:tc>
          <w:tcPr>
            <w:tcW w:w="1500" w:type="dxa"/>
          </w:tcPr>
          <w:p>
            <w:pPr>
              <w:spacing w:before="10" w:after="10"/>
            </w:pPr>
            <w:r/>
            <w:r>
              <w:rPr>
                <w:sz w:val="16"/>
              </w:rPr>
              <w:t>Armenia</w:t>
            </w:r>
          </w:p>
        </w:tc>
        <w:tc>
          <w:tcPr>
            <w:tcW w:w="650" w:type="dxa"/>
          </w:tcPr>
          <w:p>
            <w:pPr>
              <w:spacing w:before="10" w:after="10"/>
            </w:pPr>
            <w:r/>
            <w:r>
              <w:rPr>
                <w:sz w:val="16"/>
              </w:rPr>
              <w:t>$0.111</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00" w:type="dxa"/>
          </w:tcPr>
          <w:p>
            <w:pPr>
              <w:jc w:val="right"/>
              <w:spacing w:before="10" w:after="10"/>
            </w:pPr>
            <w:r/>
            <w:r>
              <w:rPr>
                <w:sz w:val="16"/>
              </w:rPr>
              <w:t>$9.76</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0.63</w:t>
            </w:r>
          </w:p>
        </w:tc>
        <w:tc>
          <w:tcPr>
            <w:tcW w:w="650" w:type="dxa"/>
          </w:tcPr>
          <w:p>
            <w:pPr>
              <w:jc w:val="right"/>
              <w:spacing w:before="10" w:after="10"/>
            </w:pPr>
            <w:r/>
            <w:r>
              <w:rPr>
                <w:sz w:val="16"/>
              </w:rPr>
              <w:t>$1.50</w:t>
            </w:r>
          </w:p>
        </w:tc>
        <w:tc>
          <w:tcPr>
            <w:tcW w:w="700" w:type="dxa"/>
          </w:tcPr>
          <w:p>
            <w:pPr>
              <w:jc w:val="right"/>
              <w:spacing w:before="10" w:after="10"/>
            </w:pPr>
            <w:r/>
            <w:r>
              <w:rPr>
                <w:sz w:val="16"/>
              </w:rPr>
              <w:t>$0.111</w:t>
            </w:r>
          </w:p>
        </w:tc>
      </w:tr>
      <w:tr>
        <w:tc>
          <w:tcPr>
            <w:tcW w:w="1500" w:type="dxa"/>
          </w:tcPr>
          <w:p>
            <w:pPr>
              <w:spacing w:before="10" w:after="10"/>
            </w:pPr>
            <w:r/>
            <w:r>
              <w:rPr>
                <w:sz w:val="16"/>
              </w:rPr>
              <w:t>Chile</w:t>
            </w:r>
          </w:p>
        </w:tc>
        <w:tc>
          <w:tcPr>
            <w:tcW w:w="650" w:type="dxa"/>
          </w:tcPr>
          <w:p>
            <w:pPr>
              <w:spacing w:before="10" w:after="10"/>
            </w:pPr>
            <w:r/>
            <w:r>
              <w:rPr>
                <w:sz w:val="16"/>
              </w:rPr>
              <w:t>$0.130</w:t>
            </w:r>
          </w:p>
        </w:tc>
        <w:tc>
          <w:tcPr>
            <w:tcW w:w="550" w:type="dxa"/>
          </w:tcPr>
          <w:p>
            <w:pPr>
              <w:jc w:val="right"/>
              <w:spacing w:before="10" w:after="10"/>
            </w:pPr>
            <w:r/>
            <w:r>
              <w:rPr>
                <w:sz w:val="16"/>
              </w:rPr>
              <w:t>13.4</w:t>
            </w:r>
          </w:p>
        </w:tc>
        <w:tc>
          <w:tcPr>
            <w:tcW w:w="500" w:type="dxa"/>
          </w:tcPr>
          <w:p>
            <w:pPr>
              <w:jc w:val="right"/>
              <w:spacing w:before="10" w:after="10"/>
            </w:pPr>
            <w:r/>
            <w:r>
              <w:rPr>
                <w:sz w:val="16"/>
              </w:rPr>
              <w:t>1.08</w:t>
            </w:r>
          </w:p>
        </w:tc>
        <w:tc>
          <w:tcPr>
            <w:tcW w:w="600" w:type="dxa"/>
          </w:tcPr>
          <w:p>
            <w:pPr>
              <w:jc w:val="right"/>
              <w:spacing w:before="10" w:after="10"/>
            </w:pPr>
            <w:r/>
            <w:r>
              <w:rPr>
                <w:sz w:val="16"/>
              </w:rPr>
              <w:t>$8.61</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450" w:type="dxa"/>
          </w:tcPr>
          <w:p>
            <w:pPr>
              <w:jc w:val="right"/>
              <w:spacing w:before="10" w:after="10"/>
            </w:pPr>
            <w:r/>
            <w:r>
              <w:rPr>
                <w:sz w:val="16"/>
              </w:rPr>
              <w:t>0.80</w:t>
            </w:r>
          </w:p>
        </w:tc>
        <w:tc>
          <w:tcPr>
            <w:tcW w:w="650" w:type="dxa"/>
          </w:tcPr>
          <w:p>
            <w:pPr>
              <w:jc w:val="right"/>
              <w:spacing w:before="10" w:after="10"/>
            </w:pPr>
            <w:r/>
            <w:r>
              <w:rPr>
                <w:sz w:val="16"/>
              </w:rPr>
              <w:t>$1.50</w:t>
            </w:r>
          </w:p>
        </w:tc>
        <w:tc>
          <w:tcPr>
            <w:tcW w:w="700" w:type="dxa"/>
          </w:tcPr>
          <w:p>
            <w:pPr>
              <w:jc w:val="right"/>
              <w:spacing w:before="10" w:after="10"/>
            </w:pPr>
            <w:r/>
            <w:r>
              <w:rPr>
                <w:sz w:val="16"/>
              </w:rPr>
              <w:t>$0.130</w:t>
            </w:r>
          </w:p>
        </w:tc>
      </w:tr>
      <w:tr>
        <w:tc>
          <w:tcPr>
            <w:tcW w:w="1500" w:type="dxa"/>
          </w:tcPr>
          <w:p>
            <w:pPr>
              <w:spacing w:before="10" w:after="10"/>
            </w:pPr>
            <w:r/>
            <w:r>
              <w:rPr>
                <w:sz w:val="16"/>
              </w:rPr>
              <w:t>United Arab Emirates</w:t>
            </w:r>
          </w:p>
        </w:tc>
        <w:tc>
          <w:tcPr>
            <w:tcW w:w="650" w:type="dxa"/>
          </w:tcPr>
          <w:p>
            <w:pPr>
              <w:spacing w:before="10" w:after="10"/>
            </w:pPr>
            <w:r/>
            <w:r>
              <w:rPr>
                <w:sz w:val="16"/>
              </w:rPr>
              <w:t>$0.065</w:t>
            </w:r>
          </w:p>
        </w:tc>
        <w:tc>
          <w:tcPr>
            <w:tcW w:w="550" w:type="dxa"/>
          </w:tcPr>
          <w:p>
            <w:pPr>
              <w:jc w:val="right"/>
              <w:spacing w:before="10" w:after="10"/>
            </w:pPr>
            <w:r/>
            <w:r>
              <w:rPr>
                <w:sz w:val="16"/>
              </w:rPr>
              <w:t>37.1</w:t>
            </w:r>
          </w:p>
        </w:tc>
        <w:tc>
          <w:tcPr>
            <w:tcW w:w="500" w:type="dxa"/>
          </w:tcPr>
          <w:p>
            <w:pPr>
              <w:jc w:val="right"/>
              <w:spacing w:before="10" w:after="10"/>
            </w:pPr>
            <w:r/>
            <w:r>
              <w:rPr>
                <w:sz w:val="16"/>
              </w:rPr>
              <w:t>1.41</w:t>
            </w:r>
          </w:p>
        </w:tc>
        <w:tc>
          <w:tcPr>
            <w:tcW w:w="600" w:type="dxa"/>
          </w:tcPr>
          <w:p>
            <w:pPr>
              <w:jc w:val="right"/>
              <w:spacing w:before="10" w:after="10"/>
            </w:pPr>
            <w:r/>
            <w:r>
              <w:rPr>
                <w:sz w:val="16"/>
              </w:rPr>
              <w:t>$9.24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0.87</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$0.095</w:t>
            </w:r>
          </w:p>
        </w:tc>
      </w:tr>
      <w:tr>
        <w:tc>
          <w:tcPr>
            <w:tcW w:w="1500" w:type="dxa"/>
          </w:tcPr>
          <w:p>
            <w:pPr>
              <w:spacing w:before="10" w:after="10"/>
            </w:pPr>
            <w:r/>
            <w:r>
              <w:rPr>
                <w:sz w:val="16"/>
              </w:rPr>
              <w:t>United Kingdom</w:t>
            </w:r>
          </w:p>
        </w:tc>
        <w:tc>
          <w:tcPr>
            <w:tcW w:w="650" w:type="dxa"/>
          </w:tcPr>
          <w:p>
            <w:pPr>
              <w:spacing w:before="10" w:after="10"/>
            </w:pPr>
            <w:r/>
            <w:r>
              <w:rPr>
                <w:sz w:val="16"/>
              </w:rPr>
              <w:t>$0.097</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00" w:type="dxa"/>
          </w:tcPr>
          <w:p>
            <w:pPr>
              <w:jc w:val="right"/>
              <w:spacing w:before="10" w:after="10"/>
            </w:pPr>
            <w:r/>
            <w:r>
              <w:rPr>
                <w:sz w:val="16"/>
              </w:rPr>
              <w:t>$11.88</w:t>
            </w:r>
          </w:p>
        </w:tc>
        <w:tc>
          <w:tcPr>
            <w:tcW w:w="650" w:type="dxa"/>
          </w:tcPr>
          <w:p>
            <w:pPr>
              <w:jc w:val="right"/>
              <w:spacing w:before="10" w:after="10"/>
            </w:pPr>
            <w:r/>
            <w:r>
              <w:rPr>
                <w:sz w:val="16"/>
              </w:rPr>
              <w:t>2,590</w:t>
            </w:r>
          </w:p>
        </w:tc>
        <w:tc>
          <w:tcPr>
            <w:tcW w:w="550" w:type="dxa"/>
          </w:tcPr>
          <w:p>
            <w:pPr>
              <w:jc w:val="right"/>
              <w:spacing w:before="10" w:after="10"/>
            </w:pPr>
            <w:r/>
            <w:r>
              <w:rPr>
                <w:sz w:val="16"/>
              </w:rPr>
              <w:t>2.1</w:t>
            </w:r>
          </w:p>
        </w:tc>
        <w:tc>
          <w:tcPr>
            <w:tcW w:w="450" w:type="dxa"/>
          </w:tcPr>
          <w:p>
            <w:pPr>
              <w:jc w:val="right"/>
              <w:spacing w:before="10" w:after="10"/>
            </w:pPr>
            <w:r/>
            <w:r>
              <w:rPr>
                <w:sz w:val="16"/>
              </w:rPr>
              <w:t>0.93</w:t>
            </w:r>
          </w:p>
        </w:tc>
        <w:tc>
          <w:tcPr>
            <w:tcW w:w="650" w:type="dxa"/>
          </w:tcPr>
          <w:p>
            <w:pPr>
              <w:jc w:val="right"/>
              <w:spacing w:before="10" w:after="10"/>
            </w:pPr>
            <w:r/>
            <w:r>
              <w:rPr>
                <w:sz w:val="16"/>
              </w:rPr>
              <w:t>$1.50</w:t>
            </w:r>
          </w:p>
        </w:tc>
        <w:tc>
          <w:tcPr>
            <w:tcW w:w="700" w:type="dxa"/>
          </w:tcPr>
          <w:p>
            <w:pPr>
              <w:jc w:val="right"/>
              <w:spacing w:before="10" w:after="10"/>
            </w:pPr>
            <w:r/>
            <w:r>
              <w:rPr>
                <w:sz w:val="16"/>
              </w:rPr>
              <w:t>$0.097</w:t>
            </w:r>
          </w:p>
        </w:tc>
      </w:tr>
      <w:tr>
        <w:tc>
          <w:tcPr>
            <w:tcW w:w="1500" w:type="dxa"/>
          </w:tcPr>
          <w:p>
            <w:pPr>
              <w:spacing w:before="10" w:after="10"/>
            </w:pPr>
            <w:r/>
            <w:r>
              <w:rPr>
                <w:sz w:val="16"/>
              </w:rPr>
              <w:t>Poland</w:t>
            </w:r>
          </w:p>
        </w:tc>
        <w:tc>
          <w:tcPr>
            <w:tcW w:w="650" w:type="dxa"/>
          </w:tcPr>
          <w:p>
            <w:pPr>
              <w:spacing w:before="10" w:after="10"/>
            </w:pPr>
            <w:r/>
            <w:r>
              <w:rPr>
                <w:sz w:val="16"/>
              </w:rPr>
              <w:t>$0.119</w:t>
            </w:r>
          </w:p>
        </w:tc>
        <w:tc>
          <w:tcPr>
            <w:tcW w:w="550" w:type="dxa"/>
          </w:tcPr>
          <w:p>
            <w:pPr>
              <w:jc w:val="right"/>
              <w:spacing w:before="10" w:after="10"/>
            </w:pPr>
            <w:r/>
            <w:r>
              <w:rPr>
                <w:sz w:val="16"/>
              </w:rPr>
              <w:t>19.7</w:t>
            </w:r>
          </w:p>
        </w:tc>
        <w:tc>
          <w:tcPr>
            <w:tcW w:w="500" w:type="dxa"/>
          </w:tcPr>
          <w:p>
            <w:pPr>
              <w:jc w:val="right"/>
              <w:spacing w:before="10" w:after="10"/>
            </w:pPr>
            <w:r/>
            <w:r>
              <w:rPr>
                <w:sz w:val="16"/>
              </w:rPr>
              <w:t>1.15</w:t>
            </w:r>
          </w:p>
        </w:tc>
        <w:tc>
          <w:tcPr>
            <w:tcW w:w="600" w:type="dxa"/>
          </w:tcPr>
          <w:p>
            <w:pPr>
              <w:jc w:val="right"/>
              <w:spacing w:before="10" w:after="10"/>
            </w:pPr>
            <w:r/>
            <w:r>
              <w:rPr>
                <w:sz w:val="16"/>
              </w:rPr>
              <w:t>$9.16</w:t>
            </w:r>
          </w:p>
        </w:tc>
        <w:tc>
          <w:tcPr>
            <w:tcW w:w="650" w:type="dxa"/>
          </w:tcPr>
          <w:p>
            <w:pPr>
              <w:jc w:val="right"/>
              <w:spacing w:before="10" w:after="10"/>
            </w:pPr>
            <w:r/>
            <w:r>
              <w:rPr>
                <w:sz w:val="16"/>
              </w:rPr>
              <w:t>600</w:t>
            </w:r>
          </w:p>
        </w:tc>
        <w:tc>
          <w:tcPr>
            <w:tcW w:w="550" w:type="dxa"/>
          </w:tcPr>
          <w:p>
            <w:pPr>
              <w:jc w:val="right"/>
              <w:spacing w:before="10" w:after="10"/>
            </w:pPr>
            <w:r/>
            <w:r>
              <w:rPr>
                <w:sz w:val="16"/>
              </w:rPr>
              <w:t>0.5</w:t>
            </w:r>
          </w:p>
        </w:tc>
        <w:tc>
          <w:tcPr>
            <w:tcW w:w="450" w:type="dxa"/>
          </w:tcPr>
          <w:p>
            <w:pPr>
              <w:jc w:val="right"/>
              <w:spacing w:before="10" w:after="10"/>
            </w:pPr>
            <w:r/>
            <w:r>
              <w:rPr>
                <w:sz w:val="16"/>
              </w:rPr>
              <w:t>0.77</w:t>
            </w:r>
          </w:p>
        </w:tc>
        <w:tc>
          <w:tcPr>
            <w:tcW w:w="650" w:type="dxa"/>
          </w:tcPr>
          <w:p>
            <w:pPr>
              <w:jc w:val="right"/>
              <w:spacing w:before="10" w:after="10"/>
            </w:pPr>
            <w:r/>
            <w:r>
              <w:rPr>
                <w:sz w:val="16"/>
              </w:rPr>
              <w:t>$1.50</w:t>
            </w:r>
          </w:p>
        </w:tc>
        <w:tc>
          <w:tcPr>
            <w:tcW w:w="700" w:type="dxa"/>
          </w:tcPr>
          <w:p>
            <w:pPr>
              <w:jc w:val="right"/>
              <w:spacing w:before="10" w:after="10"/>
            </w:pPr>
            <w:r/>
            <w:r>
              <w:rPr>
                <w:sz w:val="16"/>
              </w:rPr>
              <w:t>$0.119</w:t>
            </w:r>
          </w:p>
        </w:tc>
      </w:tr>
      <w:tr>
        <w:tc>
          <w:tcPr>
            <w:tcW w:w="1500" w:type="dxa"/>
          </w:tcPr>
          <w:p>
            <w:pPr>
              <w:spacing w:before="10" w:after="10"/>
            </w:pPr>
            <w:r/>
            <w:r>
              <w:rPr>
                <w:sz w:val="16"/>
              </w:rPr>
              <w:t>New Zealand</w:t>
            </w:r>
          </w:p>
        </w:tc>
        <w:tc>
          <w:tcPr>
            <w:tcW w:w="650" w:type="dxa"/>
          </w:tcPr>
          <w:p>
            <w:pPr>
              <w:spacing w:before="10" w:after="10"/>
            </w:pPr>
            <w:r/>
            <w:r>
              <w:rPr>
                <w:sz w:val="16"/>
              </w:rPr>
              <w:t>$0.095</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00" w:type="dxa"/>
          </w:tcPr>
          <w:p>
            <w:pPr>
              <w:jc w:val="right"/>
              <w:spacing w:before="10" w:after="10"/>
            </w:pPr>
            <w:r/>
            <w:r>
              <w:rPr>
                <w:sz w:val="16"/>
              </w:rPr>
              <w:t>$12.30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0.97</w:t>
            </w:r>
          </w:p>
        </w:tc>
        <w:tc>
          <w:tcPr>
            <w:tcW w:w="650" w:type="dxa"/>
          </w:tcPr>
          <w:p>
            <w:pPr>
              <w:jc w:val="right"/>
              <w:spacing w:before="10" w:after="10"/>
            </w:pPr>
            <w:r/>
            <w:r>
              <w:rPr>
                <w:sz w:val="16"/>
              </w:rPr>
              <w:t>$1.50</w:t>
            </w:r>
          </w:p>
        </w:tc>
        <w:tc>
          <w:tcPr>
            <w:tcW w:w="700" w:type="dxa"/>
          </w:tcPr>
          <w:p>
            <w:pPr>
              <w:jc w:val="right"/>
              <w:spacing w:before="10" w:after="10"/>
            </w:pPr>
            <w:r/>
            <w:r>
              <w:rPr>
                <w:sz w:val="16"/>
              </w:rPr>
              <w:t>$0.095</w:t>
            </w:r>
          </w:p>
        </w:tc>
      </w:tr>
      <w:tr>
        <w:tc>
          <w:tcPr>
            <w:tcW w:w="1500" w:type="dxa"/>
          </w:tcPr>
          <w:p>
            <w:pPr>
              <w:spacing w:before="10" w:after="10"/>
            </w:pPr>
            <w:r/>
            <w:r>
              <w:rPr>
                <w:sz w:val="16"/>
              </w:rPr>
              <w:t>Malta</w:t>
            </w:r>
          </w:p>
        </w:tc>
        <w:tc>
          <w:tcPr>
            <w:tcW w:w="650" w:type="dxa"/>
          </w:tcPr>
          <w:p>
            <w:pPr>
              <w:spacing w:before="10" w:after="10"/>
            </w:pPr>
            <w:r/>
            <w:r>
              <w:rPr>
                <w:sz w:val="16"/>
              </w:rPr>
              <w:t>$0.111</w:t>
            </w:r>
          </w:p>
        </w:tc>
        <w:tc>
          <w:tcPr>
            <w:tcW w:w="550" w:type="dxa"/>
          </w:tcPr>
          <w:p>
            <w:pPr>
              <w:jc w:val="right"/>
              <w:spacing w:before="10" w:after="10"/>
            </w:pPr>
            <w:r/>
            <w:r>
              <w:rPr>
                <w:sz w:val="16"/>
              </w:rPr>
              <w:t>27.0</w:t>
            </w:r>
          </w:p>
        </w:tc>
        <w:tc>
          <w:tcPr>
            <w:tcW w:w="500" w:type="dxa"/>
          </w:tcPr>
          <w:p>
            <w:pPr>
              <w:jc w:val="right"/>
              <w:spacing w:before="10" w:after="10"/>
            </w:pPr>
            <w:r/>
            <w:r>
              <w:rPr>
                <w:sz w:val="16"/>
              </w:rPr>
              <w:t>1.26</w:t>
            </w:r>
          </w:p>
        </w:tc>
        <w:tc>
          <w:tcPr>
            <w:tcW w:w="600" w:type="dxa"/>
          </w:tcPr>
          <w:p>
            <w:pPr>
              <w:jc w:val="right"/>
              <w:spacing w:before="10" w:after="10"/>
            </w:pPr>
            <w:r/>
            <w:r>
              <w:rPr>
                <w:sz w:val="16"/>
              </w:rPr>
              <w:t>$9.40</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450" w:type="dxa"/>
          </w:tcPr>
          <w:p>
            <w:pPr>
              <w:jc w:val="right"/>
              <w:spacing w:before="10" w:after="10"/>
            </w:pPr>
            <w:r/>
            <w:r>
              <w:rPr>
                <w:sz w:val="16"/>
              </w:rPr>
              <w:t>0.85</w:t>
            </w:r>
          </w:p>
        </w:tc>
        <w:tc>
          <w:tcPr>
            <w:tcW w:w="650" w:type="dxa"/>
          </w:tcPr>
          <w:p>
            <w:pPr>
              <w:jc w:val="right"/>
              <w:spacing w:before="10" w:after="10"/>
            </w:pPr>
            <w:r/>
            <w:r>
              <w:rPr>
                <w:sz w:val="16"/>
              </w:rPr>
              <w:t>$1.51</w:t>
            </w:r>
          </w:p>
        </w:tc>
        <w:tc>
          <w:tcPr>
            <w:tcW w:w="700" w:type="dxa"/>
          </w:tcPr>
          <w:p>
            <w:pPr>
              <w:jc w:val="right"/>
              <w:spacing w:before="10" w:after="10"/>
            </w:pPr>
            <w:r/>
            <w:r>
              <w:rPr>
                <w:sz w:val="16"/>
              </w:rPr>
              <w:t>$0.111</w:t>
            </w:r>
          </w:p>
        </w:tc>
      </w:tr>
      <w:tr>
        <w:tc>
          <w:tcPr>
            <w:tcW w:w="1500" w:type="dxa"/>
          </w:tcPr>
          <w:p>
            <w:pPr>
              <w:spacing w:before="10" w:after="10"/>
            </w:pPr>
            <w:r/>
            <w:r>
              <w:rPr>
                <w:sz w:val="16"/>
              </w:rPr>
              <w:t>Philippines</w:t>
            </w:r>
          </w:p>
        </w:tc>
        <w:tc>
          <w:tcPr>
            <w:tcW w:w="650" w:type="dxa"/>
          </w:tcPr>
          <w:p>
            <w:pPr>
              <w:spacing w:before="10" w:after="10"/>
            </w:pPr>
            <w:r/>
            <w:r>
              <w:rPr>
                <w:sz w:val="16"/>
              </w:rPr>
              <w:t>$0.115</w:t>
            </w:r>
          </w:p>
        </w:tc>
        <w:tc>
          <w:tcPr>
            <w:tcW w:w="550" w:type="dxa"/>
          </w:tcPr>
          <w:p>
            <w:pPr>
              <w:jc w:val="right"/>
              <w:spacing w:before="10" w:after="10"/>
            </w:pPr>
            <w:r/>
            <w:r>
              <w:rPr>
                <w:sz w:val="16"/>
              </w:rPr>
              <w:t>27.8</w:t>
            </w:r>
          </w:p>
        </w:tc>
        <w:tc>
          <w:tcPr>
            <w:tcW w:w="500" w:type="dxa"/>
          </w:tcPr>
          <w:p>
            <w:pPr>
              <w:jc w:val="right"/>
              <w:spacing w:before="10" w:after="10"/>
            </w:pPr>
            <w:r/>
            <w:r>
              <w:rPr>
                <w:sz w:val="16"/>
              </w:rPr>
              <w:t>1.27</w:t>
            </w:r>
          </w:p>
        </w:tc>
        <w:tc>
          <w:tcPr>
            <w:tcW w:w="600" w:type="dxa"/>
          </w:tcPr>
          <w:p>
            <w:pPr>
              <w:jc w:val="right"/>
              <w:spacing w:before="10" w:after="10"/>
            </w:pPr>
            <w:r/>
            <w:r>
              <w:rPr>
                <w:sz w:val="16"/>
              </w:rPr>
              <w:t>$8.80</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450" w:type="dxa"/>
          </w:tcPr>
          <w:p>
            <w:pPr>
              <w:jc w:val="right"/>
              <w:spacing w:before="10" w:after="10"/>
            </w:pPr>
            <w:r/>
            <w:r>
              <w:rPr>
                <w:sz w:val="16"/>
              </w:rPr>
              <w:t>0.51</w:t>
            </w:r>
          </w:p>
        </w:tc>
        <w:tc>
          <w:tcPr>
            <w:tcW w:w="650" w:type="dxa"/>
          </w:tcPr>
          <w:p>
            <w:pPr>
              <w:jc w:val="right"/>
              <w:spacing w:before="10" w:after="10"/>
            </w:pPr>
            <w:r/>
            <w:r>
              <w:rPr>
                <w:sz w:val="16"/>
              </w:rPr>
              <w:t>$1.51</w:t>
            </w:r>
          </w:p>
        </w:tc>
        <w:tc>
          <w:tcPr>
            <w:tcW w:w="700" w:type="dxa"/>
          </w:tcPr>
          <w:p>
            <w:pPr>
              <w:jc w:val="right"/>
              <w:spacing w:before="10" w:after="10"/>
            </w:pPr>
            <w:r/>
            <w:r>
              <w:rPr>
                <w:sz w:val="16"/>
              </w:rPr>
              <w:t>$0.115</w:t>
            </w:r>
          </w:p>
        </w:tc>
      </w:tr>
      <w:tr>
        <w:tc>
          <w:tcPr>
            <w:tcW w:w="1500" w:type="dxa"/>
          </w:tcPr>
          <w:p>
            <w:pPr>
              <w:spacing w:before="10" w:after="10"/>
            </w:pPr>
            <w:r/>
            <w:r>
              <w:rPr>
                <w:sz w:val="16"/>
              </w:rPr>
              <w:t>Portugal</w:t>
            </w:r>
          </w:p>
        </w:tc>
        <w:tc>
          <w:tcPr>
            <w:tcW w:w="650" w:type="dxa"/>
          </w:tcPr>
          <w:p>
            <w:pPr>
              <w:spacing w:before="10" w:after="10"/>
            </w:pPr>
            <w:r/>
            <w:r>
              <w:rPr>
                <w:sz w:val="16"/>
              </w:rPr>
              <w:t>$0.109</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00" w:type="dxa"/>
          </w:tcPr>
          <w:p>
            <w:pPr>
              <w:jc w:val="right"/>
              <w:spacing w:before="10" w:after="10"/>
            </w:pPr>
            <w:r/>
            <w:r>
              <w:rPr>
                <w:sz w:val="16"/>
              </w:rPr>
              <w:t>$10.25</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0.89</w:t>
            </w:r>
          </w:p>
        </w:tc>
        <w:tc>
          <w:tcPr>
            <w:tcW w:w="650" w:type="dxa"/>
          </w:tcPr>
          <w:p>
            <w:pPr>
              <w:jc w:val="right"/>
              <w:spacing w:before="10" w:after="10"/>
            </w:pPr>
            <w:r/>
            <w:r>
              <w:rPr>
                <w:sz w:val="16"/>
              </w:rPr>
              <w:t>$1.50</w:t>
            </w:r>
          </w:p>
        </w:tc>
        <w:tc>
          <w:tcPr>
            <w:tcW w:w="700" w:type="dxa"/>
          </w:tcPr>
          <w:p>
            <w:pPr>
              <w:jc w:val="right"/>
              <w:spacing w:before="10" w:after="10"/>
            </w:pPr>
            <w:r/>
            <w:r>
              <w:rPr>
                <w:sz w:val="16"/>
              </w:rPr>
              <w:t>$0.109</w:t>
            </w:r>
          </w:p>
        </w:tc>
      </w:tr>
      <w:tr>
        <w:tc>
          <w:tcPr>
            <w:tcW w:w="1500" w:type="dxa"/>
          </w:tcPr>
          <w:p>
            <w:pPr>
              <w:spacing w:before="10" w:after="10"/>
            </w:pPr>
            <w:r/>
            <w:r>
              <w:rPr>
                <w:sz w:val="16"/>
              </w:rPr>
              <w:t>Latvia</w:t>
            </w:r>
          </w:p>
        </w:tc>
        <w:tc>
          <w:tcPr>
            <w:tcW w:w="650" w:type="dxa"/>
          </w:tcPr>
          <w:p>
            <w:pPr>
              <w:spacing w:before="10" w:after="10"/>
            </w:pPr>
            <w:r/>
            <w:r>
              <w:rPr>
                <w:sz w:val="16"/>
              </w:rPr>
              <w:t>$0.110</w:t>
            </w:r>
          </w:p>
        </w:tc>
        <w:tc>
          <w:tcPr>
            <w:tcW w:w="550" w:type="dxa"/>
          </w:tcPr>
          <w:p>
            <w:pPr>
              <w:jc w:val="right"/>
              <w:spacing w:before="10" w:after="10"/>
            </w:pPr>
            <w:r/>
            <w:r>
              <w:rPr>
                <w:sz w:val="16"/>
              </w:rPr>
              <w:t>18.4</w:t>
            </w:r>
          </w:p>
        </w:tc>
        <w:tc>
          <w:tcPr>
            <w:tcW w:w="500" w:type="dxa"/>
          </w:tcPr>
          <w:p>
            <w:pPr>
              <w:jc w:val="right"/>
              <w:spacing w:before="10" w:after="10"/>
            </w:pPr>
            <w:r/>
            <w:r>
              <w:rPr>
                <w:sz w:val="16"/>
              </w:rPr>
              <w:t>1.13</w:t>
            </w:r>
          </w:p>
        </w:tc>
        <w:tc>
          <w:tcPr>
            <w:tcW w:w="600" w:type="dxa"/>
          </w:tcPr>
          <w:p>
            <w:pPr>
              <w:jc w:val="right"/>
              <w:spacing w:before="10" w:after="10"/>
            </w:pPr>
            <w:r/>
            <w:r>
              <w:rPr>
                <w:sz w:val="16"/>
              </w:rPr>
              <w:t>$10.92</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450" w:type="dxa"/>
          </w:tcPr>
          <w:p>
            <w:pPr>
              <w:jc w:val="right"/>
              <w:spacing w:before="10" w:after="10"/>
            </w:pPr>
            <w:r/>
            <w:r>
              <w:rPr>
                <w:sz w:val="16"/>
              </w:rPr>
              <w:t>0.86</w:t>
            </w:r>
          </w:p>
        </w:tc>
        <w:tc>
          <w:tcPr>
            <w:tcW w:w="650" w:type="dxa"/>
          </w:tcPr>
          <w:p>
            <w:pPr>
              <w:jc w:val="right"/>
              <w:spacing w:before="10" w:after="10"/>
            </w:pPr>
            <w:r/>
            <w:r>
              <w:rPr>
                <w:sz w:val="16"/>
              </w:rPr>
              <w:t>$1.50</w:t>
            </w:r>
          </w:p>
        </w:tc>
        <w:tc>
          <w:tcPr>
            <w:tcW w:w="700" w:type="dxa"/>
          </w:tcPr>
          <w:p>
            <w:pPr>
              <w:jc w:val="right"/>
              <w:spacing w:before="10" w:after="10"/>
            </w:pPr>
            <w:r/>
            <w:r>
              <w:rPr>
                <w:sz w:val="16"/>
              </w:rPr>
              <w:t>$0.110</w:t>
            </w:r>
          </w:p>
        </w:tc>
      </w:tr>
      <w:tr>
        <w:tc>
          <w:tcPr>
            <w:tcW w:w="1500" w:type="dxa"/>
          </w:tcPr>
          <w:p>
            <w:pPr>
              <w:spacing w:before="10" w:after="10"/>
            </w:pPr>
            <w:r/>
            <w:r>
              <w:rPr>
                <w:sz w:val="16"/>
              </w:rPr>
              <w:t>Pakistan</w:t>
            </w:r>
          </w:p>
        </w:tc>
        <w:tc>
          <w:tcPr>
            <w:tcW w:w="650" w:type="dxa"/>
          </w:tcPr>
          <w:p>
            <w:pPr>
              <w:spacing w:before="10" w:after="10"/>
            </w:pPr>
            <w:r/>
            <w:r>
              <w:rPr>
                <w:sz w:val="16"/>
              </w:rPr>
              <w:t>$0.134</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00" w:type="dxa"/>
          </w:tcPr>
          <w:p>
            <w:pPr>
              <w:jc w:val="right"/>
              <w:spacing w:before="10" w:after="10"/>
            </w:pPr>
            <w:r/>
            <w:r>
              <w:rPr>
                <w:sz w:val="16"/>
              </w:rPr>
              <w:t>$6.57</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0.34</w:t>
            </w:r>
          </w:p>
        </w:tc>
        <w:tc>
          <w:tcPr>
            <w:tcW w:w="650" w:type="dxa"/>
          </w:tcPr>
          <w:p>
            <w:pPr>
              <w:jc w:val="right"/>
              <w:spacing w:before="10" w:after="10"/>
            </w:pPr>
            <w:r/>
            <w:r>
              <w:rPr>
                <w:sz w:val="16"/>
              </w:rPr>
              <w:t>$1.52</w:t>
            </w:r>
          </w:p>
        </w:tc>
        <w:tc>
          <w:tcPr>
            <w:tcW w:w="700" w:type="dxa"/>
          </w:tcPr>
          <w:p>
            <w:pPr>
              <w:jc w:val="right"/>
              <w:spacing w:before="10" w:after="10"/>
            </w:pPr>
            <w:r/>
            <w:r>
              <w:rPr>
                <w:sz w:val="16"/>
              </w:rPr>
              <w:t>$0.134</w:t>
            </w:r>
          </w:p>
        </w:tc>
      </w:tr>
      <w:tr>
        <w:tc>
          <w:tcPr>
            <w:tcW w:w="1500" w:type="dxa"/>
          </w:tcPr>
          <w:p>
            <w:pPr>
              <w:spacing w:before="10" w:after="10"/>
            </w:pPr>
            <w:r/>
            <w:r>
              <w:rPr>
                <w:sz w:val="16"/>
              </w:rPr>
              <w:t>Israel</w:t>
            </w:r>
          </w:p>
        </w:tc>
        <w:tc>
          <w:tcPr>
            <w:tcW w:w="650" w:type="dxa"/>
          </w:tcPr>
          <w:p>
            <w:pPr>
              <w:spacing w:before="10" w:after="10"/>
            </w:pPr>
            <w:r/>
            <w:r>
              <w:rPr>
                <w:sz w:val="16"/>
              </w:rPr>
              <w:t>$0.108</w:t>
            </w:r>
          </w:p>
        </w:tc>
        <w:tc>
          <w:tcPr>
            <w:tcW w:w="550" w:type="dxa"/>
          </w:tcPr>
          <w:p>
            <w:pPr>
              <w:jc w:val="right"/>
              <w:spacing w:before="10" w:after="10"/>
            </w:pPr>
            <w:r/>
            <w:r>
              <w:rPr>
                <w:sz w:val="16"/>
              </w:rPr>
              <w:t>28.2</w:t>
            </w:r>
          </w:p>
        </w:tc>
        <w:tc>
          <w:tcPr>
            <w:tcW w:w="500" w:type="dxa"/>
          </w:tcPr>
          <w:p>
            <w:pPr>
              <w:jc w:val="right"/>
              <w:spacing w:before="10" w:after="10"/>
            </w:pPr>
            <w:r/>
            <w:r>
              <w:rPr>
                <w:sz w:val="16"/>
              </w:rPr>
              <w:t>1.28</w:t>
            </w:r>
          </w:p>
        </w:tc>
        <w:tc>
          <w:tcPr>
            <w:tcW w:w="600" w:type="dxa"/>
          </w:tcPr>
          <w:p>
            <w:pPr>
              <w:jc w:val="right"/>
              <w:spacing w:before="10" w:after="10"/>
            </w:pPr>
            <w:r/>
            <w:r>
              <w:rPr>
                <w:sz w:val="16"/>
              </w:rPr>
              <w:t>$10.09</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450" w:type="dxa"/>
          </w:tcPr>
          <w:p>
            <w:pPr>
              <w:jc w:val="right"/>
              <w:spacing w:before="10" w:after="10"/>
            </w:pPr>
            <w:r/>
            <w:r>
              <w:rPr>
                <w:sz w:val="16"/>
              </w:rPr>
              <w:t>0.87</w:t>
            </w:r>
          </w:p>
        </w:tc>
        <w:tc>
          <w:tcPr>
            <w:tcW w:w="650" w:type="dxa"/>
          </w:tcPr>
          <w:p>
            <w:pPr>
              <w:jc w:val="right"/>
              <w:spacing w:before="10" w:after="10"/>
            </w:pPr>
            <w:r/>
            <w:r>
              <w:rPr>
                <w:sz w:val="16"/>
              </w:rPr>
              <w:t>$1.51</w:t>
            </w:r>
          </w:p>
        </w:tc>
        <w:tc>
          <w:tcPr>
            <w:tcW w:w="700" w:type="dxa"/>
          </w:tcPr>
          <w:p>
            <w:pPr>
              <w:jc w:val="right"/>
              <w:spacing w:before="10" w:after="10"/>
            </w:pPr>
            <w:r/>
            <w:r>
              <w:rPr>
                <w:sz w:val="16"/>
              </w:rPr>
              <w:t>$0.108</w:t>
            </w:r>
          </w:p>
        </w:tc>
      </w:tr>
      <w:tr>
        <w:tc>
          <w:tcPr>
            <w:tcW w:w="1500" w:type="dxa"/>
          </w:tcPr>
          <w:p>
            <w:pPr>
              <w:spacing w:before="10" w:after="10"/>
            </w:pPr>
            <w:r/>
            <w:r>
              <w:rPr>
                <w:sz w:val="16"/>
              </w:rPr>
              <w:t>Spain</w:t>
            </w:r>
          </w:p>
        </w:tc>
        <w:tc>
          <w:tcPr>
            <w:tcW w:w="650" w:type="dxa"/>
          </w:tcPr>
          <w:p>
            <w:pPr>
              <w:spacing w:before="10" w:after="10"/>
            </w:pPr>
            <w:r/>
            <w:r>
              <w:rPr>
                <w:sz w:val="16"/>
              </w:rPr>
              <w:t>$0.113</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00" w:type="dxa"/>
          </w:tcPr>
          <w:p>
            <w:pPr>
              <w:jc w:val="right"/>
              <w:spacing w:before="10" w:after="10"/>
            </w:pPr>
            <w:r/>
            <w:r>
              <w:rPr>
                <w:sz w:val="16"/>
              </w:rPr>
              <w:t>$10.04</w:t>
            </w:r>
          </w:p>
        </w:tc>
        <w:tc>
          <w:tcPr>
            <w:tcW w:w="650" w:type="dxa"/>
          </w:tcPr>
          <w:p>
            <w:pPr>
              <w:jc w:val="right"/>
              <w:spacing w:before="10" w:after="10"/>
            </w:pPr>
            <w:r/>
            <w:r>
              <w:rPr>
                <w:sz w:val="16"/>
              </w:rPr>
              <w:t>720</w:t>
            </w:r>
          </w:p>
        </w:tc>
        <w:tc>
          <w:tcPr>
            <w:tcW w:w="550" w:type="dxa"/>
          </w:tcPr>
          <w:p>
            <w:pPr>
              <w:jc w:val="right"/>
              <w:spacing w:before="10" w:after="10"/>
            </w:pPr>
            <w:r/>
            <w:r>
              <w:rPr>
                <w:sz w:val="16"/>
              </w:rPr>
              <w:t>0.6</w:t>
            </w:r>
          </w:p>
        </w:tc>
        <w:tc>
          <w:tcPr>
            <w:tcW w:w="450" w:type="dxa"/>
          </w:tcPr>
          <w:p>
            <w:pPr>
              <w:jc w:val="right"/>
              <w:spacing w:before="10" w:after="10"/>
            </w:pPr>
            <w:r/>
            <w:r>
              <w:rPr>
                <w:sz w:val="16"/>
              </w:rPr>
              <w:t>0.86</w:t>
            </w:r>
          </w:p>
        </w:tc>
        <w:tc>
          <w:tcPr>
            <w:tcW w:w="650" w:type="dxa"/>
          </w:tcPr>
          <w:p>
            <w:pPr>
              <w:jc w:val="right"/>
              <w:spacing w:before="10" w:after="10"/>
            </w:pPr>
            <w:r/>
            <w:r>
              <w:rPr>
                <w:sz w:val="16"/>
              </w:rPr>
              <w:t>$1.51</w:t>
            </w:r>
          </w:p>
        </w:tc>
        <w:tc>
          <w:tcPr>
            <w:tcW w:w="700" w:type="dxa"/>
          </w:tcPr>
          <w:p>
            <w:pPr>
              <w:jc w:val="right"/>
              <w:spacing w:before="10" w:after="10"/>
            </w:pPr>
            <w:r/>
            <w:r>
              <w:rPr>
                <w:sz w:val="16"/>
              </w:rPr>
              <w:t>$0.113</w:t>
            </w:r>
          </w:p>
        </w:tc>
      </w:tr>
      <w:tr>
        <w:tc>
          <w:tcPr>
            <w:tcW w:w="1500" w:type="dxa"/>
          </w:tcPr>
          <w:p>
            <w:pPr>
              <w:spacing w:before="10" w:after="10"/>
            </w:pPr>
            <w:r/>
            <w:r>
              <w:rPr>
                <w:sz w:val="16"/>
              </w:rPr>
              <w:t>Malaysia</w:t>
            </w:r>
          </w:p>
        </w:tc>
        <w:tc>
          <w:tcPr>
            <w:tcW w:w="650" w:type="dxa"/>
          </w:tcPr>
          <w:p>
            <w:pPr>
              <w:spacing w:before="10" w:after="10"/>
            </w:pPr>
            <w:r/>
            <w:r>
              <w:rPr>
                <w:sz w:val="16"/>
              </w:rPr>
              <w:t>$0.099</w:t>
            </w:r>
          </w:p>
        </w:tc>
        <w:tc>
          <w:tcPr>
            <w:tcW w:w="550" w:type="dxa"/>
          </w:tcPr>
          <w:p>
            <w:pPr>
              <w:jc w:val="right"/>
              <w:spacing w:before="10" w:after="10"/>
            </w:pPr>
            <w:r/>
            <w:r>
              <w:rPr>
                <w:sz w:val="16"/>
              </w:rPr>
              <w:t>26.9</w:t>
            </w:r>
          </w:p>
        </w:tc>
        <w:tc>
          <w:tcPr>
            <w:tcW w:w="500" w:type="dxa"/>
          </w:tcPr>
          <w:p>
            <w:pPr>
              <w:jc w:val="right"/>
              <w:spacing w:before="10" w:after="10"/>
            </w:pPr>
            <w:r/>
            <w:r>
              <w:rPr>
                <w:sz w:val="16"/>
              </w:rPr>
              <w:t>1.26</w:t>
            </w:r>
          </w:p>
        </w:tc>
        <w:tc>
          <w:tcPr>
            <w:tcW w:w="600" w:type="dxa"/>
          </w:tcPr>
          <w:p>
            <w:pPr>
              <w:jc w:val="right"/>
              <w:spacing w:before="10" w:after="10"/>
            </w:pPr>
            <w:r/>
            <w:r>
              <w:rPr>
                <w:sz w:val="16"/>
              </w:rPr>
              <w:t>$11.37</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0.80</w:t>
            </w:r>
          </w:p>
        </w:tc>
        <w:tc>
          <w:tcPr>
            <w:tcW w:w="650" w:type="dxa"/>
          </w:tcPr>
          <w:p>
            <w:pPr>
              <w:jc w:val="right"/>
              <w:spacing w:before="10" w:after="10"/>
            </w:pPr>
            <w:r/>
            <w:r>
              <w:rPr>
                <w:sz w:val="16"/>
              </w:rPr>
              <w:t>$1.51</w:t>
            </w:r>
          </w:p>
        </w:tc>
        <w:tc>
          <w:tcPr>
            <w:tcW w:w="700" w:type="dxa"/>
          </w:tcPr>
          <w:p>
            <w:pPr>
              <w:jc w:val="right"/>
              <w:spacing w:before="10" w:after="10"/>
            </w:pPr>
            <w:r/>
            <w:r>
              <w:rPr>
                <w:sz w:val="16"/>
              </w:rPr>
              <w:t>$0.099</w:t>
            </w:r>
          </w:p>
        </w:tc>
      </w:tr>
      <w:tr>
        <w:tc>
          <w:tcPr>
            <w:tcW w:w="1500" w:type="dxa"/>
          </w:tcPr>
          <w:p>
            <w:pPr>
              <w:spacing w:before="10" w:after="10"/>
            </w:pPr>
            <w:r/>
            <w:r>
              <w:rPr>
                <w:sz w:val="16"/>
              </w:rPr>
              <w:t>Thailand</w:t>
            </w:r>
          </w:p>
        </w:tc>
        <w:tc>
          <w:tcPr>
            <w:tcW w:w="650" w:type="dxa"/>
          </w:tcPr>
          <w:p>
            <w:pPr>
              <w:spacing w:before="10" w:after="10"/>
            </w:pPr>
            <w:r/>
            <w:r>
              <w:rPr>
                <w:sz w:val="16"/>
              </w:rPr>
              <w:t>$0.108</w:t>
            </w:r>
          </w:p>
        </w:tc>
        <w:tc>
          <w:tcPr>
            <w:tcW w:w="550" w:type="dxa"/>
          </w:tcPr>
          <w:p>
            <w:pPr>
              <w:jc w:val="right"/>
              <w:spacing w:before="10" w:after="10"/>
            </w:pPr>
            <w:r/>
            <w:r>
              <w:rPr>
                <w:sz w:val="16"/>
              </w:rPr>
              <w:t>29.3</w:t>
            </w:r>
          </w:p>
        </w:tc>
        <w:tc>
          <w:tcPr>
            <w:tcW w:w="500" w:type="dxa"/>
          </w:tcPr>
          <w:p>
            <w:pPr>
              <w:jc w:val="right"/>
              <w:spacing w:before="10" w:after="10"/>
            </w:pPr>
            <w:r/>
            <w:r>
              <w:rPr>
                <w:sz w:val="16"/>
              </w:rPr>
              <w:t>1.29</w:t>
            </w:r>
          </w:p>
        </w:tc>
        <w:tc>
          <w:tcPr>
            <w:tcW w:w="600" w:type="dxa"/>
          </w:tcPr>
          <w:p>
            <w:pPr>
              <w:jc w:val="right"/>
              <w:spacing w:before="10" w:after="10"/>
            </w:pPr>
            <w:r/>
            <w:r>
              <w:rPr>
                <w:sz w:val="16"/>
              </w:rPr>
              <w:t>$10.03</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450" w:type="dxa"/>
          </w:tcPr>
          <w:p>
            <w:pPr>
              <w:jc w:val="right"/>
              <w:spacing w:before="10" w:after="10"/>
            </w:pPr>
            <w:r/>
            <w:r>
              <w:rPr>
                <w:sz w:val="16"/>
              </w:rPr>
              <w:t>0.70</w:t>
            </w:r>
          </w:p>
        </w:tc>
        <w:tc>
          <w:tcPr>
            <w:tcW w:w="650" w:type="dxa"/>
          </w:tcPr>
          <w:p>
            <w:pPr>
              <w:jc w:val="right"/>
              <w:spacing w:before="10" w:after="10"/>
            </w:pPr>
            <w:r/>
            <w:r>
              <w:rPr>
                <w:sz w:val="16"/>
              </w:rPr>
              <w:t>$1.51</w:t>
            </w:r>
          </w:p>
        </w:tc>
        <w:tc>
          <w:tcPr>
            <w:tcW w:w="700" w:type="dxa"/>
          </w:tcPr>
          <w:p>
            <w:pPr>
              <w:jc w:val="right"/>
              <w:spacing w:before="10" w:after="10"/>
            </w:pPr>
            <w:r/>
            <w:r>
              <w:rPr>
                <w:sz w:val="16"/>
              </w:rPr>
              <w:t>$0.108</w:t>
            </w:r>
          </w:p>
        </w:tc>
      </w:tr>
      <w:tr>
        <w:tc>
          <w:tcPr>
            <w:tcW w:w="1500" w:type="dxa"/>
          </w:tcPr>
          <w:p>
            <w:pPr>
              <w:spacing w:before="10" w:after="10"/>
            </w:pPr>
            <w:r/>
            <w:r>
              <w:rPr>
                <w:sz w:val="16"/>
              </w:rPr>
              <w:t>Belgium</w:t>
            </w:r>
          </w:p>
        </w:tc>
        <w:tc>
          <w:tcPr>
            <w:tcW w:w="650" w:type="dxa"/>
          </w:tcPr>
          <w:p>
            <w:pPr>
              <w:spacing w:before="10" w:after="10"/>
            </w:pPr>
            <w:r/>
            <w:r>
              <w:rPr>
                <w:sz w:val="16"/>
              </w:rPr>
              <w:t>$0.125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00" w:type="dxa"/>
          </w:tcPr>
          <w:p>
            <w:pPr>
              <w:jc w:val="right"/>
              <w:spacing w:before="10" w:after="10"/>
            </w:pPr>
            <w:r/>
            <w:r>
              <w:rPr>
                <w:sz w:val="16"/>
              </w:rPr>
              <w:t>$9.97</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450" w:type="dxa"/>
          </w:tcPr>
          <w:p>
            <w:pPr>
              <w:jc w:val="right"/>
              <w:spacing w:before="10" w:after="10"/>
            </w:pPr>
            <w:r/>
            <w:r>
              <w:rPr>
                <w:sz w:val="16"/>
              </w:rPr>
              <w:t>0.94</w:t>
            </w:r>
          </w:p>
        </w:tc>
        <w:tc>
          <w:tcPr>
            <w:tcW w:w="650" w:type="dxa"/>
          </w:tcPr>
          <w:p>
            <w:pPr>
              <w:jc w:val="right"/>
              <w:spacing w:before="10" w:after="10"/>
            </w:pPr>
            <w:r/>
            <w:r>
              <w:rPr>
                <w:sz w:val="16"/>
              </w:rPr>
              <w:t>$1.51</w:t>
            </w:r>
          </w:p>
        </w:tc>
        <w:tc>
          <w:tcPr>
            <w:tcW w:w="700" w:type="dxa"/>
          </w:tcPr>
          <w:p>
            <w:pPr>
              <w:jc w:val="right"/>
              <w:spacing w:before="10" w:after="10"/>
            </w:pPr>
            <w:r/>
            <w:r>
              <w:rPr>
                <w:sz w:val="16"/>
              </w:rPr>
              <w:t>$0.125</w:t>
            </w:r>
          </w:p>
        </w:tc>
      </w:tr>
      <w:tr>
        <w:tc>
          <w:tcPr>
            <w:tcW w:w="1500" w:type="dxa"/>
          </w:tcPr>
          <w:p>
            <w:pPr>
              <w:spacing w:before="10" w:after="10"/>
            </w:pPr>
            <w:r/>
            <w:r>
              <w:rPr>
                <w:sz w:val="16"/>
              </w:rPr>
              <w:t>Serbia</w:t>
            </w:r>
          </w:p>
        </w:tc>
        <w:tc>
          <w:tcPr>
            <w:tcW w:w="650" w:type="dxa"/>
          </w:tcPr>
          <w:p>
            <w:pPr>
              <w:spacing w:before="10" w:after="10"/>
            </w:pPr>
            <w:r/>
            <w:r>
              <w:rPr>
                <w:sz w:val="16"/>
              </w:rPr>
              <w:t>$0.120</w:t>
            </w:r>
          </w:p>
        </w:tc>
        <w:tc>
          <w:tcPr>
            <w:tcW w:w="550" w:type="dxa"/>
          </w:tcPr>
          <w:p>
            <w:pPr>
              <w:jc w:val="right"/>
              <w:spacing w:before="10" w:after="10"/>
            </w:pPr>
            <w:r/>
            <w:r>
              <w:rPr>
                <w:sz w:val="16"/>
              </w:rPr>
              <w:t>23.2</w:t>
            </w:r>
          </w:p>
        </w:tc>
        <w:tc>
          <w:tcPr>
            <w:tcW w:w="500" w:type="dxa"/>
          </w:tcPr>
          <w:p>
            <w:pPr>
              <w:jc w:val="right"/>
              <w:spacing w:before="10" w:after="10"/>
            </w:pPr>
            <w:r/>
            <w:r>
              <w:rPr>
                <w:sz w:val="16"/>
              </w:rPr>
              <w:t>1.20</w:t>
            </w:r>
          </w:p>
        </w:tc>
        <w:tc>
          <w:tcPr>
            <w:tcW w:w="600" w:type="dxa"/>
          </w:tcPr>
          <w:p>
            <w:pPr>
              <w:jc w:val="right"/>
              <w:spacing w:before="10" w:after="10"/>
            </w:pPr>
            <w:r/>
            <w:r>
              <w:rPr>
                <w:sz w:val="16"/>
              </w:rPr>
              <w:t>$10.15</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450" w:type="dxa"/>
          </w:tcPr>
          <w:p>
            <w:pPr>
              <w:jc w:val="right"/>
              <w:spacing w:before="10" w:after="10"/>
            </w:pPr>
            <w:r/>
            <w:r>
              <w:rPr>
                <w:sz w:val="16"/>
              </w:rPr>
              <w:t>0.64</w:t>
            </w:r>
          </w:p>
        </w:tc>
        <w:tc>
          <w:tcPr>
            <w:tcW w:w="650" w:type="dxa"/>
          </w:tcPr>
          <w:p>
            <w:pPr>
              <w:jc w:val="right"/>
              <w:spacing w:before="10" w:after="10"/>
            </w:pPr>
            <w:r/>
            <w:r>
              <w:rPr>
                <w:sz w:val="16"/>
              </w:rPr>
              <w:t>$1.51</w:t>
            </w:r>
          </w:p>
        </w:tc>
        <w:tc>
          <w:tcPr>
            <w:tcW w:w="700" w:type="dxa"/>
          </w:tcPr>
          <w:p>
            <w:pPr>
              <w:jc w:val="right"/>
              <w:spacing w:before="10" w:after="10"/>
            </w:pPr>
            <w:r/>
            <w:r>
              <w:rPr>
                <w:sz w:val="16"/>
              </w:rPr>
              <w:t>$0.120</w:t>
            </w:r>
          </w:p>
        </w:tc>
      </w:tr>
      <w:tr>
        <w:tc>
          <w:tcPr>
            <w:tcW w:w="1500" w:type="dxa"/>
          </w:tcPr>
          <w:p>
            <w:pPr>
              <w:spacing w:before="10" w:after="10"/>
            </w:pPr>
            <w:r/>
            <w:r>
              <w:rPr>
                <w:sz w:val="16"/>
              </w:rPr>
              <w:t>Saudi Arabia</w:t>
            </w:r>
          </w:p>
        </w:tc>
        <w:tc>
          <w:tcPr>
            <w:tcW w:w="650" w:type="dxa"/>
          </w:tcPr>
          <w:p>
            <w:pPr>
              <w:spacing w:before="10" w:after="10"/>
            </w:pPr>
            <w:r/>
            <w:r>
              <w:rPr>
                <w:sz w:val="16"/>
              </w:rPr>
              <w:t>$0.053</w:t>
            </w:r>
          </w:p>
        </w:tc>
        <w:tc>
          <w:tcPr>
            <w:tcW w:w="550" w:type="dxa"/>
          </w:tcPr>
          <w:p>
            <w:pPr>
              <w:jc w:val="right"/>
              <w:spacing w:before="10" w:after="10"/>
            </w:pPr>
            <w:r/>
            <w:r>
              <w:rPr>
                <w:sz w:val="16"/>
              </w:rPr>
              <w:t>36.0</w:t>
            </w:r>
          </w:p>
        </w:tc>
        <w:tc>
          <w:tcPr>
            <w:tcW w:w="500" w:type="dxa"/>
          </w:tcPr>
          <w:p>
            <w:pPr>
              <w:jc w:val="right"/>
              <w:spacing w:before="10" w:after="10"/>
            </w:pPr>
            <w:r/>
            <w:r>
              <w:rPr>
                <w:sz w:val="16"/>
              </w:rPr>
              <w:t>1.40</w:t>
            </w:r>
          </w:p>
        </w:tc>
        <w:tc>
          <w:tcPr>
            <w:tcW w:w="600" w:type="dxa"/>
          </w:tcPr>
          <w:p>
            <w:pPr>
              <w:jc w:val="right"/>
              <w:spacing w:before="10" w:after="10"/>
            </w:pPr>
            <w:r/>
            <w:r>
              <w:rPr>
                <w:sz w:val="16"/>
              </w:rPr>
              <w:t>$11.34</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450" w:type="dxa"/>
          </w:tcPr>
          <w:p>
            <w:pPr>
              <w:jc w:val="right"/>
              <w:spacing w:before="10" w:after="10"/>
            </w:pPr>
            <w:r/>
            <w:r>
              <w:rPr>
                <w:sz w:val="16"/>
              </w:rPr>
              <w:t>0.77</w:t>
            </w:r>
          </w:p>
        </w:tc>
        <w:tc>
          <w:tcPr>
            <w:tcW w:w="650" w:type="dxa"/>
          </w:tcPr>
          <w:p>
            <w:pPr>
              <w:jc w:val="right"/>
              <w:spacing w:before="10" w:after="10"/>
            </w:pPr>
            <w:r/>
            <w:r>
              <w:rPr>
                <w:sz w:val="16"/>
              </w:rPr>
              <w:t>$1.47</w:t>
            </w:r>
          </w:p>
        </w:tc>
        <w:tc>
          <w:tcPr>
            <w:tcW w:w="700" w:type="dxa"/>
          </w:tcPr>
          <w:p>
            <w:pPr>
              <w:jc w:val="right"/>
              <w:spacing w:before="10" w:after="10"/>
            </w:pPr>
            <w:r>
              <w:rPr>
                <w:b/>
              </w:rPr>
            </w:r>
            <w:r>
              <w:rPr>
                <w:sz w:val="16"/>
                <w:b/>
              </w:rPr>
              <w:t>$0.100</w:t>
            </w:r>
          </w:p>
        </w:tc>
      </w:tr>
      <w:tr>
        <w:tc>
          <w:tcPr>
            <w:tcW w:w="1500" w:type="dxa"/>
          </w:tcPr>
          <w:p>
            <w:pPr>
              <w:spacing w:before="10" w:after="10"/>
            </w:pPr>
            <w:r/>
            <w:r>
              <w:rPr>
                <w:sz w:val="16"/>
              </w:rPr>
              <w:t>Luxembourg</w:t>
            </w:r>
          </w:p>
        </w:tc>
        <w:tc>
          <w:tcPr>
            <w:tcW w:w="650" w:type="dxa"/>
          </w:tcPr>
          <w:p>
            <w:pPr>
              <w:spacing w:before="10" w:after="10"/>
            </w:pPr>
            <w:r/>
            <w:r>
              <w:rPr>
                <w:sz w:val="16"/>
              </w:rPr>
              <w:t>$0.128</w:t>
            </w:r>
          </w:p>
        </w:tc>
        <w:tc>
          <w:tcPr>
            <w:tcW w:w="550" w:type="dxa"/>
          </w:tcPr>
          <w:p>
            <w:pPr>
              <w:jc w:val="right"/>
              <w:spacing w:before="10" w:after="10"/>
            </w:pPr>
            <w:r/>
            <w:r>
              <w:rPr>
                <w:sz w:val="16"/>
              </w:rPr>
              <w:t>18.0</w:t>
            </w:r>
          </w:p>
        </w:tc>
        <w:tc>
          <w:tcPr>
            <w:tcW w:w="500" w:type="dxa"/>
          </w:tcPr>
          <w:p>
            <w:pPr>
              <w:jc w:val="right"/>
              <w:spacing w:before="10" w:after="10"/>
            </w:pPr>
            <w:r/>
            <w:r>
              <w:rPr>
                <w:sz w:val="16"/>
              </w:rPr>
              <w:t>1.12</w:t>
            </w:r>
          </w:p>
        </w:tc>
        <w:tc>
          <w:tcPr>
            <w:tcW w:w="600" w:type="dxa"/>
          </w:tcPr>
          <w:p>
            <w:pPr>
              <w:jc w:val="right"/>
              <w:spacing w:before="10" w:after="10"/>
            </w:pPr>
            <w:r/>
            <w:r>
              <w:rPr>
                <w:sz w:val="16"/>
              </w:rPr>
              <w:t>$10.99</w:t>
            </w:r>
          </w:p>
        </w:tc>
        <w:tc>
          <w:tcPr>
            <w:tcW w:w="650" w:type="dxa"/>
          </w:tcPr>
          <w:p>
            <w:pPr>
              <w:jc w:val="right"/>
              <w:spacing w:before="10" w:after="10"/>
            </w:pPr>
            <w:r/>
            <w:r>
              <w:rPr>
                <w:sz w:val="16"/>
              </w:rPr>
              <w:t>70</w:t>
            </w:r>
          </w:p>
        </w:tc>
        <w:tc>
          <w:tcPr>
            <w:tcW w:w="550" w:type="dxa"/>
          </w:tcPr>
          <w:p>
            <w:pPr>
              <w:jc w:val="right"/>
              <w:spacing w:before="10" w:after="10"/>
            </w:pPr>
            <w:r/>
            <w:r>
              <w:rPr>
                <w:sz w:val="16"/>
              </w:rPr>
              <w:t>0.1</w:t>
            </w:r>
          </w:p>
        </w:tc>
        <w:tc>
          <w:tcPr>
            <w:tcW w:w="450" w:type="dxa"/>
          </w:tcPr>
          <w:p>
            <w:pPr>
              <w:jc w:val="right"/>
              <w:spacing w:before="10" w:after="10"/>
            </w:pPr>
            <w:r/>
            <w:r>
              <w:rPr>
                <w:sz w:val="16"/>
              </w:rPr>
              <w:t>0.98</w:t>
            </w:r>
          </w:p>
        </w:tc>
        <w:tc>
          <w:tcPr>
            <w:tcW w:w="650" w:type="dxa"/>
          </w:tcPr>
          <w:p>
            <w:pPr>
              <w:jc w:val="right"/>
              <w:spacing w:before="10" w:after="10"/>
            </w:pPr>
            <w:r/>
            <w:r>
              <w:rPr>
                <w:sz w:val="16"/>
              </w:rPr>
              <w:t>$1.52</w:t>
            </w:r>
          </w:p>
        </w:tc>
        <w:tc>
          <w:tcPr>
            <w:tcW w:w="700" w:type="dxa"/>
          </w:tcPr>
          <w:p>
            <w:pPr>
              <w:jc w:val="right"/>
              <w:spacing w:before="10" w:after="10"/>
            </w:pPr>
            <w:r/>
            <w:r>
              <w:rPr>
                <w:sz w:val="16"/>
              </w:rPr>
              <w:t>$0.128</w:t>
            </w:r>
          </w:p>
        </w:tc>
      </w:tr>
      <w:tr>
        <w:tc>
          <w:tcPr>
            <w:tcW w:w="1500" w:type="dxa"/>
          </w:tcPr>
          <w:p>
            <w:pPr>
              <w:spacing w:before="10" w:after="10"/>
            </w:pPr>
            <w:r/>
            <w:r>
              <w:rPr>
                <w:sz w:val="16"/>
              </w:rPr>
              <w:t>Moldova</w:t>
            </w:r>
          </w:p>
        </w:tc>
        <w:tc>
          <w:tcPr>
            <w:tcW w:w="650" w:type="dxa"/>
          </w:tcPr>
          <w:p>
            <w:pPr>
              <w:spacing w:before="10" w:after="10"/>
            </w:pPr>
            <w:r/>
            <w:r>
              <w:rPr>
                <w:sz w:val="16"/>
              </w:rPr>
              <w:t>$0.135</w:t>
            </w:r>
          </w:p>
        </w:tc>
        <w:tc>
          <w:tcPr>
            <w:tcW w:w="550" w:type="dxa"/>
          </w:tcPr>
          <w:p>
            <w:pPr>
              <w:jc w:val="right"/>
              <w:spacing w:before="10" w:after="10"/>
            </w:pPr>
            <w:r/>
            <w:r>
              <w:rPr>
                <w:sz w:val="16"/>
              </w:rPr>
              <w:t>24.2</w:t>
            </w:r>
          </w:p>
        </w:tc>
        <w:tc>
          <w:tcPr>
            <w:tcW w:w="500" w:type="dxa"/>
          </w:tcPr>
          <w:p>
            <w:pPr>
              <w:jc w:val="right"/>
              <w:spacing w:before="10" w:after="10"/>
            </w:pPr>
            <w:r/>
            <w:r>
              <w:rPr>
                <w:sz w:val="16"/>
              </w:rPr>
              <w:t>1.22</w:t>
            </w:r>
          </w:p>
        </w:tc>
        <w:tc>
          <w:tcPr>
            <w:tcW w:w="600" w:type="dxa"/>
          </w:tcPr>
          <w:p>
            <w:pPr>
              <w:jc w:val="right"/>
              <w:spacing w:before="10" w:after="10"/>
            </w:pPr>
            <w:r/>
            <w:r>
              <w:rPr>
                <w:sz w:val="16"/>
              </w:rPr>
              <w:t>$9.21</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450" w:type="dxa"/>
          </w:tcPr>
          <w:p>
            <w:pPr>
              <w:jc w:val="right"/>
              <w:spacing w:before="10" w:after="10"/>
            </w:pPr>
            <w:r/>
            <w:r>
              <w:rPr>
                <w:sz w:val="16"/>
              </w:rPr>
              <w:t>0.59</w:t>
            </w:r>
          </w:p>
        </w:tc>
        <w:tc>
          <w:tcPr>
            <w:tcW w:w="650" w:type="dxa"/>
          </w:tcPr>
          <w:p>
            <w:pPr>
              <w:jc w:val="right"/>
              <w:spacing w:before="10" w:after="10"/>
            </w:pPr>
            <w:r/>
            <w:r>
              <w:rPr>
                <w:sz w:val="16"/>
              </w:rPr>
              <w:t>$1.52</w:t>
            </w:r>
          </w:p>
        </w:tc>
        <w:tc>
          <w:tcPr>
            <w:tcW w:w="700" w:type="dxa"/>
          </w:tcPr>
          <w:p>
            <w:pPr>
              <w:jc w:val="right"/>
              <w:spacing w:before="10" w:after="10"/>
            </w:pPr>
            <w:r/>
            <w:r>
              <w:rPr>
                <w:sz w:val="16"/>
              </w:rPr>
              <w:t>$0.135</w:t>
            </w:r>
          </w:p>
        </w:tc>
      </w:tr>
      <w:tr>
        <w:tc>
          <w:tcPr>
            <w:tcW w:w="1500" w:type="dxa"/>
          </w:tcPr>
          <w:p>
            <w:pPr>
              <w:spacing w:before="10" w:after="10"/>
            </w:pPr>
            <w:r/>
            <w:r>
              <w:rPr>
                <w:sz w:val="16"/>
              </w:rPr>
              <w:t>South Korea</w:t>
            </w:r>
          </w:p>
        </w:tc>
        <w:tc>
          <w:tcPr>
            <w:tcW w:w="650" w:type="dxa"/>
          </w:tcPr>
          <w:p>
            <w:pPr>
              <w:spacing w:before="10" w:after="10"/>
            </w:pPr>
            <w:r/>
            <w:r>
              <w:rPr>
                <w:sz w:val="16"/>
              </w:rPr>
              <w:t>$0.125</w:t>
            </w:r>
          </w:p>
        </w:tc>
        <w:tc>
          <w:tcPr>
            <w:tcW w:w="550" w:type="dxa"/>
          </w:tcPr>
          <w:p>
            <w:pPr>
              <w:jc w:val="right"/>
              <w:spacing w:before="10" w:after="10"/>
            </w:pPr>
            <w:r/>
            <w:r>
              <w:rPr>
                <w:sz w:val="16"/>
              </w:rPr>
              <w:t>26.0</w:t>
            </w:r>
          </w:p>
        </w:tc>
        <w:tc>
          <w:tcPr>
            <w:tcW w:w="500" w:type="dxa"/>
          </w:tcPr>
          <w:p>
            <w:pPr>
              <w:jc w:val="right"/>
              <w:spacing w:before="10" w:after="10"/>
            </w:pPr>
            <w:r/>
            <w:r>
              <w:rPr>
                <w:sz w:val="16"/>
              </w:rPr>
              <w:t>1.25</w:t>
            </w:r>
          </w:p>
        </w:tc>
        <w:tc>
          <w:tcPr>
            <w:tcW w:w="600" w:type="dxa"/>
          </w:tcPr>
          <w:p>
            <w:pPr>
              <w:jc w:val="right"/>
              <w:spacing w:before="10" w:after="10"/>
            </w:pPr>
            <w:r/>
            <w:r>
              <w:rPr>
                <w:sz w:val="16"/>
              </w:rPr>
              <w:t>$10.07</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450" w:type="dxa"/>
          </w:tcPr>
          <w:p>
            <w:pPr>
              <w:jc w:val="right"/>
              <w:spacing w:before="10" w:after="10"/>
            </w:pPr>
            <w:r/>
            <w:r>
              <w:rPr>
                <w:sz w:val="16"/>
              </w:rPr>
              <w:t>0.92</w:t>
            </w:r>
          </w:p>
        </w:tc>
        <w:tc>
          <w:tcPr>
            <w:tcW w:w="650" w:type="dxa"/>
          </w:tcPr>
          <w:p>
            <w:pPr>
              <w:jc w:val="right"/>
              <w:spacing w:before="10" w:after="10"/>
            </w:pPr>
            <w:r/>
            <w:r>
              <w:rPr>
                <w:sz w:val="16"/>
              </w:rPr>
              <w:t>$1.52</w:t>
            </w:r>
          </w:p>
        </w:tc>
        <w:tc>
          <w:tcPr>
            <w:tcW w:w="700" w:type="dxa"/>
          </w:tcPr>
          <w:p>
            <w:pPr>
              <w:jc w:val="right"/>
              <w:spacing w:before="10" w:after="10"/>
            </w:pPr>
            <w:r/>
            <w:r>
              <w:rPr>
                <w:sz w:val="16"/>
              </w:rPr>
              <w:t>$0.125</w:t>
            </w:r>
          </w:p>
        </w:tc>
      </w:tr>
      <w:tr>
        <w:tc>
          <w:tcPr>
            <w:tcW w:w="1500" w:type="dxa"/>
          </w:tcPr>
          <w:p>
            <w:pPr>
              <w:spacing w:before="10" w:after="10"/>
            </w:pPr>
            <w:r/>
            <w:r>
              <w:rPr>
                <w:sz w:val="16"/>
              </w:rPr>
              <w:t>Netherlands</w:t>
            </w:r>
          </w:p>
        </w:tc>
        <w:tc>
          <w:tcPr>
            <w:tcW w:w="650" w:type="dxa"/>
          </w:tcPr>
          <w:p>
            <w:pPr>
              <w:spacing w:before="10" w:after="10"/>
            </w:pPr>
            <w:r/>
            <w:r>
              <w:rPr>
                <w:sz w:val="16"/>
              </w:rPr>
              <w:t>$0.130</w:t>
            </w:r>
          </w:p>
        </w:tc>
        <w:tc>
          <w:tcPr>
            <w:tcW w:w="550" w:type="dxa"/>
          </w:tcPr>
          <w:p>
            <w:pPr>
              <w:jc w:val="right"/>
              <w:spacing w:before="10" w:after="10"/>
            </w:pPr>
            <w:r/>
            <w:r>
              <w:rPr>
                <w:sz w:val="16"/>
              </w:rPr>
              <w:t>18.9</w:t>
            </w:r>
          </w:p>
        </w:tc>
        <w:tc>
          <w:tcPr>
            <w:tcW w:w="500" w:type="dxa"/>
          </w:tcPr>
          <w:p>
            <w:pPr>
              <w:jc w:val="right"/>
              <w:spacing w:before="10" w:after="10"/>
            </w:pPr>
            <w:r/>
            <w:r>
              <w:rPr>
                <w:sz w:val="16"/>
              </w:rPr>
              <w:t>1.14</w:t>
            </w:r>
          </w:p>
        </w:tc>
        <w:tc>
          <w:tcPr>
            <w:tcW w:w="600" w:type="dxa"/>
          </w:tcPr>
          <w:p>
            <w:pPr>
              <w:jc w:val="right"/>
              <w:spacing w:before="10" w:after="10"/>
            </w:pPr>
            <w:r/>
            <w:r>
              <w:rPr>
                <w:sz w:val="16"/>
              </w:rPr>
              <w:t>$10.81</w:t>
            </w:r>
          </w:p>
        </w:tc>
        <w:tc>
          <w:tcPr>
            <w:tcW w:w="650" w:type="dxa"/>
          </w:tcPr>
          <w:p>
            <w:pPr>
              <w:jc w:val="right"/>
              <w:spacing w:before="10" w:after="10"/>
            </w:pPr>
            <w:r/>
            <w:r>
              <w:rPr>
                <w:sz w:val="16"/>
              </w:rPr>
              <w:t>1,800</w:t>
            </w:r>
          </w:p>
        </w:tc>
        <w:tc>
          <w:tcPr>
            <w:tcW w:w="550" w:type="dxa"/>
          </w:tcPr>
          <w:p>
            <w:pPr>
              <w:jc w:val="right"/>
              <w:spacing w:before="10" w:after="10"/>
            </w:pPr>
            <w:r/>
            <w:r>
              <w:rPr>
                <w:sz w:val="16"/>
              </w:rPr>
              <w:t>1.5</w:t>
            </w:r>
          </w:p>
        </w:tc>
        <w:tc>
          <w:tcPr>
            <w:tcW w:w="450" w:type="dxa"/>
          </w:tcPr>
          <w:p>
            <w:pPr>
              <w:jc w:val="right"/>
              <w:spacing w:before="10" w:after="10"/>
            </w:pPr>
            <w:r/>
            <w:r>
              <w:rPr>
                <w:sz w:val="16"/>
              </w:rPr>
              <w:t>0.97</w:t>
            </w:r>
          </w:p>
        </w:tc>
        <w:tc>
          <w:tcPr>
            <w:tcW w:w="650" w:type="dxa"/>
          </w:tcPr>
          <w:p>
            <w:pPr>
              <w:jc w:val="right"/>
              <w:spacing w:before="10" w:after="10"/>
            </w:pPr>
            <w:r/>
            <w:r>
              <w:rPr>
                <w:sz w:val="16"/>
              </w:rPr>
              <w:t>$1.52</w:t>
            </w:r>
          </w:p>
        </w:tc>
        <w:tc>
          <w:tcPr>
            <w:tcW w:w="700" w:type="dxa"/>
          </w:tcPr>
          <w:p>
            <w:pPr>
              <w:jc w:val="right"/>
              <w:spacing w:before="10" w:after="10"/>
            </w:pPr>
            <w:r/>
            <w:r>
              <w:rPr>
                <w:sz w:val="16"/>
              </w:rPr>
              <w:t>$0.130</w:t>
            </w:r>
          </w:p>
        </w:tc>
      </w:tr>
      <w:tr>
        <w:tc>
          <w:tcPr>
            <w:tcW w:w="1500" w:type="dxa"/>
          </w:tcPr>
          <w:p>
            <w:pPr>
              <w:spacing w:before="10" w:after="10"/>
            </w:pPr>
            <w:r/>
            <w:r>
              <w:rPr>
                <w:sz w:val="16"/>
              </w:rPr>
              <w:t>Estonia</w:t>
            </w:r>
          </w:p>
        </w:tc>
        <w:tc>
          <w:tcPr>
            <w:tcW w:w="650" w:type="dxa"/>
          </w:tcPr>
          <w:p>
            <w:pPr>
              <w:spacing w:before="10" w:after="10"/>
            </w:pPr>
            <w:r/>
            <w:r>
              <w:rPr>
                <w:sz w:val="16"/>
              </w:rPr>
              <w:t>$0.129</w:t>
            </w:r>
          </w:p>
        </w:tc>
        <w:tc>
          <w:tcPr>
            <w:tcW w:w="550" w:type="dxa"/>
          </w:tcPr>
          <w:p>
            <w:pPr>
              <w:jc w:val="right"/>
              <w:spacing w:before="10" w:after="10"/>
            </w:pPr>
            <w:r/>
            <w:r>
              <w:rPr>
                <w:sz w:val="16"/>
              </w:rPr>
              <w:t>18.2</w:t>
            </w:r>
          </w:p>
        </w:tc>
        <w:tc>
          <w:tcPr>
            <w:tcW w:w="500" w:type="dxa"/>
          </w:tcPr>
          <w:p>
            <w:pPr>
              <w:jc w:val="right"/>
              <w:spacing w:before="10" w:after="10"/>
            </w:pPr>
            <w:r/>
            <w:r>
              <w:rPr>
                <w:sz w:val="16"/>
              </w:rPr>
              <w:t>1.13</w:t>
            </w:r>
          </w:p>
        </w:tc>
        <w:tc>
          <w:tcPr>
            <w:tcW w:w="600" w:type="dxa"/>
          </w:tcPr>
          <w:p>
            <w:pPr>
              <w:jc w:val="right"/>
              <w:spacing w:before="10" w:after="10"/>
            </w:pPr>
            <w:r/>
            <w:r>
              <w:rPr>
                <w:sz w:val="16"/>
              </w:rPr>
              <w:t>$11.19</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0.92</w:t>
            </w:r>
          </w:p>
        </w:tc>
        <w:tc>
          <w:tcPr>
            <w:tcW w:w="650" w:type="dxa"/>
          </w:tcPr>
          <w:p>
            <w:pPr>
              <w:jc w:val="right"/>
              <w:spacing w:before="10" w:after="10"/>
            </w:pPr>
            <w:r/>
            <w:r>
              <w:rPr>
                <w:sz w:val="16"/>
              </w:rPr>
              <w:t>$1.52</w:t>
            </w:r>
          </w:p>
        </w:tc>
        <w:tc>
          <w:tcPr>
            <w:tcW w:w="700" w:type="dxa"/>
          </w:tcPr>
          <w:p>
            <w:pPr>
              <w:jc w:val="right"/>
              <w:spacing w:before="10" w:after="10"/>
            </w:pPr>
            <w:r/>
            <w:r>
              <w:rPr>
                <w:sz w:val="16"/>
              </w:rPr>
              <w:t>$0.129</w:t>
            </w:r>
          </w:p>
        </w:tc>
      </w:tr>
      <w:tr>
        <w:tc>
          <w:tcPr>
            <w:tcW w:w="1500" w:type="dxa"/>
          </w:tcPr>
          <w:p>
            <w:pPr>
              <w:spacing w:before="10" w:after="10"/>
            </w:pPr>
            <w:r/>
            <w:r>
              <w:rPr>
                <w:sz w:val="16"/>
              </w:rPr>
              <w:t>Qatar</w:t>
            </w:r>
          </w:p>
        </w:tc>
        <w:tc>
          <w:tcPr>
            <w:tcW w:w="650" w:type="dxa"/>
          </w:tcPr>
          <w:p>
            <w:pPr>
              <w:spacing w:before="10" w:after="10"/>
            </w:pPr>
            <w:r/>
            <w:r>
              <w:rPr>
                <w:sz w:val="16"/>
              </w:rPr>
              <w:t>$0.036</w:t>
            </w:r>
          </w:p>
        </w:tc>
        <w:tc>
          <w:tcPr>
            <w:tcW w:w="550" w:type="dxa"/>
          </w:tcPr>
          <w:p>
            <w:pPr>
              <w:jc w:val="right"/>
              <w:spacing w:before="10" w:after="10"/>
            </w:pPr>
            <w:r/>
            <w:r>
              <w:rPr>
                <w:sz w:val="16"/>
              </w:rPr>
              <w:t>36.1</w:t>
            </w:r>
          </w:p>
        </w:tc>
        <w:tc>
          <w:tcPr>
            <w:tcW w:w="500" w:type="dxa"/>
          </w:tcPr>
          <w:p>
            <w:pPr>
              <w:jc w:val="right"/>
              <w:spacing w:before="10" w:after="10"/>
            </w:pPr>
            <w:r/>
            <w:r>
              <w:rPr>
                <w:sz w:val="16"/>
              </w:rPr>
              <w:t>1.40</w:t>
            </w:r>
          </w:p>
        </w:tc>
        <w:tc>
          <w:tcPr>
            <w:tcW w:w="600" w:type="dxa"/>
          </w:tcPr>
          <w:p>
            <w:pPr>
              <w:jc w:val="right"/>
              <w:spacing w:before="10" w:after="10"/>
            </w:pPr>
            <w:r/>
            <w:r>
              <w:rPr>
                <w:sz w:val="16"/>
              </w:rPr>
              <w:t>$11.86</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450" w:type="dxa"/>
          </w:tcPr>
          <w:p>
            <w:pPr>
              <w:jc w:val="right"/>
              <w:spacing w:before="10" w:after="10"/>
            </w:pPr>
            <w:r/>
            <w:r>
              <w:rPr>
                <w:sz w:val="16"/>
              </w:rPr>
              <w:t>0.87</w:t>
            </w:r>
          </w:p>
        </w:tc>
        <w:tc>
          <w:tcPr>
            <w:tcW w:w="650" w:type="dxa"/>
          </w:tcPr>
          <w:p>
            <w:pPr>
              <w:jc w:val="right"/>
              <w:spacing w:before="10" w:after="10"/>
            </w:pPr>
            <w:r/>
            <w:r>
              <w:rPr>
                <w:sz w:val="16"/>
              </w:rPr>
              <w:t>$1.46</w:t>
            </w:r>
          </w:p>
        </w:tc>
        <w:tc>
          <w:tcPr>
            <w:tcW w:w="700" w:type="dxa"/>
          </w:tcPr>
          <w:p>
            <w:pPr>
              <w:jc w:val="right"/>
              <w:spacing w:before="10" w:after="10"/>
            </w:pPr>
            <w:r>
              <w:rPr>
                <w:b/>
              </w:rPr>
            </w:r>
            <w:r>
              <w:rPr>
                <w:sz w:val="16"/>
                <w:b/>
              </w:rPr>
              <w:t>$0.100</w:t>
            </w:r>
          </w:p>
        </w:tc>
      </w:tr>
      <w:tr>
        <w:tc>
          <w:tcPr>
            <w:tcW w:w="1500" w:type="dxa"/>
          </w:tcPr>
          <w:p>
            <w:pPr>
              <w:spacing w:before="10" w:after="10"/>
            </w:pPr>
            <w:r/>
            <w:r>
              <w:rPr>
                <w:sz w:val="16"/>
              </w:rPr>
              <w:t>North Macedonia</w:t>
            </w:r>
          </w:p>
        </w:tc>
        <w:tc>
          <w:tcPr>
            <w:tcW w:w="650" w:type="dxa"/>
          </w:tcPr>
          <w:p>
            <w:pPr>
              <w:spacing w:before="10" w:after="10"/>
            </w:pPr>
            <w:r/>
            <w:r>
              <w:rPr>
                <w:sz w:val="16"/>
              </w:rPr>
              <w:t>$0.135</w:t>
            </w:r>
          </w:p>
        </w:tc>
        <w:tc>
          <w:tcPr>
            <w:tcW w:w="550" w:type="dxa"/>
          </w:tcPr>
          <w:p>
            <w:pPr>
              <w:jc w:val="right"/>
              <w:spacing w:before="10" w:after="10"/>
            </w:pPr>
            <w:r/>
            <w:r>
              <w:rPr>
                <w:sz w:val="16"/>
              </w:rPr>
              <w:t>24.0</w:t>
            </w:r>
          </w:p>
        </w:tc>
        <w:tc>
          <w:tcPr>
            <w:tcW w:w="500" w:type="dxa"/>
          </w:tcPr>
          <w:p>
            <w:pPr>
              <w:jc w:val="right"/>
              <w:spacing w:before="10" w:after="10"/>
            </w:pPr>
            <w:r/>
            <w:r>
              <w:rPr>
                <w:sz w:val="16"/>
              </w:rPr>
              <w:t>1.21</w:t>
            </w:r>
          </w:p>
        </w:tc>
        <w:tc>
          <w:tcPr>
            <w:tcW w:w="600" w:type="dxa"/>
          </w:tcPr>
          <w:p>
            <w:pPr>
              <w:jc w:val="right"/>
              <w:spacing w:before="10" w:after="10"/>
            </w:pPr>
            <w:r/>
            <w:r>
              <w:rPr>
                <w:sz w:val="16"/>
              </w:rPr>
              <w:t>$9.79</w:t>
            </w:r>
          </w:p>
        </w:tc>
        <w:tc>
          <w:tcPr>
            <w:tcW w:w="650" w:type="dxa"/>
          </w:tcPr>
          <w:p>
            <w:pPr>
              <w:jc w:val="right"/>
              <w:spacing w:before="10" w:after="10"/>
            </w:pPr>
            <w:r/>
            <w:r>
              <w:rPr>
                <w:sz w:val="16"/>
              </w:rPr>
              <w:t>18</w:t>
            </w:r>
          </w:p>
        </w:tc>
        <w:tc>
          <w:tcPr>
            <w:tcW w:w="550" w:type="dxa"/>
          </w:tcPr>
          <w:p>
            <w:pPr>
              <w:jc w:val="right"/>
              <w:spacing w:before="10" w:after="10"/>
            </w:pPr>
            <w:r/>
            <w:r>
              <w:rPr>
                <w:sz w:val="16"/>
              </w:rPr>
              <w:t>0.0</w:t>
            </w:r>
          </w:p>
        </w:tc>
        <w:tc>
          <w:tcPr>
            <w:tcW w:w="450" w:type="dxa"/>
          </w:tcPr>
          <w:p>
            <w:pPr>
              <w:jc w:val="right"/>
              <w:spacing w:before="10" w:after="10"/>
            </w:pPr>
            <w:r/>
            <w:r>
              <w:rPr>
                <w:sz w:val="16"/>
              </w:rPr>
              <w:t>0.60</w:t>
            </w:r>
          </w:p>
        </w:tc>
        <w:tc>
          <w:tcPr>
            <w:tcW w:w="650" w:type="dxa"/>
          </w:tcPr>
          <w:p>
            <w:pPr>
              <w:jc w:val="right"/>
              <w:spacing w:before="10" w:after="10"/>
            </w:pPr>
            <w:r/>
            <w:r>
              <w:rPr>
                <w:sz w:val="16"/>
              </w:rPr>
              <w:t>$1.53</w:t>
            </w:r>
          </w:p>
        </w:tc>
        <w:tc>
          <w:tcPr>
            <w:tcW w:w="700" w:type="dxa"/>
          </w:tcPr>
          <w:p>
            <w:pPr>
              <w:jc w:val="right"/>
              <w:spacing w:before="10" w:after="10"/>
            </w:pPr>
            <w:r/>
            <w:r>
              <w:rPr>
                <w:sz w:val="16"/>
              </w:rPr>
              <w:t>$0.135</w:t>
            </w:r>
          </w:p>
        </w:tc>
      </w:tr>
      <w:tr>
        <w:tc>
          <w:tcPr>
            <w:tcW w:w="1500" w:type="dxa"/>
          </w:tcPr>
          <w:p>
            <w:pPr>
              <w:spacing w:before="10" w:after="10"/>
            </w:pPr>
            <w:r/>
            <w:r>
              <w:rPr>
                <w:sz w:val="16"/>
              </w:rPr>
              <w:t>Lithuania</w:t>
            </w:r>
          </w:p>
        </w:tc>
        <w:tc>
          <w:tcPr>
            <w:tcW w:w="650" w:type="dxa"/>
          </w:tcPr>
          <w:p>
            <w:pPr>
              <w:spacing w:before="10" w:after="10"/>
            </w:pPr>
            <w:r/>
            <w:r>
              <w:rPr>
                <w:sz w:val="16"/>
              </w:rPr>
              <w:t>$0.134</w:t>
            </w:r>
          </w:p>
        </w:tc>
        <w:tc>
          <w:tcPr>
            <w:tcW w:w="550" w:type="dxa"/>
          </w:tcPr>
          <w:p>
            <w:pPr>
              <w:jc w:val="right"/>
              <w:spacing w:before="10" w:after="10"/>
            </w:pPr>
            <w:r/>
            <w:r>
              <w:rPr>
                <w:sz w:val="16"/>
              </w:rPr>
              <w:t>18.8</w:t>
            </w:r>
          </w:p>
        </w:tc>
        <w:tc>
          <w:tcPr>
            <w:tcW w:w="500" w:type="dxa"/>
          </w:tcPr>
          <w:p>
            <w:pPr>
              <w:jc w:val="right"/>
              <w:spacing w:before="10" w:after="10"/>
            </w:pPr>
            <w:r/>
            <w:r>
              <w:rPr>
                <w:sz w:val="16"/>
              </w:rPr>
              <w:t>1.14</w:t>
            </w:r>
          </w:p>
        </w:tc>
        <w:tc>
          <w:tcPr>
            <w:tcW w:w="600" w:type="dxa"/>
          </w:tcPr>
          <w:p>
            <w:pPr>
              <w:jc w:val="right"/>
              <w:spacing w:before="10" w:after="10"/>
            </w:pPr>
            <w:r/>
            <w:r>
              <w:rPr>
                <w:sz w:val="16"/>
              </w:rPr>
              <w:t>$10.97</w:t>
            </w:r>
          </w:p>
        </w:tc>
        <w:tc>
          <w:tcPr>
            <w:tcW w:w="650" w:type="dxa"/>
          </w:tcPr>
          <w:p>
            <w:pPr>
              <w:jc w:val="right"/>
              <w:spacing w:before="10" w:after="10"/>
            </w:pPr>
            <w:r/>
            <w:r>
              <w:rPr>
                <w:sz w:val="16"/>
              </w:rPr>
              <w:t>55</w:t>
            </w:r>
          </w:p>
        </w:tc>
        <w:tc>
          <w:tcPr>
            <w:tcW w:w="550" w:type="dxa"/>
          </w:tcPr>
          <w:p>
            <w:pPr>
              <w:jc w:val="right"/>
              <w:spacing w:before="10" w:after="10"/>
            </w:pPr>
            <w:r/>
            <w:r>
              <w:rPr>
                <w:sz w:val="16"/>
              </w:rPr>
              <w:t>0.0</w:t>
            </w:r>
          </w:p>
        </w:tc>
        <w:tc>
          <w:tcPr>
            <w:tcW w:w="450" w:type="dxa"/>
          </w:tcPr>
          <w:p>
            <w:pPr>
              <w:jc w:val="right"/>
              <w:spacing w:before="10" w:after="10"/>
            </w:pPr>
            <w:r/>
            <w:r>
              <w:rPr>
                <w:sz w:val="16"/>
              </w:rPr>
              <w:t>0.89</w:t>
            </w:r>
          </w:p>
        </w:tc>
        <w:tc>
          <w:tcPr>
            <w:tcW w:w="650" w:type="dxa"/>
          </w:tcPr>
          <w:p>
            <w:pPr>
              <w:jc w:val="right"/>
              <w:spacing w:before="10" w:after="10"/>
            </w:pPr>
            <w:r/>
            <w:r>
              <w:rPr>
                <w:sz w:val="16"/>
              </w:rPr>
              <w:t>$1.52</w:t>
            </w:r>
          </w:p>
        </w:tc>
        <w:tc>
          <w:tcPr>
            <w:tcW w:w="700" w:type="dxa"/>
          </w:tcPr>
          <w:p>
            <w:pPr>
              <w:jc w:val="right"/>
              <w:spacing w:before="10" w:after="10"/>
            </w:pPr>
            <w:r/>
            <w:r>
              <w:rPr>
                <w:sz w:val="16"/>
              </w:rPr>
              <w:t>$0.134</w:t>
            </w:r>
          </w:p>
        </w:tc>
      </w:tr>
      <w:tr>
        <w:tc>
          <w:tcPr>
            <w:tcW w:w="1500" w:type="dxa"/>
          </w:tcPr>
          <w:p>
            <w:pPr>
              <w:spacing w:before="10" w:after="10"/>
            </w:pPr>
            <w:r/>
            <w:r>
              <w:rPr>
                <w:sz w:val="16"/>
              </w:rPr>
              <w:t>Denmark</w:t>
            </w:r>
          </w:p>
        </w:tc>
        <w:tc>
          <w:tcPr>
            <w:tcW w:w="650" w:type="dxa"/>
          </w:tcPr>
          <w:p>
            <w:pPr>
              <w:spacing w:before="10" w:after="10"/>
            </w:pPr>
            <w:r/>
            <w:r>
              <w:rPr>
                <w:sz w:val="16"/>
              </w:rPr>
              <w:t>$0.129</w:t>
            </w:r>
          </w:p>
        </w:tc>
        <w:tc>
          <w:tcPr>
            <w:tcW w:w="550" w:type="dxa"/>
          </w:tcPr>
          <w:p>
            <w:pPr>
              <w:jc w:val="right"/>
              <w:spacing w:before="10" w:after="10"/>
            </w:pPr>
            <w:r/>
            <w:r>
              <w:rPr>
                <w:sz w:val="16"/>
              </w:rPr>
              <w:t>17.2</w:t>
            </w:r>
          </w:p>
        </w:tc>
        <w:tc>
          <w:tcPr>
            <w:tcW w:w="500" w:type="dxa"/>
          </w:tcPr>
          <w:p>
            <w:pPr>
              <w:jc w:val="right"/>
              <w:spacing w:before="10" w:after="10"/>
            </w:pPr>
            <w:r/>
            <w:r>
              <w:rPr>
                <w:sz w:val="16"/>
              </w:rPr>
              <w:t>1.11</w:t>
            </w:r>
          </w:p>
        </w:tc>
        <w:tc>
          <w:tcPr>
            <w:tcW w:w="600" w:type="dxa"/>
          </w:tcPr>
          <w:p>
            <w:pPr>
              <w:jc w:val="right"/>
              <w:spacing w:before="10" w:after="10"/>
            </w:pPr>
            <w:r/>
            <w:r>
              <w:rPr>
                <w:sz w:val="16"/>
              </w:rPr>
              <w:t>$12.02</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450" w:type="dxa"/>
          </w:tcPr>
          <w:p>
            <w:pPr>
              <w:jc w:val="right"/>
              <w:spacing w:before="10" w:after="10"/>
            </w:pPr>
            <w:r/>
            <w:r>
              <w:rPr>
                <w:sz w:val="16"/>
              </w:rPr>
              <w:t>1.00</w:t>
            </w:r>
          </w:p>
        </w:tc>
        <w:tc>
          <w:tcPr>
            <w:tcW w:w="650" w:type="dxa"/>
          </w:tcPr>
          <w:p>
            <w:pPr>
              <w:jc w:val="right"/>
              <w:spacing w:before="10" w:after="10"/>
            </w:pPr>
            <w:r/>
            <w:r>
              <w:rPr>
                <w:sz w:val="16"/>
              </w:rPr>
              <w:t>$1.52</w:t>
            </w:r>
          </w:p>
        </w:tc>
        <w:tc>
          <w:tcPr>
            <w:tcW w:w="700" w:type="dxa"/>
          </w:tcPr>
          <w:p>
            <w:pPr>
              <w:jc w:val="right"/>
              <w:spacing w:before="10" w:after="10"/>
            </w:pPr>
            <w:r/>
            <w:r>
              <w:rPr>
                <w:sz w:val="16"/>
              </w:rPr>
              <w:t>$0.129</w:t>
            </w:r>
          </w:p>
        </w:tc>
      </w:tr>
      <w:tr>
        <w:tc>
          <w:tcPr>
            <w:tcW w:w="1500" w:type="dxa"/>
          </w:tcPr>
          <w:p>
            <w:pPr>
              <w:spacing w:before="10" w:after="10"/>
            </w:pPr>
            <w:r/>
            <w:r>
              <w:rPr>
                <w:sz w:val="16"/>
              </w:rPr>
              <w:t>Ghana</w:t>
            </w:r>
          </w:p>
        </w:tc>
        <w:tc>
          <w:tcPr>
            <w:tcW w:w="650" w:type="dxa"/>
          </w:tcPr>
          <w:p>
            <w:pPr>
              <w:spacing w:before="10" w:after="10"/>
            </w:pPr>
            <w:r/>
            <w:r>
              <w:rPr>
                <w:sz w:val="16"/>
              </w:rPr>
              <w:t>$0.120</w:t>
            </w:r>
          </w:p>
        </w:tc>
        <w:tc>
          <w:tcPr>
            <w:tcW w:w="550" w:type="dxa"/>
          </w:tcPr>
          <w:p>
            <w:pPr>
              <w:jc w:val="right"/>
              <w:spacing w:before="10" w:after="10"/>
            </w:pPr>
            <w:r/>
            <w:r>
              <w:rPr>
                <w:sz w:val="16"/>
              </w:rPr>
              <w:t>30.7</w:t>
            </w:r>
          </w:p>
        </w:tc>
        <w:tc>
          <w:tcPr>
            <w:tcW w:w="500" w:type="dxa"/>
          </w:tcPr>
          <w:p>
            <w:pPr>
              <w:jc w:val="right"/>
              <w:spacing w:before="10" w:after="10"/>
            </w:pPr>
            <w:r/>
            <w:r>
              <w:rPr>
                <w:sz w:val="16"/>
              </w:rPr>
              <w:t>1.31</w:t>
            </w:r>
          </w:p>
        </w:tc>
        <w:tc>
          <w:tcPr>
            <w:tcW w:w="600" w:type="dxa"/>
          </w:tcPr>
          <w:p>
            <w:pPr>
              <w:jc w:val="right"/>
              <w:spacing w:before="10" w:after="10"/>
            </w:pPr>
            <w:r/>
            <w:r>
              <w:rPr>
                <w:sz w:val="16"/>
              </w:rPr>
              <w:t>$10.80</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450" w:type="dxa"/>
          </w:tcPr>
          <w:p>
            <w:pPr>
              <w:jc w:val="right"/>
              <w:spacing w:before="10" w:after="10"/>
            </w:pPr>
            <w:r/>
            <w:r>
              <w:rPr>
                <w:sz w:val="16"/>
              </w:rPr>
              <w:t>0.55</w:t>
            </w:r>
          </w:p>
        </w:tc>
        <w:tc>
          <w:tcPr>
            <w:tcW w:w="650" w:type="dxa"/>
          </w:tcPr>
          <w:p>
            <w:pPr>
              <w:jc w:val="right"/>
              <w:spacing w:before="10" w:after="10"/>
            </w:pPr>
            <w:r/>
            <w:r>
              <w:rPr>
                <w:sz w:val="16"/>
              </w:rPr>
              <w:t>$1.53</w:t>
            </w:r>
          </w:p>
        </w:tc>
        <w:tc>
          <w:tcPr>
            <w:tcW w:w="700" w:type="dxa"/>
          </w:tcPr>
          <w:p>
            <w:pPr>
              <w:jc w:val="right"/>
              <w:spacing w:before="10" w:after="10"/>
            </w:pPr>
            <w:r/>
            <w:r>
              <w:rPr>
                <w:sz w:val="16"/>
              </w:rPr>
              <w:t>$0.120</w:t>
            </w:r>
          </w:p>
        </w:tc>
      </w:tr>
      <w:tr>
        <w:tc>
          <w:tcPr>
            <w:tcW w:w="1500" w:type="dxa"/>
          </w:tcPr>
          <w:p>
            <w:pPr>
              <w:spacing w:before="10" w:after="10"/>
            </w:pPr>
            <w:r/>
            <w:r>
              <w:rPr>
                <w:sz w:val="16"/>
              </w:rPr>
              <w:t>Albania</w:t>
            </w:r>
          </w:p>
        </w:tc>
        <w:tc>
          <w:tcPr>
            <w:tcW w:w="650" w:type="dxa"/>
          </w:tcPr>
          <w:p>
            <w:pPr>
              <w:spacing w:before="10" w:after="10"/>
            </w:pPr>
            <w:r/>
            <w:r>
              <w:rPr>
                <w:sz w:val="16"/>
              </w:rPr>
              <w:t>$0.147</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00" w:type="dxa"/>
          </w:tcPr>
          <w:p>
            <w:pPr>
              <w:jc w:val="right"/>
              <w:spacing w:before="10" w:after="10"/>
            </w:pPr>
            <w:r/>
            <w:r>
              <w:rPr>
                <w:sz w:val="16"/>
              </w:rPr>
              <w:t>$9.55</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450" w:type="dxa"/>
          </w:tcPr>
          <w:p>
            <w:pPr>
              <w:jc w:val="right"/>
              <w:spacing w:before="10" w:after="10"/>
            </w:pPr>
            <w:r/>
            <w:r>
              <w:rPr>
                <w:sz w:val="16"/>
              </w:rPr>
              <w:t>0.61</w:t>
            </w:r>
          </w:p>
        </w:tc>
        <w:tc>
          <w:tcPr>
            <w:tcW w:w="650" w:type="dxa"/>
          </w:tcPr>
          <w:p>
            <w:pPr>
              <w:jc w:val="right"/>
              <w:spacing w:before="10" w:after="10"/>
            </w:pPr>
            <w:r/>
            <w:r>
              <w:rPr>
                <w:sz w:val="16"/>
              </w:rPr>
              <w:t>$1.53</w:t>
            </w:r>
          </w:p>
        </w:tc>
        <w:tc>
          <w:tcPr>
            <w:tcW w:w="700" w:type="dxa"/>
          </w:tcPr>
          <w:p>
            <w:pPr>
              <w:jc w:val="right"/>
              <w:spacing w:before="10" w:after="10"/>
            </w:pPr>
            <w:r/>
            <w:r>
              <w:rPr>
                <w:sz w:val="16"/>
              </w:rPr>
              <w:t>$0.147</w:t>
            </w:r>
          </w:p>
        </w:tc>
      </w:tr>
      <w:tr>
        <w:tc>
          <w:tcPr>
            <w:tcW w:w="1500" w:type="dxa"/>
          </w:tcPr>
          <w:p>
            <w:pPr>
              <w:spacing w:before="10" w:after="10"/>
            </w:pPr>
            <w:r/>
            <w:r>
              <w:rPr>
                <w:sz w:val="16"/>
              </w:rPr>
              <w:t>Slovenia</w:t>
            </w:r>
          </w:p>
        </w:tc>
        <w:tc>
          <w:tcPr>
            <w:tcW w:w="650" w:type="dxa"/>
          </w:tcPr>
          <w:p>
            <w:pPr>
              <w:spacing w:before="10" w:after="10"/>
            </w:pPr>
            <w:r/>
            <w:r>
              <w:rPr>
                <w:sz w:val="16"/>
              </w:rPr>
              <w:t>$0.147</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00" w:type="dxa"/>
          </w:tcPr>
          <w:p>
            <w:pPr>
              <w:jc w:val="right"/>
              <w:spacing w:before="10" w:after="10"/>
            </w:pPr>
            <w:r/>
            <w:r>
              <w:rPr>
                <w:sz w:val="16"/>
              </w:rPr>
              <w:t>$10.17</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450" w:type="dxa"/>
          </w:tcPr>
          <w:p>
            <w:pPr>
              <w:jc w:val="right"/>
              <w:spacing w:before="10" w:after="10"/>
            </w:pPr>
            <w:r/>
            <w:r>
              <w:rPr>
                <w:sz w:val="16"/>
              </w:rPr>
              <w:t>0.89</w:t>
            </w:r>
          </w:p>
        </w:tc>
        <w:tc>
          <w:tcPr>
            <w:tcW w:w="650" w:type="dxa"/>
          </w:tcPr>
          <w:p>
            <w:pPr>
              <w:jc w:val="right"/>
              <w:spacing w:before="10" w:after="10"/>
            </w:pPr>
            <w:r/>
            <w:r>
              <w:rPr>
                <w:sz w:val="16"/>
              </w:rPr>
              <w:t>$1.53</w:t>
            </w:r>
          </w:p>
        </w:tc>
        <w:tc>
          <w:tcPr>
            <w:tcW w:w="700" w:type="dxa"/>
          </w:tcPr>
          <w:p>
            <w:pPr>
              <w:jc w:val="right"/>
              <w:spacing w:before="10" w:after="10"/>
            </w:pPr>
            <w:r/>
            <w:r>
              <w:rPr>
                <w:sz w:val="16"/>
              </w:rPr>
              <w:t>$0.147</w:t>
            </w:r>
          </w:p>
        </w:tc>
      </w:tr>
      <w:tr>
        <w:tc>
          <w:tcPr>
            <w:tcW w:w="1500" w:type="dxa"/>
          </w:tcPr>
          <w:p>
            <w:pPr>
              <w:spacing w:before="10" w:after="10"/>
            </w:pPr>
            <w:r/>
            <w:r>
              <w:rPr>
                <w:sz w:val="16"/>
              </w:rPr>
              <w:t>Romania</w:t>
            </w:r>
          </w:p>
        </w:tc>
        <w:tc>
          <w:tcPr>
            <w:tcW w:w="650" w:type="dxa"/>
          </w:tcPr>
          <w:p>
            <w:pPr>
              <w:spacing w:before="10" w:after="10"/>
            </w:pPr>
            <w:r/>
            <w:r>
              <w:rPr>
                <w:sz w:val="16"/>
              </w:rPr>
              <w:t>$0.156</w:t>
            </w:r>
          </w:p>
        </w:tc>
        <w:tc>
          <w:tcPr>
            <w:tcW w:w="550" w:type="dxa"/>
          </w:tcPr>
          <w:p>
            <w:pPr>
              <w:jc w:val="right"/>
              <w:spacing w:before="10" w:after="10"/>
            </w:pPr>
            <w:r/>
            <w:r>
              <w:rPr>
                <w:sz w:val="16"/>
              </w:rPr>
              <w:t>22.1</w:t>
            </w:r>
          </w:p>
        </w:tc>
        <w:tc>
          <w:tcPr>
            <w:tcW w:w="500" w:type="dxa"/>
          </w:tcPr>
          <w:p>
            <w:pPr>
              <w:jc w:val="right"/>
              <w:spacing w:before="10" w:after="10"/>
            </w:pPr>
            <w:r/>
            <w:r>
              <w:rPr>
                <w:sz w:val="16"/>
              </w:rPr>
              <w:t>1.19</w:t>
            </w:r>
          </w:p>
        </w:tc>
        <w:tc>
          <w:tcPr>
            <w:tcW w:w="600" w:type="dxa"/>
          </w:tcPr>
          <w:p>
            <w:pPr>
              <w:jc w:val="right"/>
              <w:spacing w:before="10" w:after="10"/>
            </w:pPr>
            <w:r/>
            <w:r>
              <w:rPr>
                <w:sz w:val="16"/>
              </w:rPr>
              <w:t>$9.24</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450" w:type="dxa"/>
          </w:tcPr>
          <w:p>
            <w:pPr>
              <w:jc w:val="right"/>
              <w:spacing w:before="10" w:after="10"/>
            </w:pPr>
            <w:r/>
            <w:r>
              <w:rPr>
                <w:sz w:val="16"/>
              </w:rPr>
              <w:t>0.74</w:t>
            </w:r>
          </w:p>
        </w:tc>
        <w:tc>
          <w:tcPr>
            <w:tcW w:w="650" w:type="dxa"/>
          </w:tcPr>
          <w:p>
            <w:pPr>
              <w:jc w:val="right"/>
              <w:spacing w:before="10" w:after="10"/>
            </w:pPr>
            <w:r/>
            <w:r>
              <w:rPr>
                <w:sz w:val="16"/>
              </w:rPr>
              <w:t>$1.54</w:t>
            </w:r>
          </w:p>
        </w:tc>
        <w:tc>
          <w:tcPr>
            <w:tcW w:w="700" w:type="dxa"/>
          </w:tcPr>
          <w:p>
            <w:pPr>
              <w:jc w:val="right"/>
              <w:spacing w:before="10" w:after="10"/>
            </w:pPr>
            <w:r/>
            <w:r>
              <w:rPr>
                <w:sz w:val="16"/>
              </w:rPr>
              <w:t>$0.156</w:t>
            </w:r>
          </w:p>
        </w:tc>
      </w:tr>
      <w:tr>
        <w:tc>
          <w:tcPr>
            <w:tcW w:w="1500" w:type="dxa"/>
          </w:tcPr>
          <w:p>
            <w:pPr>
              <w:spacing w:before="10" w:after="10"/>
            </w:pPr>
            <w:r/>
            <w:r>
              <w:rPr>
                <w:sz w:val="16"/>
              </w:rPr>
              <w:t>Greece</w:t>
            </w:r>
          </w:p>
        </w:tc>
        <w:tc>
          <w:tcPr>
            <w:tcW w:w="650" w:type="dxa"/>
          </w:tcPr>
          <w:p>
            <w:pPr>
              <w:spacing w:before="10" w:after="10"/>
            </w:pPr>
            <w:r/>
            <w:r>
              <w:rPr>
                <w:sz w:val="16"/>
              </w:rPr>
              <w:t>$0.165</w:t>
            </w:r>
          </w:p>
        </w:tc>
        <w:tc>
          <w:tcPr>
            <w:tcW w:w="550" w:type="dxa"/>
          </w:tcPr>
          <w:p>
            <w:pPr>
              <w:jc w:val="right"/>
              <w:spacing w:before="10" w:after="10"/>
            </w:pPr>
            <w:r/>
            <w:r>
              <w:rPr>
                <w:sz w:val="16"/>
              </w:rPr>
              <w:t>26.1</w:t>
            </w:r>
          </w:p>
        </w:tc>
        <w:tc>
          <w:tcPr>
            <w:tcW w:w="500" w:type="dxa"/>
          </w:tcPr>
          <w:p>
            <w:pPr>
              <w:jc w:val="right"/>
              <w:spacing w:before="10" w:after="10"/>
            </w:pPr>
            <w:r/>
            <w:r>
              <w:rPr>
                <w:sz w:val="16"/>
              </w:rPr>
              <w:t>1.25</w:t>
            </w:r>
          </w:p>
        </w:tc>
        <w:tc>
          <w:tcPr>
            <w:tcW w:w="600" w:type="dxa"/>
          </w:tcPr>
          <w:p>
            <w:pPr>
              <w:jc w:val="right"/>
              <w:spacing w:before="10" w:after="10"/>
            </w:pPr>
            <w:r/>
            <w:r>
              <w:rPr>
                <w:sz w:val="16"/>
              </w:rPr>
              <w:t>$7.84</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0.72</w:t>
            </w:r>
          </w:p>
        </w:tc>
        <w:tc>
          <w:tcPr>
            <w:tcW w:w="650" w:type="dxa"/>
          </w:tcPr>
          <w:p>
            <w:pPr>
              <w:jc w:val="right"/>
              <w:spacing w:before="10" w:after="10"/>
            </w:pPr>
            <w:r/>
            <w:r>
              <w:rPr>
                <w:sz w:val="16"/>
              </w:rPr>
              <w:t>$1.54</w:t>
            </w:r>
          </w:p>
        </w:tc>
        <w:tc>
          <w:tcPr>
            <w:tcW w:w="700" w:type="dxa"/>
          </w:tcPr>
          <w:p>
            <w:pPr>
              <w:jc w:val="right"/>
              <w:spacing w:before="10" w:after="10"/>
            </w:pPr>
            <w:r/>
            <w:r>
              <w:rPr>
                <w:sz w:val="16"/>
              </w:rPr>
              <w:t>$0.165</w:t>
            </w:r>
          </w:p>
        </w:tc>
      </w:tr>
      <w:tr>
        <w:tc>
          <w:tcPr>
            <w:tcW w:w="1500" w:type="dxa"/>
          </w:tcPr>
          <w:p>
            <w:pPr>
              <w:spacing w:before="10" w:after="10"/>
            </w:pPr>
            <w:r/>
            <w:r>
              <w:rPr>
                <w:sz w:val="16"/>
              </w:rPr>
              <w:t>Bulgaria</w:t>
            </w:r>
          </w:p>
        </w:tc>
        <w:tc>
          <w:tcPr>
            <w:tcW w:w="650" w:type="dxa"/>
          </w:tcPr>
          <w:p>
            <w:pPr>
              <w:spacing w:before="10" w:after="10"/>
            </w:pPr>
            <w:r/>
            <w:r>
              <w:rPr>
                <w:sz w:val="16"/>
              </w:rPr>
              <w:t>$0.155</w:t>
            </w:r>
          </w:p>
        </w:tc>
        <w:tc>
          <w:tcPr>
            <w:tcW w:w="550" w:type="dxa"/>
          </w:tcPr>
          <w:p>
            <w:pPr>
              <w:jc w:val="right"/>
              <w:spacing w:before="10" w:after="10"/>
            </w:pPr>
            <w:r/>
            <w:r>
              <w:rPr>
                <w:sz w:val="16"/>
              </w:rPr>
              <w:t>23.9</w:t>
            </w:r>
          </w:p>
        </w:tc>
        <w:tc>
          <w:tcPr>
            <w:tcW w:w="500" w:type="dxa"/>
          </w:tcPr>
          <w:p>
            <w:pPr>
              <w:jc w:val="right"/>
              <w:spacing w:before="10" w:after="10"/>
            </w:pPr>
            <w:r/>
            <w:r>
              <w:rPr>
                <w:sz w:val="16"/>
              </w:rPr>
              <w:t>1.21</w:t>
            </w:r>
          </w:p>
        </w:tc>
        <w:tc>
          <w:tcPr>
            <w:tcW w:w="600" w:type="dxa"/>
          </w:tcPr>
          <w:p>
            <w:pPr>
              <w:jc w:val="right"/>
              <w:spacing w:before="10" w:after="10"/>
            </w:pPr>
            <w:r/>
            <w:r>
              <w:rPr>
                <w:sz w:val="16"/>
              </w:rPr>
              <w:t>$10.31</w:t>
            </w:r>
          </w:p>
        </w:tc>
        <w:tc>
          <w:tcPr>
            <w:tcW w:w="650" w:type="dxa"/>
          </w:tcPr>
          <w:p>
            <w:pPr>
              <w:jc w:val="right"/>
              <w:spacing w:before="10" w:after="10"/>
            </w:pPr>
            <w:r/>
            <w:r>
              <w:rPr>
                <w:sz w:val="16"/>
              </w:rPr>
              <w:t>75</w:t>
            </w:r>
          </w:p>
        </w:tc>
        <w:tc>
          <w:tcPr>
            <w:tcW w:w="550" w:type="dxa"/>
          </w:tcPr>
          <w:p>
            <w:pPr>
              <w:jc w:val="right"/>
              <w:spacing w:before="10" w:after="10"/>
            </w:pPr>
            <w:r/>
            <w:r>
              <w:rPr>
                <w:sz w:val="16"/>
              </w:rPr>
              <w:t>0.1</w:t>
            </w:r>
          </w:p>
        </w:tc>
        <w:tc>
          <w:tcPr>
            <w:tcW w:w="450" w:type="dxa"/>
          </w:tcPr>
          <w:p>
            <w:pPr>
              <w:jc w:val="right"/>
              <w:spacing w:before="10" w:after="10"/>
            </w:pPr>
            <w:r/>
            <w:r>
              <w:rPr>
                <w:sz w:val="16"/>
              </w:rPr>
              <w:t>0.68</w:t>
            </w:r>
          </w:p>
        </w:tc>
        <w:tc>
          <w:tcPr>
            <w:tcW w:w="650" w:type="dxa"/>
          </w:tcPr>
          <w:p>
            <w:pPr>
              <w:jc w:val="right"/>
              <w:spacing w:before="10" w:after="10"/>
            </w:pPr>
            <w:r/>
            <w:r>
              <w:rPr>
                <w:sz w:val="16"/>
              </w:rPr>
              <w:t>$1.54</w:t>
            </w:r>
          </w:p>
        </w:tc>
        <w:tc>
          <w:tcPr>
            <w:tcW w:w="700" w:type="dxa"/>
          </w:tcPr>
          <w:p>
            <w:pPr>
              <w:jc w:val="right"/>
              <w:spacing w:before="10" w:after="10"/>
            </w:pPr>
            <w:r/>
            <w:r>
              <w:rPr>
                <w:sz w:val="16"/>
              </w:rPr>
              <w:t>$0.155</w:t>
            </w:r>
          </w:p>
        </w:tc>
      </w:tr>
      <w:tr>
        <w:tc>
          <w:tcPr>
            <w:tcW w:w="1500" w:type="dxa"/>
          </w:tcPr>
          <w:p>
            <w:pPr>
              <w:spacing w:before="10" w:after="10"/>
            </w:pPr>
            <w:r/>
            <w:r>
              <w:rPr>
                <w:sz w:val="16"/>
              </w:rPr>
              <w:t>Slovakia</w:t>
            </w:r>
          </w:p>
        </w:tc>
        <w:tc>
          <w:tcPr>
            <w:tcW w:w="650" w:type="dxa"/>
          </w:tcPr>
          <w:p>
            <w:pPr>
              <w:spacing w:before="10" w:after="10"/>
            </w:pPr>
            <w:r/>
            <w:r>
              <w:rPr>
                <w:sz w:val="16"/>
              </w:rPr>
              <w:t>$0.164</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00" w:type="dxa"/>
          </w:tcPr>
          <w:p>
            <w:pPr>
              <w:jc w:val="right"/>
              <w:spacing w:before="10" w:after="10"/>
            </w:pPr>
            <w:r/>
            <w:r>
              <w:rPr>
                <w:sz w:val="16"/>
              </w:rPr>
              <w:t>$10.02</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450" w:type="dxa"/>
          </w:tcPr>
          <w:p>
            <w:pPr>
              <w:jc w:val="right"/>
              <w:spacing w:before="10" w:after="10"/>
            </w:pPr>
            <w:r/>
            <w:r>
              <w:rPr>
                <w:sz w:val="16"/>
              </w:rPr>
              <w:t>0.80</w:t>
            </w:r>
          </w:p>
        </w:tc>
        <w:tc>
          <w:tcPr>
            <w:tcW w:w="650" w:type="dxa"/>
          </w:tcPr>
          <w:p>
            <w:pPr>
              <w:jc w:val="right"/>
              <w:spacing w:before="10" w:after="10"/>
            </w:pPr>
            <w:r/>
            <w:r>
              <w:rPr>
                <w:sz w:val="16"/>
              </w:rPr>
              <w:t>$1.55</w:t>
            </w:r>
          </w:p>
        </w:tc>
        <w:tc>
          <w:tcPr>
            <w:tcW w:w="700" w:type="dxa"/>
          </w:tcPr>
          <w:p>
            <w:pPr>
              <w:jc w:val="right"/>
              <w:spacing w:before="10" w:after="10"/>
            </w:pPr>
            <w:r/>
            <w:r>
              <w:rPr>
                <w:sz w:val="16"/>
              </w:rPr>
              <w:t>$0.164</w:t>
            </w:r>
          </w:p>
        </w:tc>
      </w:tr>
      <w:tr>
        <w:tc>
          <w:tcPr>
            <w:tcW w:w="1500" w:type="dxa"/>
          </w:tcPr>
          <w:p>
            <w:pPr>
              <w:spacing w:before="10" w:after="10"/>
            </w:pPr>
            <w:r/>
            <w:r>
              <w:rPr>
                <w:sz w:val="16"/>
              </w:rPr>
              <w:t>Germany</w:t>
            </w:r>
          </w:p>
        </w:tc>
        <w:tc>
          <w:tcPr>
            <w:tcW w:w="650" w:type="dxa"/>
          </w:tcPr>
          <w:p>
            <w:pPr>
              <w:spacing w:before="10" w:after="10"/>
            </w:pPr>
            <w:r/>
            <w:r>
              <w:rPr>
                <w:sz w:val="16"/>
              </w:rPr>
              <w:t>$0.155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00" w:type="dxa"/>
          </w:tcPr>
          <w:p>
            <w:pPr>
              <w:jc w:val="right"/>
              <w:spacing w:before="10" w:after="10"/>
            </w:pPr>
            <w:r/>
            <w:r>
              <w:rPr>
                <w:sz w:val="16"/>
              </w:rPr>
              <w:t>$11.54</w:t>
            </w:r>
          </w:p>
        </w:tc>
        <w:tc>
          <w:tcPr>
            <w:tcW w:w="650" w:type="dxa"/>
          </w:tcPr>
          <w:p>
            <w:pPr>
              <w:jc w:val="right"/>
              <w:spacing w:before="10" w:after="10"/>
            </w:pPr>
            <w:r/>
            <w:r>
              <w:rPr>
                <w:sz w:val="16"/>
              </w:rPr>
              <w:t>1,955</w:t>
            </w:r>
          </w:p>
        </w:tc>
        <w:tc>
          <w:tcPr>
            <w:tcW w:w="550" w:type="dxa"/>
          </w:tcPr>
          <w:p>
            <w:pPr>
              <w:jc w:val="right"/>
              <w:spacing w:before="10" w:after="10"/>
            </w:pPr>
            <w:r/>
            <w:r>
              <w:rPr>
                <w:sz w:val="16"/>
              </w:rPr>
              <w:t>1.6</w:t>
            </w:r>
          </w:p>
        </w:tc>
        <w:tc>
          <w:tcPr>
            <w:tcW w:w="450" w:type="dxa"/>
          </w:tcPr>
          <w:p>
            <w:pPr>
              <w:jc w:val="right"/>
              <w:spacing w:before="10" w:after="10"/>
            </w:pPr>
            <w:r/>
            <w:r>
              <w:rPr>
                <w:sz w:val="16"/>
              </w:rPr>
              <w:t>0.96</w:t>
            </w:r>
          </w:p>
        </w:tc>
        <w:tc>
          <w:tcPr>
            <w:tcW w:w="650" w:type="dxa"/>
          </w:tcPr>
          <w:p>
            <w:pPr>
              <w:jc w:val="right"/>
              <w:spacing w:before="10" w:after="10"/>
            </w:pPr>
            <w:r/>
            <w:r>
              <w:rPr>
                <w:sz w:val="16"/>
              </w:rPr>
              <w:t>$1.54</w:t>
            </w:r>
          </w:p>
        </w:tc>
        <w:tc>
          <w:tcPr>
            <w:tcW w:w="700" w:type="dxa"/>
          </w:tcPr>
          <w:p>
            <w:pPr>
              <w:jc w:val="right"/>
              <w:spacing w:before="10" w:after="10"/>
            </w:pPr>
            <w:r/>
            <w:r>
              <w:rPr>
                <w:sz w:val="16"/>
              </w:rPr>
              <w:t>$0.155</w:t>
            </w:r>
          </w:p>
        </w:tc>
      </w:tr>
      <w:tr>
        <w:tc>
          <w:tcPr>
            <w:tcW w:w="1500" w:type="dxa"/>
          </w:tcPr>
          <w:p>
            <w:pPr>
              <w:spacing w:before="10" w:after="10"/>
            </w:pPr>
            <w:r/>
            <w:r>
              <w:rPr>
                <w:sz w:val="16"/>
              </w:rPr>
              <w:t>Italy</w:t>
            </w:r>
          </w:p>
        </w:tc>
        <w:tc>
          <w:tcPr>
            <w:tcW w:w="650" w:type="dxa"/>
          </w:tcPr>
          <w:p>
            <w:pPr>
              <w:spacing w:before="10" w:after="10"/>
            </w:pPr>
            <w:r/>
            <w:r>
              <w:rPr>
                <w:sz w:val="16"/>
              </w:rPr>
              <w:t>$0.162</w:t>
            </w:r>
          </w:p>
        </w:tc>
        <w:tc>
          <w:tcPr>
            <w:tcW w:w="550" w:type="dxa"/>
          </w:tcPr>
          <w:p>
            <w:pPr>
              <w:jc w:val="right"/>
              <w:spacing w:before="10" w:after="10"/>
            </w:pPr>
            <w:r/>
            <w:r>
              <w:rPr>
                <w:sz w:val="16"/>
              </w:rPr>
              <w:t>24.0</w:t>
            </w:r>
          </w:p>
        </w:tc>
        <w:tc>
          <w:tcPr>
            <w:tcW w:w="500" w:type="dxa"/>
          </w:tcPr>
          <w:p>
            <w:pPr>
              <w:jc w:val="right"/>
              <w:spacing w:before="10" w:after="10"/>
            </w:pPr>
            <w:r/>
            <w:r>
              <w:rPr>
                <w:sz w:val="16"/>
              </w:rPr>
              <w:t>1.22</w:t>
            </w:r>
          </w:p>
        </w:tc>
        <w:tc>
          <w:tcPr>
            <w:tcW w:w="600" w:type="dxa"/>
          </w:tcPr>
          <w:p>
            <w:pPr>
              <w:jc w:val="right"/>
              <w:spacing w:before="10" w:after="10"/>
            </w:pPr>
            <w:r/>
            <w:r>
              <w:rPr>
                <w:sz w:val="16"/>
              </w:rPr>
              <w:t>$9.79</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450" w:type="dxa"/>
          </w:tcPr>
          <w:p>
            <w:pPr>
              <w:jc w:val="right"/>
              <w:spacing w:before="10" w:after="10"/>
            </w:pPr>
            <w:r/>
            <w:r>
              <w:rPr>
                <w:sz w:val="16"/>
              </w:rPr>
              <w:t>0.76</w:t>
            </w:r>
          </w:p>
        </w:tc>
        <w:tc>
          <w:tcPr>
            <w:tcW w:w="650" w:type="dxa"/>
          </w:tcPr>
          <w:p>
            <w:pPr>
              <w:jc w:val="right"/>
              <w:spacing w:before="10" w:after="10"/>
            </w:pPr>
            <w:r/>
            <w:r>
              <w:rPr>
                <w:sz w:val="16"/>
              </w:rPr>
              <w:t>$1.55</w:t>
            </w:r>
          </w:p>
        </w:tc>
        <w:tc>
          <w:tcPr>
            <w:tcW w:w="700" w:type="dxa"/>
          </w:tcPr>
          <w:p>
            <w:pPr>
              <w:jc w:val="right"/>
              <w:spacing w:before="10" w:after="10"/>
            </w:pPr>
            <w:r/>
            <w:r>
              <w:rPr>
                <w:sz w:val="16"/>
              </w:rPr>
              <w:t>$0.162</w:t>
            </w:r>
          </w:p>
        </w:tc>
      </w:tr>
      <w:tr>
        <w:tc>
          <w:tcPr>
            <w:tcW w:w="1500" w:type="dxa"/>
          </w:tcPr>
          <w:p>
            <w:pPr>
              <w:spacing w:before="10" w:after="10"/>
            </w:pPr>
            <w:r/>
            <w:r>
              <w:rPr>
                <w:sz w:val="16"/>
              </w:rPr>
              <w:t>Austria</w:t>
            </w:r>
          </w:p>
        </w:tc>
        <w:tc>
          <w:tcPr>
            <w:tcW w:w="650" w:type="dxa"/>
          </w:tcPr>
          <w:p>
            <w:pPr>
              <w:spacing w:before="10" w:after="10"/>
            </w:pPr>
            <w:r/>
            <w:r>
              <w:rPr>
                <w:sz w:val="16"/>
              </w:rPr>
              <w:t>$0.160</w:t>
            </w:r>
          </w:p>
        </w:tc>
        <w:tc>
          <w:tcPr>
            <w:tcW w:w="550" w:type="dxa"/>
          </w:tcPr>
          <w:p>
            <w:pPr>
              <w:jc w:val="right"/>
              <w:spacing w:before="10" w:after="10"/>
            </w:pPr>
            <w:r/>
            <w:r>
              <w:rPr>
                <w:sz w:val="16"/>
              </w:rPr>
              <w:t>18.6</w:t>
            </w:r>
          </w:p>
        </w:tc>
        <w:tc>
          <w:tcPr>
            <w:tcW w:w="500" w:type="dxa"/>
          </w:tcPr>
          <w:p>
            <w:pPr>
              <w:jc w:val="right"/>
              <w:spacing w:before="10" w:after="10"/>
            </w:pPr>
            <w:r/>
            <w:r>
              <w:rPr>
                <w:sz w:val="16"/>
              </w:rPr>
              <w:t>1.13</w:t>
            </w:r>
          </w:p>
        </w:tc>
        <w:tc>
          <w:tcPr>
            <w:tcW w:w="600" w:type="dxa"/>
          </w:tcPr>
          <w:p>
            <w:pPr>
              <w:jc w:val="right"/>
              <w:spacing w:before="10" w:after="10"/>
            </w:pPr>
            <w:r/>
            <w:r>
              <w:rPr>
                <w:sz w:val="16"/>
              </w:rPr>
              <w:t>$11.81</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450" w:type="dxa"/>
          </w:tcPr>
          <w:p>
            <w:pPr>
              <w:jc w:val="right"/>
              <w:spacing w:before="10" w:after="10"/>
            </w:pPr>
            <w:r/>
            <w:r>
              <w:rPr>
                <w:sz w:val="16"/>
              </w:rPr>
              <w:t>0.99</w:t>
            </w:r>
          </w:p>
        </w:tc>
        <w:tc>
          <w:tcPr>
            <w:tcW w:w="650" w:type="dxa"/>
          </w:tcPr>
          <w:p>
            <w:pPr>
              <w:jc w:val="right"/>
              <w:spacing w:before="10" w:after="10"/>
            </w:pPr>
            <w:r/>
            <w:r>
              <w:rPr>
                <w:sz w:val="16"/>
              </w:rPr>
              <w:t>$1.55</w:t>
            </w:r>
          </w:p>
        </w:tc>
        <w:tc>
          <w:tcPr>
            <w:tcW w:w="700" w:type="dxa"/>
          </w:tcPr>
          <w:p>
            <w:pPr>
              <w:jc w:val="right"/>
              <w:spacing w:before="10" w:after="10"/>
            </w:pPr>
            <w:r/>
            <w:r>
              <w:rPr>
                <w:sz w:val="16"/>
              </w:rPr>
              <w:t>$0.160</w:t>
            </w:r>
          </w:p>
        </w:tc>
      </w:tr>
      <w:tr>
        <w:tc>
          <w:tcPr>
            <w:tcW w:w="1500" w:type="dxa"/>
          </w:tcPr>
          <w:p>
            <w:pPr>
              <w:spacing w:before="10" w:after="10"/>
            </w:pPr>
            <w:r/>
            <w:r>
              <w:rPr>
                <w:sz w:val="16"/>
              </w:rPr>
              <w:t>Czechia</w:t>
            </w:r>
          </w:p>
        </w:tc>
        <w:tc>
          <w:tcPr>
            <w:tcW w:w="650" w:type="dxa"/>
          </w:tcPr>
          <w:p>
            <w:pPr>
              <w:spacing w:before="10" w:after="10"/>
            </w:pPr>
            <w:r/>
            <w:r>
              <w:rPr>
                <w:sz w:val="16"/>
              </w:rPr>
              <w:t>$0.172</w:t>
            </w:r>
          </w:p>
        </w:tc>
        <w:tc>
          <w:tcPr>
            <w:tcW w:w="550" w:type="dxa"/>
          </w:tcPr>
          <w:p>
            <w:pPr>
              <w:jc w:val="right"/>
              <w:spacing w:before="10" w:after="10"/>
            </w:pPr>
            <w:r/>
            <w:r>
              <w:rPr>
                <w:sz w:val="16"/>
              </w:rPr>
              <w:t>19.1</w:t>
            </w:r>
          </w:p>
        </w:tc>
        <w:tc>
          <w:tcPr>
            <w:tcW w:w="500" w:type="dxa"/>
          </w:tcPr>
          <w:p>
            <w:pPr>
              <w:jc w:val="right"/>
              <w:spacing w:before="10" w:after="10"/>
            </w:pPr>
            <w:r/>
            <w:r>
              <w:rPr>
                <w:sz w:val="16"/>
              </w:rPr>
              <w:t>1.14</w:t>
            </w:r>
          </w:p>
        </w:tc>
        <w:tc>
          <w:tcPr>
            <w:tcW w:w="600" w:type="dxa"/>
          </w:tcPr>
          <w:p>
            <w:pPr>
              <w:jc w:val="right"/>
              <w:spacing w:before="10" w:after="10"/>
            </w:pPr>
            <w:r/>
            <w:r>
              <w:rPr>
                <w:sz w:val="16"/>
              </w:rPr>
              <w:t>$10.93</w:t>
            </w:r>
          </w:p>
        </w:tc>
        <w:tc>
          <w:tcPr>
            <w:tcW w:w="650" w:type="dxa"/>
          </w:tcPr>
          <w:p>
            <w:pPr>
              <w:jc w:val="right"/>
              <w:spacing w:before="10" w:after="10"/>
            </w:pPr>
            <w:r/>
            <w:r>
              <w:rPr>
                <w:sz w:val="16"/>
              </w:rPr>
              <w:t>130</w:t>
            </w:r>
          </w:p>
        </w:tc>
        <w:tc>
          <w:tcPr>
            <w:tcW w:w="550" w:type="dxa"/>
          </w:tcPr>
          <w:p>
            <w:pPr>
              <w:jc w:val="right"/>
              <w:spacing w:before="10" w:after="10"/>
            </w:pPr>
            <w:r/>
            <w:r>
              <w:rPr>
                <w:sz w:val="16"/>
              </w:rPr>
              <w:t>0.1</w:t>
            </w:r>
          </w:p>
        </w:tc>
        <w:tc>
          <w:tcPr>
            <w:tcW w:w="450" w:type="dxa"/>
          </w:tcPr>
          <w:p>
            <w:pPr>
              <w:jc w:val="right"/>
              <w:spacing w:before="10" w:after="10"/>
            </w:pPr>
            <w:r/>
            <w:r>
              <w:rPr>
                <w:sz w:val="16"/>
              </w:rPr>
              <w:t>0.90</w:t>
            </w:r>
          </w:p>
        </w:tc>
        <w:tc>
          <w:tcPr>
            <w:tcW w:w="650" w:type="dxa"/>
          </w:tcPr>
          <w:p>
            <w:pPr>
              <w:jc w:val="right"/>
              <w:spacing w:before="10" w:after="10"/>
            </w:pPr>
            <w:r/>
            <w:r>
              <w:rPr>
                <w:sz w:val="16"/>
              </w:rPr>
              <w:t>$1.55</w:t>
            </w:r>
          </w:p>
        </w:tc>
        <w:tc>
          <w:tcPr>
            <w:tcW w:w="700" w:type="dxa"/>
          </w:tcPr>
          <w:p>
            <w:pPr>
              <w:jc w:val="right"/>
              <w:spacing w:before="10" w:after="10"/>
            </w:pPr>
            <w:r/>
            <w:r>
              <w:rPr>
                <w:sz w:val="16"/>
              </w:rPr>
              <w:t>$0.172</w:t>
            </w:r>
          </w:p>
        </w:tc>
      </w:tr>
      <w:tr>
        <w:tc>
          <w:tcPr>
            <w:tcW w:w="1500" w:type="dxa"/>
          </w:tcPr>
          <w:p>
            <w:pPr>
              <w:spacing w:before="10" w:after="10"/>
            </w:pPr>
            <w:r/>
            <w:r>
              <w:rPr>
                <w:sz w:val="16"/>
              </w:rPr>
              <w:t>Japan</w:t>
            </w:r>
          </w:p>
        </w:tc>
        <w:tc>
          <w:tcPr>
            <w:tcW w:w="650" w:type="dxa"/>
          </w:tcPr>
          <w:p>
            <w:pPr>
              <w:spacing w:before="10" w:after="10"/>
            </w:pPr>
            <w:r/>
            <w:r>
              <w:rPr>
                <w:sz w:val="16"/>
              </w:rPr>
              <w:t>$0.135</w:t>
            </w:r>
          </w:p>
        </w:tc>
        <w:tc>
          <w:tcPr>
            <w:tcW w:w="550" w:type="dxa"/>
          </w:tcPr>
          <w:p>
            <w:pPr>
              <w:jc w:val="right"/>
              <w:spacing w:before="10" w:after="10"/>
            </w:pPr>
            <w:r/>
            <w:r>
              <w:rPr>
                <w:sz w:val="16"/>
              </w:rPr>
              <w:t>25.2</w:t>
            </w:r>
          </w:p>
        </w:tc>
        <w:tc>
          <w:tcPr>
            <w:tcW w:w="500" w:type="dxa"/>
          </w:tcPr>
          <w:p>
            <w:pPr>
              <w:jc w:val="right"/>
              <w:spacing w:before="10" w:after="10"/>
            </w:pPr>
            <w:r/>
            <w:r>
              <w:rPr>
                <w:sz w:val="16"/>
              </w:rPr>
              <w:t>1.23</w:t>
            </w:r>
          </w:p>
        </w:tc>
        <w:tc>
          <w:tcPr>
            <w:tcW w:w="600" w:type="dxa"/>
          </w:tcPr>
          <w:p>
            <w:pPr>
              <w:jc w:val="right"/>
              <w:spacing w:before="10" w:after="10"/>
            </w:pPr>
            <w:r/>
            <w:r>
              <w:rPr>
                <w:sz w:val="16"/>
              </w:rPr>
              <w:t>$14.64</w:t>
            </w:r>
          </w:p>
        </w:tc>
        <w:tc>
          <w:tcPr>
            <w:tcW w:w="650" w:type="dxa"/>
          </w:tcPr>
          <w:p>
            <w:pPr>
              <w:jc w:val="right"/>
              <w:spacing w:before="10" w:after="10"/>
            </w:pPr>
            <w:r/>
            <w:r>
              <w:rPr>
                <w:sz w:val="16"/>
              </w:rPr>
              <w:t>2,400</w:t>
            </w:r>
          </w:p>
        </w:tc>
        <w:tc>
          <w:tcPr>
            <w:tcW w:w="550" w:type="dxa"/>
          </w:tcPr>
          <w:p>
            <w:pPr>
              <w:jc w:val="right"/>
              <w:spacing w:before="10" w:after="10"/>
            </w:pPr>
            <w:r/>
            <w:r>
              <w:rPr>
                <w:sz w:val="16"/>
              </w:rPr>
              <w:t>1.9</w:t>
            </w:r>
          </w:p>
        </w:tc>
        <w:tc>
          <w:tcPr>
            <w:tcW w:w="450" w:type="dxa"/>
          </w:tcPr>
          <w:p>
            <w:pPr>
              <w:jc w:val="right"/>
              <w:spacing w:before="10" w:after="10"/>
            </w:pPr>
            <w:r/>
            <w:r>
              <w:rPr>
                <w:sz w:val="16"/>
              </w:rPr>
              <w:t>0.95</w:t>
            </w:r>
          </w:p>
        </w:tc>
        <w:tc>
          <w:tcPr>
            <w:tcW w:w="650" w:type="dxa"/>
          </w:tcPr>
          <w:p>
            <w:pPr>
              <w:jc w:val="right"/>
              <w:spacing w:before="10" w:after="10"/>
            </w:pPr>
            <w:r/>
            <w:r>
              <w:rPr>
                <w:sz w:val="16"/>
              </w:rPr>
              <w:t>$1.55</w:t>
            </w:r>
          </w:p>
        </w:tc>
        <w:tc>
          <w:tcPr>
            <w:tcW w:w="700" w:type="dxa"/>
          </w:tcPr>
          <w:p>
            <w:pPr>
              <w:jc w:val="right"/>
              <w:spacing w:before="10" w:after="10"/>
            </w:pPr>
            <w:r/>
            <w:r>
              <w:rPr>
                <w:sz w:val="16"/>
              </w:rPr>
              <w:t>$0.135</w:t>
            </w:r>
          </w:p>
        </w:tc>
      </w:tr>
      <w:tr>
        <w:tc>
          <w:tcPr>
            <w:tcW w:w="1500" w:type="dxa"/>
          </w:tcPr>
          <w:p>
            <w:pPr>
              <w:spacing w:before="10" w:after="10"/>
            </w:pPr>
            <w:r/>
            <w:r>
              <w:rPr>
                <w:sz w:val="16"/>
              </w:rPr>
              <w:t>Hungary</w:t>
            </w:r>
          </w:p>
        </w:tc>
        <w:tc>
          <w:tcPr>
            <w:tcW w:w="650" w:type="dxa"/>
          </w:tcPr>
          <w:p>
            <w:pPr>
              <w:spacing w:before="10" w:after="10"/>
            </w:pPr>
            <w:r/>
            <w:r>
              <w:rPr>
                <w:sz w:val="16"/>
              </w:rPr>
              <w:t>$0.176</w:t>
            </w:r>
          </w:p>
        </w:tc>
        <w:tc>
          <w:tcPr>
            <w:tcW w:w="550" w:type="dxa"/>
          </w:tcPr>
          <w:p>
            <w:pPr>
              <w:jc w:val="right"/>
              <w:spacing w:before="10" w:after="10"/>
            </w:pPr>
            <w:r/>
            <w:r>
              <w:rPr>
                <w:sz w:val="16"/>
              </w:rPr>
              <w:t>23.6</w:t>
            </w:r>
          </w:p>
        </w:tc>
        <w:tc>
          <w:tcPr>
            <w:tcW w:w="500" w:type="dxa"/>
          </w:tcPr>
          <w:p>
            <w:pPr>
              <w:jc w:val="right"/>
              <w:spacing w:before="10" w:after="10"/>
            </w:pPr>
            <w:r/>
            <w:r>
              <w:rPr>
                <w:sz w:val="16"/>
              </w:rPr>
              <w:t>1.21</w:t>
            </w:r>
          </w:p>
        </w:tc>
        <w:tc>
          <w:tcPr>
            <w:tcW w:w="600" w:type="dxa"/>
          </w:tcPr>
          <w:p>
            <w:pPr>
              <w:jc w:val="right"/>
              <w:spacing w:before="10" w:after="10"/>
            </w:pPr>
            <w:r/>
            <w:r>
              <w:rPr>
                <w:sz w:val="16"/>
              </w:rPr>
              <w:t>$10.73</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450" w:type="dxa"/>
          </w:tcPr>
          <w:p>
            <w:pPr>
              <w:jc w:val="right"/>
              <w:spacing w:before="10" w:after="10"/>
            </w:pPr>
            <w:r/>
            <w:r>
              <w:rPr>
                <w:sz w:val="16"/>
              </w:rPr>
              <w:t>0.76</w:t>
            </w:r>
          </w:p>
        </w:tc>
        <w:tc>
          <w:tcPr>
            <w:tcW w:w="650" w:type="dxa"/>
          </w:tcPr>
          <w:p>
            <w:pPr>
              <w:jc w:val="right"/>
              <w:spacing w:before="10" w:after="10"/>
            </w:pPr>
            <w:r/>
            <w:r>
              <w:rPr>
                <w:sz w:val="16"/>
              </w:rPr>
              <w:t>$1.56</w:t>
            </w:r>
          </w:p>
        </w:tc>
        <w:tc>
          <w:tcPr>
            <w:tcW w:w="700" w:type="dxa"/>
          </w:tcPr>
          <w:p>
            <w:pPr>
              <w:jc w:val="right"/>
              <w:spacing w:before="10" w:after="10"/>
            </w:pPr>
            <w:r/>
            <w:r>
              <w:rPr>
                <w:sz w:val="16"/>
              </w:rPr>
              <w:t>$0.176</w:t>
            </w:r>
          </w:p>
        </w:tc>
      </w:tr>
      <w:tr>
        <w:tc>
          <w:tcPr>
            <w:tcW w:w="1500" w:type="dxa"/>
          </w:tcPr>
          <w:p>
            <w:pPr>
              <w:spacing w:before="10" w:after="10"/>
            </w:pPr>
            <w:r/>
            <w:r>
              <w:rPr>
                <w:sz w:val="16"/>
              </w:rPr>
              <w:t>Switzerland</w:t>
            </w:r>
          </w:p>
        </w:tc>
        <w:tc>
          <w:tcPr>
            <w:tcW w:w="650" w:type="dxa"/>
          </w:tcPr>
          <w:p>
            <w:pPr>
              <w:spacing w:before="10" w:after="10"/>
            </w:pPr>
            <w:r/>
            <w:r>
              <w:rPr>
                <w:sz w:val="16"/>
              </w:rPr>
              <w:t>$0.160</w:t>
            </w:r>
          </w:p>
        </w:tc>
        <w:tc>
          <w:tcPr>
            <w:tcW w:w="550" w:type="dxa"/>
          </w:tcPr>
          <w:p>
            <w:pPr>
              <w:jc w:val="right"/>
              <w:spacing w:before="10" w:after="10"/>
            </w:pPr>
            <w:r/>
            <w:r>
              <w:rPr>
                <w:sz w:val="16"/>
              </w:rPr>
              <w:t>15.7</w:t>
            </w:r>
          </w:p>
        </w:tc>
        <w:tc>
          <w:tcPr>
            <w:tcW w:w="500" w:type="dxa"/>
          </w:tcPr>
          <w:p>
            <w:pPr>
              <w:jc w:val="right"/>
              <w:spacing w:before="10" w:after="10"/>
            </w:pPr>
            <w:r/>
            <w:r>
              <w:rPr>
                <w:sz w:val="16"/>
              </w:rPr>
              <w:t>1.09</w:t>
            </w:r>
          </w:p>
        </w:tc>
        <w:tc>
          <w:tcPr>
            <w:tcW w:w="600" w:type="dxa"/>
          </w:tcPr>
          <w:p>
            <w:pPr>
              <w:jc w:val="right"/>
              <w:spacing w:before="10" w:after="10"/>
            </w:pPr>
            <w:r/>
            <w:r>
              <w:rPr>
                <w:sz w:val="16"/>
              </w:rPr>
              <w:t>$14.24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450" w:type="dxa"/>
          </w:tcPr>
          <w:p>
            <w:pPr>
              <w:jc w:val="right"/>
              <w:spacing w:before="10" w:after="10"/>
            </w:pPr>
            <w:r/>
            <w:r>
              <w:rPr>
                <w:sz w:val="16"/>
              </w:rPr>
              <w:t>0.99</w:t>
            </w:r>
          </w:p>
        </w:tc>
        <w:tc>
          <w:tcPr>
            <w:tcW w:w="650" w:type="dxa"/>
          </w:tcPr>
          <w:p>
            <w:pPr>
              <w:jc w:val="right"/>
              <w:spacing w:before="10" w:after="10"/>
            </w:pPr>
            <w:r/>
            <w:r>
              <w:rPr>
                <w:sz w:val="16"/>
              </w:rPr>
              <w:t>$1.56</w:t>
            </w:r>
          </w:p>
        </w:tc>
        <w:tc>
          <w:tcPr>
            <w:tcW w:w="700" w:type="dxa"/>
          </w:tcPr>
          <w:p>
            <w:pPr>
              <w:jc w:val="right"/>
              <w:spacing w:before="10" w:after="10"/>
            </w:pPr>
            <w:r/>
            <w:r>
              <w:rPr>
                <w:sz w:val="16"/>
              </w:rPr>
              <w:t>$0.160</w:t>
            </w:r>
          </w:p>
        </w:tc>
      </w:tr>
      <w:tr>
        <w:tc>
          <w:tcPr>
            <w:tcW w:w="1500" w:type="dxa"/>
          </w:tcPr>
          <w:p>
            <w:pPr>
              <w:spacing w:before="10" w:after="10"/>
            </w:pPr>
            <w:r/>
            <w:r>
              <w:rPr>
                <w:sz w:val="16"/>
              </w:rPr>
              <w:t>Singapore</w:t>
            </w:r>
          </w:p>
        </w:tc>
        <w:tc>
          <w:tcPr>
            <w:tcW w:w="650" w:type="dxa"/>
          </w:tcPr>
          <w:p>
            <w:pPr>
              <w:spacing w:before="10" w:after="10"/>
            </w:pPr>
            <w:r/>
            <w:r>
              <w:rPr>
                <w:sz w:val="16"/>
              </w:rPr>
              <w:t>$0.145</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00" w:type="dxa"/>
          </w:tcPr>
          <w:p>
            <w:pPr>
              <w:jc w:val="right"/>
              <w:spacing w:before="10" w:after="10"/>
            </w:pPr>
            <w:r/>
            <w:r>
              <w:rPr>
                <w:sz w:val="16"/>
              </w:rPr>
              <w:t>$14.53</w:t>
            </w:r>
          </w:p>
        </w:tc>
        <w:tc>
          <w:tcPr>
            <w:tcW w:w="650" w:type="dxa"/>
          </w:tcPr>
          <w:p>
            <w:pPr>
              <w:jc w:val="right"/>
              <w:spacing w:before="10" w:after="10"/>
            </w:pPr>
            <w:r/>
            <w:r>
              <w:rPr>
                <w:sz w:val="16"/>
              </w:rPr>
              <w:t>1,130</w:t>
            </w:r>
          </w:p>
        </w:tc>
        <w:tc>
          <w:tcPr>
            <w:tcW w:w="550" w:type="dxa"/>
          </w:tcPr>
          <w:p>
            <w:pPr>
              <w:jc w:val="right"/>
              <w:spacing w:before="10" w:after="10"/>
            </w:pPr>
            <w:r/>
            <w:r>
              <w:rPr>
                <w:sz w:val="16"/>
              </w:rPr>
              <w:t>0.9</w:t>
            </w:r>
          </w:p>
        </w:tc>
        <w:tc>
          <w:tcPr>
            <w:tcW w:w="450" w:type="dxa"/>
          </w:tcPr>
          <w:p>
            <w:pPr>
              <w:jc w:val="right"/>
              <w:spacing w:before="10" w:after="10"/>
            </w:pPr>
            <w:r/>
            <w:r>
              <w:rPr>
                <w:sz w:val="16"/>
              </w:rPr>
              <w:t>0.99</w:t>
            </w:r>
          </w:p>
        </w:tc>
        <w:tc>
          <w:tcPr>
            <w:tcW w:w="650" w:type="dxa"/>
          </w:tcPr>
          <w:p>
            <w:pPr>
              <w:jc w:val="right"/>
              <w:spacing w:before="10" w:after="10"/>
            </w:pPr>
            <w:r/>
            <w:r>
              <w:rPr>
                <w:sz w:val="16"/>
              </w:rPr>
              <w:t>$1.57</w:t>
            </w:r>
          </w:p>
        </w:tc>
        <w:tc>
          <w:tcPr>
            <w:tcW w:w="700" w:type="dxa"/>
          </w:tcPr>
          <w:p>
            <w:pPr>
              <w:jc w:val="right"/>
              <w:spacing w:before="10" w:after="10"/>
            </w:pPr>
            <w:r/>
            <w:r>
              <w:rPr>
                <w:sz w:val="16"/>
              </w:rPr>
              <w:t>$0.145</w:t>
            </w:r>
          </w:p>
        </w:tc>
      </w:tr>
      <w:tr>
        <w:tc>
          <w:tcPr>
            <w:tcW w:w="1500" w:type="dxa"/>
          </w:tcPr>
          <w:p>
            <w:pPr>
              <w:spacing w:before="10" w:after="10"/>
            </w:pPr>
            <w:r/>
            <w:r>
              <w:rPr>
                <w:sz w:val="16"/>
              </w:rPr>
              <w:t>Cyprus</w:t>
            </w:r>
          </w:p>
        </w:tc>
        <w:tc>
          <w:tcPr>
            <w:tcW w:w="650" w:type="dxa"/>
          </w:tcPr>
          <w:p>
            <w:pPr>
              <w:spacing w:before="10" w:after="10"/>
            </w:pPr>
            <w:r/>
            <w:r>
              <w:rPr>
                <w:sz w:val="16"/>
              </w:rPr>
              <w:t>$0.185</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00" w:type="dxa"/>
          </w:tcPr>
          <w:p>
            <w:pPr>
              <w:jc w:val="right"/>
              <w:spacing w:before="10" w:after="10"/>
            </w:pPr>
            <w:r/>
            <w:r>
              <w:rPr>
                <w:sz w:val="16"/>
              </w:rPr>
              <w:t>$10.29</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450" w:type="dxa"/>
          </w:tcPr>
          <w:p>
            <w:pPr>
              <w:jc w:val="right"/>
              <w:spacing w:before="10" w:after="10"/>
            </w:pPr>
            <w:r/>
            <w:r>
              <w:rPr>
                <w:sz w:val="16"/>
              </w:rPr>
              <w:t>0.83</w:t>
            </w:r>
          </w:p>
        </w:tc>
        <w:tc>
          <w:tcPr>
            <w:tcW w:w="650" w:type="dxa"/>
          </w:tcPr>
          <w:p>
            <w:pPr>
              <w:jc w:val="right"/>
              <w:spacing w:before="10" w:after="10"/>
            </w:pPr>
            <w:r/>
            <w:r>
              <w:rPr>
                <w:sz w:val="16"/>
              </w:rPr>
              <w:t>$1.58</w:t>
            </w:r>
          </w:p>
        </w:tc>
        <w:tc>
          <w:tcPr>
            <w:tcW w:w="700" w:type="dxa"/>
          </w:tcPr>
          <w:p>
            <w:pPr>
              <w:jc w:val="right"/>
              <w:spacing w:before="10" w:after="10"/>
            </w:pPr>
            <w:r/>
            <w:r>
              <w:rPr>
                <w:sz w:val="16"/>
              </w:rPr>
              <w:t>$0.185</w:t>
            </w:r>
          </w:p>
        </w:tc>
      </w:tr>
      <w:tr>
        <w:tc>
          <w:tcPr>
            <w:tcW w:w="1500" w:type="dxa"/>
          </w:tcPr>
          <w:p>
            <w:pPr>
              <w:spacing w:before="10" w:after="10"/>
            </w:pPr>
            <w:r/>
            <w:r>
              <w:rPr>
                <w:sz w:val="16"/>
              </w:rPr>
              <w:t>Croatia</w:t>
            </w:r>
          </w:p>
        </w:tc>
        <w:tc>
          <w:tcPr>
            <w:tcW w:w="650" w:type="dxa"/>
          </w:tcPr>
          <w:p>
            <w:pPr>
              <w:spacing w:before="10" w:after="10"/>
            </w:pPr>
            <w:r/>
            <w:r>
              <w:rPr>
                <w:sz w:val="16"/>
              </w:rPr>
              <w:t>$0.206</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00" w:type="dxa"/>
          </w:tcPr>
          <w:p>
            <w:pPr>
              <w:jc w:val="right"/>
              <w:spacing w:before="10" w:after="10"/>
            </w:pPr>
            <w:r/>
            <w:r>
              <w:rPr>
                <w:sz w:val="16"/>
              </w:rPr>
              <w:t>$9.77</w:t>
            </w:r>
          </w:p>
        </w:tc>
        <w:tc>
          <w:tcPr>
            <w:tcW w:w="650" w:type="dxa"/>
          </w:tcPr>
          <w:p>
            <w:pPr>
              <w:jc w:val="right"/>
              <w:spacing w:before="10" w:after="10"/>
            </w:pPr>
            <w:r/>
            <w:r>
              <w:rPr>
                <w:sz w:val="16"/>
              </w:rPr>
              <w:t>30</w:t>
            </w:r>
          </w:p>
        </w:tc>
        <w:tc>
          <w:tcPr>
            <w:tcW w:w="550" w:type="dxa"/>
          </w:tcPr>
          <w:p>
            <w:pPr>
              <w:jc w:val="right"/>
              <w:spacing w:before="10" w:after="10"/>
            </w:pPr>
            <w:r/>
            <w:r>
              <w:rPr>
                <w:sz w:val="16"/>
              </w:rPr>
              <w:t>0.0</w:t>
            </w:r>
          </w:p>
        </w:tc>
        <w:tc>
          <w:tcPr>
            <w:tcW w:w="450" w:type="dxa"/>
          </w:tcPr>
          <w:p>
            <w:pPr>
              <w:jc w:val="right"/>
              <w:spacing w:before="10" w:after="10"/>
            </w:pPr>
            <w:r/>
            <w:r>
              <w:rPr>
                <w:sz w:val="16"/>
              </w:rPr>
              <w:t>0.73</w:t>
            </w:r>
          </w:p>
        </w:tc>
        <w:tc>
          <w:tcPr>
            <w:tcW w:w="650" w:type="dxa"/>
          </w:tcPr>
          <w:p>
            <w:pPr>
              <w:jc w:val="right"/>
              <w:spacing w:before="10" w:after="10"/>
            </w:pPr>
            <w:r/>
            <w:r>
              <w:rPr>
                <w:sz w:val="16"/>
              </w:rPr>
              <w:t>$1.58</w:t>
            </w:r>
          </w:p>
        </w:tc>
        <w:tc>
          <w:tcPr>
            <w:tcW w:w="700" w:type="dxa"/>
          </w:tcPr>
          <w:p>
            <w:pPr>
              <w:jc w:val="right"/>
              <w:spacing w:before="10" w:after="10"/>
            </w:pPr>
            <w:r/>
            <w:r>
              <w:rPr>
                <w:sz w:val="16"/>
              </w:rPr>
              <w:t>$0.206</w:t>
            </w:r>
          </w:p>
        </w:tc>
      </w:tr>
      <w:tr>
        <w:tc>
          <w:tcPr>
            <w:tcW w:w="1500" w:type="dxa"/>
          </w:tcPr>
          <w:p>
            <w:pPr>
              <w:spacing w:before="10" w:after="10"/>
            </w:pPr>
            <w:r/>
            <w:r>
              <w:rPr>
                <w:sz w:val="16"/>
              </w:rPr>
              <w:t>Senegal</w:t>
            </w:r>
          </w:p>
        </w:tc>
        <w:tc>
          <w:tcPr>
            <w:tcW w:w="650" w:type="dxa"/>
          </w:tcPr>
          <w:p>
            <w:pPr>
              <w:spacing w:before="10" w:after="10"/>
            </w:pPr>
            <w:r/>
            <w:r>
              <w:rPr>
                <w:sz w:val="16"/>
              </w:rPr>
              <w:t>$0.180</w:t>
            </w:r>
          </w:p>
        </w:tc>
        <w:tc>
          <w:tcPr>
            <w:tcW w:w="550" w:type="dxa"/>
          </w:tcPr>
          <w:p>
            <w:pPr>
              <w:jc w:val="right"/>
              <w:spacing w:before="10" w:after="10"/>
            </w:pPr>
            <w:r/>
            <w:r>
              <w:rPr>
                <w:sz w:val="16"/>
              </w:rPr>
              <w:t>32.4</w:t>
            </w:r>
          </w:p>
        </w:tc>
        <w:tc>
          <w:tcPr>
            <w:tcW w:w="500" w:type="dxa"/>
          </w:tcPr>
          <w:p>
            <w:pPr>
              <w:jc w:val="right"/>
              <w:spacing w:before="10" w:after="10"/>
            </w:pPr>
            <w:r/>
            <w:r>
              <w:rPr>
                <w:sz w:val="16"/>
              </w:rPr>
              <w:t>1.34</w:t>
            </w:r>
          </w:p>
        </w:tc>
        <w:tc>
          <w:tcPr>
            <w:tcW w:w="600" w:type="dxa"/>
          </w:tcPr>
          <w:p>
            <w:pPr>
              <w:jc w:val="right"/>
              <w:spacing w:before="10" w:after="10"/>
            </w:pPr>
            <w:r/>
            <w:r>
              <w:rPr>
                <w:sz w:val="16"/>
              </w:rPr>
              <w:t>$10.50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450" w:type="dxa"/>
          </w:tcPr>
          <w:p>
            <w:pPr>
              <w:jc w:val="right"/>
              <w:spacing w:before="10" w:after="10"/>
            </w:pPr>
            <w:r/>
            <w:r>
              <w:rPr>
                <w:sz w:val="16"/>
              </w:rPr>
              <w:t>0.53</w:t>
            </w:r>
          </w:p>
        </w:tc>
        <w:tc>
          <w:tcPr>
            <w:tcW w:w="650" w:type="dxa"/>
          </w:tcPr>
          <w:p>
            <w:pPr>
              <w:jc w:val="right"/>
              <w:spacing w:before="10" w:after="10"/>
            </w:pPr>
            <w:r/>
            <w:r>
              <w:rPr>
                <w:sz w:val="16"/>
              </w:rPr>
              <w:t>$1.58</w:t>
            </w:r>
          </w:p>
        </w:tc>
        <w:tc>
          <w:tcPr>
            <w:tcW w:w="700" w:type="dxa"/>
          </w:tcPr>
          <w:p>
            <w:pPr>
              <w:jc w:val="right"/>
              <w:spacing w:before="10" w:after="10"/>
            </w:pPr>
            <w:r/>
            <w:r>
              <w:rPr>
                <w:sz w:val="16"/>
              </w:rPr>
              <w:t>$0.180</w:t>
            </w:r>
          </w:p>
        </w:tc>
      </w:tr>
      <w:tr>
        <w:tc>
          <w:tcPr>
            <w:tcW w:w="1500" w:type="dxa"/>
          </w:tcPr>
          <w:p>
            <w:pPr>
              <w:spacing w:before="10" w:after="10"/>
            </w:pPr>
            <w:r/>
            <w:r>
              <w:rPr>
                <w:sz w:val="16"/>
              </w:rPr>
              <w:t>Ireland</w:t>
            </w:r>
          </w:p>
        </w:tc>
        <w:tc>
          <w:tcPr>
            <w:tcW w:w="650" w:type="dxa"/>
          </w:tcPr>
          <w:p>
            <w:pPr>
              <w:spacing w:before="10" w:after="10"/>
            </w:pPr>
            <w:r/>
            <w:r>
              <w:rPr>
                <w:sz w:val="16"/>
              </w:rPr>
              <w:t>$0.228</w:t>
            </w:r>
          </w:p>
        </w:tc>
        <w:tc>
          <w:tcPr>
            <w:tcW w:w="550" w:type="dxa"/>
          </w:tcPr>
          <w:p>
            <w:pPr>
              <w:jc w:val="right"/>
              <w:spacing w:before="10" w:after="10"/>
            </w:pPr>
            <w:r/>
            <w:r>
              <w:rPr>
                <w:sz w:val="16"/>
              </w:rPr>
              <w:t>15.3</w:t>
            </w:r>
          </w:p>
        </w:tc>
        <w:tc>
          <w:tcPr>
            <w:tcW w:w="500" w:type="dxa"/>
          </w:tcPr>
          <w:p>
            <w:pPr>
              <w:jc w:val="right"/>
              <w:spacing w:before="10" w:after="10"/>
            </w:pPr>
            <w:r/>
            <w:r>
              <w:rPr>
                <w:sz w:val="16"/>
              </w:rPr>
              <w:t>1.08</w:t>
            </w:r>
          </w:p>
        </w:tc>
        <w:tc>
          <w:tcPr>
            <w:tcW w:w="600" w:type="dxa"/>
          </w:tcPr>
          <w:p>
            <w:pPr>
              <w:jc w:val="right"/>
              <w:spacing w:before="10" w:after="10"/>
            </w:pPr>
            <w:r/>
            <w:r>
              <w:rPr>
                <w:sz w:val="16"/>
              </w:rPr>
              <w:t>$10.05</w:t>
            </w:r>
          </w:p>
        </w:tc>
        <w:tc>
          <w:tcPr>
            <w:tcW w:w="650" w:type="dxa"/>
          </w:tcPr>
          <w:p>
            <w:pPr>
              <w:jc w:val="right"/>
              <w:spacing w:before="10" w:after="10"/>
            </w:pPr>
            <w:r/>
            <w:r>
              <w:rPr>
                <w:sz w:val="16"/>
              </w:rPr>
              <w:t>1,260</w:t>
            </w:r>
          </w:p>
        </w:tc>
        <w:tc>
          <w:tcPr>
            <w:tcW w:w="550" w:type="dxa"/>
          </w:tcPr>
          <w:p>
            <w:pPr>
              <w:jc w:val="right"/>
              <w:spacing w:before="10" w:after="10"/>
            </w:pPr>
            <w:r/>
            <w:r>
              <w:rPr>
                <w:sz w:val="16"/>
              </w:rPr>
              <w:t>1.0</w:t>
            </w:r>
          </w:p>
        </w:tc>
        <w:tc>
          <w:tcPr>
            <w:tcW w:w="450" w:type="dxa"/>
          </w:tcPr>
          <w:p>
            <w:pPr>
              <w:jc w:val="right"/>
              <w:spacing w:before="10" w:after="10"/>
            </w:pPr>
            <w:r/>
            <w:r>
              <w:rPr>
                <w:sz w:val="16"/>
              </w:rPr>
              <w:t>0.96</w:t>
            </w:r>
          </w:p>
        </w:tc>
        <w:tc>
          <w:tcPr>
            <w:tcW w:w="650" w:type="dxa"/>
          </w:tcPr>
          <w:p>
            <w:pPr>
              <w:jc w:val="right"/>
              <w:spacing w:before="10" w:after="10"/>
            </w:pPr>
            <w:r/>
            <w:r>
              <w:rPr>
                <w:sz w:val="16"/>
              </w:rPr>
              <w:t>$1.58</w:t>
            </w:r>
          </w:p>
        </w:tc>
        <w:tc>
          <w:tcPr>
            <w:tcW w:w="700" w:type="dxa"/>
          </w:tcPr>
          <w:p>
            <w:pPr>
              <w:jc w:val="right"/>
              <w:spacing w:before="10" w:after="10"/>
            </w:pPr>
            <w:r/>
            <w:r>
              <w:rPr>
                <w:sz w:val="16"/>
              </w:rPr>
              <w:t>$0.228</w:t>
            </w:r>
          </w:p>
        </w:tc>
      </w:tr>
      <w:tr>
        <w:tc>
          <w:tcPr>
            <w:tcBorders>
              <w:bottom w:val="double" w:sz="4" w:space="0" w:color="auto"/>
            </w:tcBorders>
            <w:tcW w:w="1500" w:type="dxa"/>
          </w:tcPr>
          <w:p>
            <w:pPr>
              <w:spacing w:before="10" w:after="10"/>
            </w:pPr>
            <w:r/>
            <w:r>
              <w:rPr>
                <w:sz w:val="16"/>
              </w:rPr>
              <w:t>Greenland</w:t>
            </w:r>
          </w:p>
        </w:tc>
        <w:tc>
          <w:tcPr>
            <w:tcBorders>
              <w:bottom w:val="double" w:sz="4" w:space="0" w:color="auto"/>
            </w:tcBorders>
            <w:tcW w:w="650" w:type="dxa"/>
          </w:tcPr>
          <w:p>
            <w:pPr>
              <w:spacing w:before="10" w:after="10"/>
            </w:pPr>
            <w:r/>
            <w:r>
              <w:rPr>
                <w:sz w:val="16"/>
              </w:rPr>
              <w:t>$0.263</w:t>
            </w:r>
          </w:p>
        </w:tc>
        <w:tc>
          <w:tcPr>
            <w:tcBorders>
              <w:bottom w:val="double" w:sz="4" w:space="0" w:color="auto"/>
            </w:tcBorders>
            <w:tcW w:w="550" w:type="dxa"/>
          </w:tcPr>
          <w:p>
            <w:pPr>
              <w:jc w:val="right"/>
              <w:spacing w:before="10" w:after="10"/>
            </w:pPr>
            <w:r/>
            <w:r>
              <w:rPr>
                <w:sz w:val="16"/>
              </w:rPr>
              <w:t>-3.1</w:t>
            </w:r>
          </w:p>
        </w:tc>
        <w:tc>
          <w:tcPr>
            <w:tcBorders>
              <w:bottom w:val="double" w:sz="4" w:space="0" w:color="auto"/>
            </w:tcBorders>
            <w:tcW w:w="500" w:type="dxa"/>
          </w:tcPr>
          <w:p>
            <w:pPr>
              <w:jc w:val="right"/>
              <w:spacing w:before="10" w:after="10"/>
            </w:pPr>
            <w:r/>
            <w:r>
              <w:rPr>
                <w:sz w:val="16"/>
              </w:rPr>
              <w:t>1.08</w:t>
            </w:r>
          </w:p>
        </w:tc>
        <w:tc>
          <w:tcPr>
            <w:tcBorders>
              <w:bottom w:val="double" w:sz="4" w:space="0" w:color="auto"/>
            </w:tcBorders>
            <w:tcW w:w="600" w:type="dxa"/>
          </w:tcPr>
          <w:p>
            <w:pPr>
              <w:jc w:val="right"/>
              <w:spacing w:before="10" w:after="10"/>
            </w:pPr>
            <w:r/>
            <w:r>
              <w:rPr>
                <w:sz w:val="16"/>
              </w:rPr>
              <w:t>$11.12</w:t>
            </w:r>
          </w:p>
        </w:tc>
        <w:tc>
          <w:tcPr>
            <w:tcBorders>
              <w:bottom w:val="double" w:sz="4" w:space="0" w:color="auto"/>
            </w:tcBorders>
            <w:tcW w:w="650" w:type="dxa"/>
          </w:tcPr>
          <w:p>
            <w:pPr>
              <w:jc w:val="right"/>
              <w:spacing w:before="10" w:after="10"/>
            </w:pPr>
            <w:r/>
            <w:r>
              <w:rPr>
                <w:sz w:val="16"/>
              </w:rPr>
              <w:t>5</w:t>
            </w:r>
          </w:p>
        </w:tc>
        <w:tc>
          <w:tcPr>
            <w:tcBorders>
              <w:bottom w:val="double" w:sz="4" w:space="0" w:color="auto"/>
            </w:tcBorders>
            <w:tcW w:w="550" w:type="dxa"/>
          </w:tcPr>
          <w:p>
            <w:pPr>
              <w:jc w:val="right"/>
              <w:spacing w:before="10" w:after="10"/>
            </w:pPr>
            <w:r/>
            <w:r>
              <w:rPr>
                <w:sz w:val="16"/>
              </w:rPr>
              <w:t>0.0</w:t>
            </w:r>
          </w:p>
        </w:tc>
        <w:tc>
          <w:tcPr>
            <w:tcBorders>
              <w:bottom w:val="double" w:sz="4" w:space="0" w:color="auto"/>
            </w:tcBorders>
            <w:tcW w:w="450" w:type="dxa"/>
          </w:tcPr>
          <w:p>
            <w:pPr>
              <w:jc w:val="right"/>
              <w:spacing w:before="10" w:after="10"/>
            </w:pPr>
            <w:r/>
            <w:r>
              <w:rPr>
                <w:sz w:val="16"/>
              </w:rPr>
              <w:t>0.92</w:t>
            </w:r>
          </w:p>
        </w:tc>
        <w:tc>
          <w:tcPr>
            <w:tcBorders>
              <w:bottom w:val="double" w:sz="4" w:space="0" w:color="auto"/>
            </w:tcBorders>
            <w:tcW w:w="650" w:type="dxa"/>
          </w:tcPr>
          <w:p>
            <w:pPr>
              <w:jc w:val="right"/>
              <w:spacing w:before="10" w:after="10"/>
            </w:pPr>
            <w:r/>
            <w:r>
              <w:rPr>
                <w:sz w:val="16"/>
              </w:rPr>
              <w:t>$1.62</w:t>
            </w:r>
          </w:p>
        </w:tc>
        <w:tc>
          <w:tcPr>
            <w:tcBorders>
              <w:bottom w:val="double" w:sz="4" w:space="0" w:color="auto"/>
            </w:tcBorders>
            <w:tcW w:w="700" w:type="dxa"/>
          </w:tcPr>
          <w:p>
            <w:pPr>
              <w:jc w:val="right"/>
              <w:spacing w:before="10" w:after="10"/>
            </w:pPr>
            <w:r/>
            <w:r>
              <w:rPr>
                <w:sz w:val="16"/>
              </w:rPr>
              <w:t>$0.263</w:t>
            </w:r>
          </w:p>
        </w:tc>
      </w:tr>
    </w:tbl>
    <w:p>
      <w:pPr>
        <w:spacing w:before="0" w:after="0" w:line="240" w:lineRule="auto"/>
        <w:ind w:firstLine="0"/>
        <w:jc w:val="left"/>
        <w:sectPr>
          <w:pgSz w:w="15840" w:h="12240" w:orient="landscape"/>
          <w:pgMar w:top="1440" w:right="1440" w:bottom="1440" w:left="1440" w:header="720" w:footer="720"/>
        </w:sectPr>
      </w:pPr>
      <w:r>
        <w:rPr>
          <w:b/>
          <w:sz w:val="20"/>
        </w:rPr>
        <w:t xml:space="preserve">Notes: </w:t>
      </w:r>
      <w:r>
        <w:rPr>
          <w:sz w:val="20"/>
        </w:rPr>
        <w:t xml:space="preserve">Countries sorted by cost-recovery adjusted rank (ascending). pᴱ = national electricity price for industrial/data center consumers ($/kWh). θⱼ = peak summer temperature (°C). PUE = Power Usage Effectiveness. Constr. = predicted data center construction cost ($/W of IT load). k̄ⱼ = installed data center power capacity (MW). ωⱼ = country share of global compute demand from </w:t>
      </w:r>
      <w:bookmarkStart w:id="907" w:name="Eq4txt907"/>
      <w:hyperlink w:anchor="Eq4" w:history="1">
        <w:r>
          <w:rPr>
            <w:sz w:val="20"/>
            <w:color w:val="1F3864"/>
            <w:u w:val="single"/>
          </w:rPr>
          <w:t xml:space="preserve">equation (4)</w:t>
        </w:r>
      </w:hyperlink>
      <w:bookmarkEnd w:id="907"/>
      <w:r>
        <w:rPr>
          <w:sz w:val="20"/>
        </w:rPr>
        <w:t xml:space="preserve">. ξⱼᵉᶠᶠ = production-efficiency index (weighted geometric mean of governance quality and grid reliability, ω = 0.50; see equation 3). Sanctions captured by bilateral λᵢⱼ (equation 2). cⱼ = hourly cost of operating one H100 GPU (electricity + hardware at $1.36/hr + amortized construction; excludes networking η = $0.15/hr, which is added in the equilibrium computations in Section 6). Cost-Rec. pᴱ = cost-recovery electricity price. For 13 countries with subsidized tariffs, this is the estimated long-run marginal cost of electricity generation (shown in bold). For all other countries, the cost-recovery price equals the observed tariff.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p>
    <w:p>
      <w:pPr>
        <w:spacing w:before="0" w:after="60"/>
        <w:ind w:firstLine="0"/>
        <w:jc w:val="both"/>
      </w:pPr>
      <w:bookmarkStart w:id="140" w:name="TableA2"/>
      <w:hyperlink w:anchor="TableA2txt" w:history="1">
        <w:r>
          <w:rPr>
            <w:b/>
            <w:sz w:val="20"/>
            <w:color w:val="1F3864"/>
            <w:u w:val="single"/>
          </w:rPr>
          <w:t>Table A2</w:t>
        </w:r>
      </w:hyperlink>
      <w:bookmarkEnd w:id="140"/>
      <w:r>
        <w:rPr>
          <w:b/>
          <w:sz w:val="20"/>
        </w:rPr>
        <w:t>. Country rankings under alternative cost specifications (all countries)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Borders>
              <w:top w:val="single" w:sz="4" w:space="0" w:color="auto"/>
              <w:bottom w:val="single" w:sz="4" w:space="0" w:color="auto"/>
            </w:tcBorders>
            <w:tcW w:w="1800" w:type="dxa"/>
          </w:tcPr>
          <w:p>
            <w:pPr>
              <w:jc w:val="center"/>
              <w:spacing w:before="5" w:after="5"/>
            </w:pPr>
            <w:r/>
            <w:r>
              <w:rPr>
                <w:rFonts w:ascii="Times New Roman" w:hAnsi="Times New Roman"/>
                <w:sz w:val="14"/>
              </w:rPr>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5" w:after="5"/>
              <w:spacing w:before="5" w:after="5"/>
              <w:spacing w:before="5" w:after="5"/>
            </w:pPr>
            <w:r/>
            <w:r>
              <w:rPr>
                <w:rFonts w:ascii="Times New Roman" w:hAnsi="Times New Roman"/>
                <w:b/>
                <w:sz w:val="14"/>
              </w:rPr>
              <w:t>(1) Raw Electricity</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5" w:after="5"/>
              <w:spacing w:before="5" w:after="5"/>
              <w:spacing w:before="5" w:after="5"/>
            </w:pPr>
            <w:r/>
            <w:r>
              <w:rPr>
                <w:rFonts w:ascii="Times New Roman" w:hAnsi="Times New Roman"/>
                <w:b/>
                <w:sz w:val="14"/>
              </w:rPr>
              <w:t>(2) Cost-Recovery</w:t>
            </w:r>
          </w:p>
        </w:tc>
        <w:tc>
          <w:tcPr>
            <w:gridSpan w:val="4"/>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5" w:after="5"/>
              <w:spacing w:before="5" w:after="5"/>
              <w:spacing w:before="5" w:after="5"/>
              <w:spacing w:before="5" w:after="5"/>
            </w:pPr>
            <w:r/>
            <w:r>
              <w:rPr>
                <w:rFonts w:ascii="Times New Roman" w:hAnsi="Times New Roman"/>
                <w:b/>
                <w:sz w:val="14"/>
              </w:rPr>
              <w:t>(3) Efficiency-Adjusted</w:t>
            </w:r>
          </w:p>
        </w:tc>
        <w:tc>
          <w:tcPr>
            <w:gridSpan w:val="3"/>
            <w:tcBorders>
              <w:top w:val="single" w:sz="4" w:space="0" w:color="auto"/>
              <w:bottom w:val="single" w:sz="4" w:space="0" w:color="auto"/>
            </w:tcBorders>
            <w:tcBorders>
              <w:top w:val="single" w:sz="4" w:space="0" w:color="auto"/>
              <w:bottom w:val="single" w:sz="4" w:space="0" w:color="auto"/>
            </w:tcBorders>
            <w:tcBorders>
              <w:top w:val="single" w:sz="4" w:space="0" w:color="auto"/>
              <w:bottom w:val="single" w:sz="4" w:space="0" w:color="auto"/>
            </w:tcBorders>
            <w:tcW w:w="540" w:type="dxa"/>
          </w:tcPr>
          <w:p>
            <w:pPr>
              <w:jc w:val="center"/>
              <w:spacing w:before="5" w:after="5"/>
              <w:spacing w:before="5" w:after="5"/>
              <w:spacing w:before="5" w:after="5"/>
            </w:pPr>
            <w:r/>
            <w:r>
              <w:rPr>
                <w:rFonts w:ascii="Times New Roman" w:hAnsi="Times New Roman"/>
                <w:b/>
                <w:sz w:val="14"/>
              </w:rPr>
              <w:t>(4) Bilateral λᵢⱼ</w:t>
            </w:r>
          </w:p>
        </w:tc>
        <w:tc>
          <w:tcPr>
            <w:tcBorders>
              <w:top w:val="single" w:sz="4" w:space="0" w:color="auto"/>
              <w:bottom w:val="single" w:sz="4" w:space="0" w:color="auto"/>
            </w:tcBorders>
            <w:tcW w:w="540" w:type="dxa"/>
          </w:tcPr>
          <w:p>
            <w:pPr>
              <w:jc w:val="center"/>
              <w:spacing w:before="5" w:after="5"/>
            </w:pPr>
            <w:r/>
            <w:r>
              <w:rPr>
                <w:rFonts w:ascii="Times New Roman" w:hAnsi="Times New Roman"/>
                <w:sz w:val="14"/>
              </w:rPr>
            </w:r>
          </w:p>
        </w:tc>
      </w:tr>
      <w:tr>
        <w:tc>
          <w:tcPr>
            <w:tcBorders>
              <w:top w:val="single" w:sz="4" w:space="0" w:color="auto"/>
              <w:bottom w:val="single" w:sz="4" w:space="0" w:color="auto"/>
            </w:tcBorders>
            <w:tcW w:w="1800" w:type="dxa"/>
          </w:tcPr>
          <w:p>
            <w:pPr>
              <w:jc w:val="left"/>
              <w:spacing w:before="5" w:after="5"/>
            </w:pPr>
            <w:r/>
            <w:r>
              <w:rPr>
                <w:rFonts w:ascii="Times New Roman" w:hAnsi="Times New Roman"/>
                <w:b/>
                <w:sz w:val="14"/>
              </w:rPr>
              <w:t>Country</w:t>
            </w:r>
          </w:p>
        </w:tc>
        <w:tc>
          <w:tcPr>
            <w:tcBorders>
              <w:top w:val="single" w:sz="4" w:space="0" w:color="auto"/>
              <w:bottom w:val="single" w:sz="4" w:space="0" w:color="auto"/>
            </w:tcBorders>
            <w:tcW w:w="90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90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900" w:type="dxa"/>
          </w:tcPr>
          <w:p>
            <w:pPr>
              <w:jc w:val="center"/>
              <w:spacing w:before="5" w:after="5"/>
            </w:pPr>
            <w:r/>
            <w:r>
              <w:rPr>
                <w:rFonts w:ascii="Times New Roman" w:hAnsi="Times New Roman"/>
                <w:b/>
                <w:sz w:val="14"/>
              </w:rPr>
              <w:t>cⱼᵃᵈʲ</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ξⱼᵉᶠᶠ</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900" w:type="dxa"/>
          </w:tcPr>
          <w:p>
            <w:pPr>
              <w:jc w:val="center"/>
              <w:spacing w:before="5" w:after="5"/>
            </w:pPr>
            <w:r/>
            <w:r>
              <w:rPr>
                <w:rFonts w:ascii="Times New Roman" w:hAnsi="Times New Roman"/>
                <w:b/>
                <w:sz w:val="14"/>
              </w:rPr>
              <w:t>pⱼ</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540" w:type="dxa"/>
          </w:tcPr>
          <w:p>
            <w:pPr>
              <w:jc w:val="center"/>
              <w:spacing w:before="5" w:after="5"/>
            </w:pPr>
            <w:r/>
            <w:r>
              <w:rPr>
                <w:rFonts w:ascii="Times New Roman" w:hAnsi="Times New Roman"/>
                <w:b/>
                <w:sz w:val="14"/>
              </w:rPr>
              <w:t>Δ</w:t>
            </w:r>
          </w:p>
        </w:tc>
      </w:tr>
      <w:tr>
        <w:tc>
          <w:tcPr>
            <w:tcW w:w="1800" w:type="dxa"/>
          </w:tcPr>
          <w:p>
            <w:pPr>
              <w:jc w:val="left"/>
              <w:spacing w:before="5" w:after="5"/>
            </w:pPr>
            <w:r/>
            <w:r>
              <w:rPr>
                <w:rFonts w:ascii="Times New Roman" w:hAnsi="Times New Roman"/>
                <w:sz w:val="14"/>
              </w:rPr>
              <w:t>Canada</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0.95</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540" w:type="dxa"/>
          </w:tcPr>
          <w:p>
            <w:pPr>
              <w:jc w:val="center"/>
              <w:spacing w:before="5" w:after="5"/>
            </w:pPr>
            <w:r/>
            <w:r>
              <w:rPr>
                <w:rFonts w:ascii="Times New Roman" w:hAnsi="Times New Roman"/>
                <w:sz w:val="14"/>
              </w:rPr>
              <w:t>+6</w:t>
            </w:r>
          </w:p>
        </w:tc>
      </w:tr>
      <w:tr>
        <w:tc>
          <w:tcPr>
            <w:tcW w:w="1800" w:type="dxa"/>
          </w:tcPr>
          <w:p>
            <w:pPr>
              <w:jc w:val="left"/>
              <w:spacing w:before="5" w:after="5"/>
            </w:pPr>
            <w:r/>
            <w:r>
              <w:rPr>
                <w:rFonts w:ascii="Times New Roman" w:hAnsi="Times New Roman"/>
                <w:sz w:val="14"/>
              </w:rPr>
              <w:t>Norway</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+23</w:t>
            </w:r>
          </w:p>
        </w:tc>
      </w:tr>
      <w:tr>
        <w:tc>
          <w:tcPr>
            <w:tcW w:w="1800" w:type="dxa"/>
          </w:tcPr>
          <w:p>
            <w:pPr>
              <w:jc w:val="left"/>
              <w:spacing w:before="5" w:after="5"/>
            </w:pPr>
            <w:r/>
            <w:r>
              <w:rPr>
                <w:rFonts w:ascii="Times New Roman" w:hAnsi="Times New Roman"/>
                <w:sz w:val="14"/>
              </w:rPr>
              <w:t>Finland</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+23</w:t>
            </w:r>
          </w:p>
        </w:tc>
      </w:tr>
      <w:tr>
        <w:tc>
          <w:tcPr>
            <w:tcW w:w="1800" w:type="dxa"/>
          </w:tcPr>
          <w:p>
            <w:pPr>
              <w:jc w:val="left"/>
              <w:spacing w:before="5" w:after="5"/>
            </w:pPr>
            <w:r/>
            <w:r>
              <w:rPr>
                <w:rFonts w:ascii="Times New Roman" w:hAnsi="Times New Roman"/>
                <w:sz w:val="14"/>
              </w:rPr>
              <w:t>Sweden</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0.97</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+26</w:t>
            </w:r>
          </w:p>
        </w:tc>
      </w:tr>
      <w:tr>
        <w:tc>
          <w:tcPr>
            <w:tcW w:w="1800" w:type="dxa"/>
          </w:tcPr>
          <w:p>
            <w:pPr>
              <w:jc w:val="left"/>
              <w:spacing w:before="5" w:after="5"/>
            </w:pPr>
            <w:r/>
            <w:r>
              <w:rPr>
                <w:rFonts w:ascii="Times New Roman" w:hAnsi="Times New Roman"/>
                <w:sz w:val="14"/>
              </w:rPr>
              <w:t>Iceland</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0.98</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+33</w:t>
            </w:r>
          </w:p>
        </w:tc>
      </w:tr>
      <w:tr>
        <w:tc>
          <w:tcPr>
            <w:tcW w:w="1800" w:type="dxa"/>
          </w:tcPr>
          <w:p>
            <w:pPr>
              <w:jc w:val="left"/>
              <w:spacing w:before="5" w:after="5"/>
            </w:pPr>
            <w:r/>
            <w:r>
              <w:rPr>
                <w:rFonts w:ascii="Times New Roman" w:hAnsi="Times New Roman"/>
                <w:sz w:val="14"/>
              </w:rPr>
              <w:t>Australia</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0.96</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+31</w:t>
            </w:r>
          </w:p>
        </w:tc>
      </w:tr>
      <w:tr>
        <w:tc>
          <w:tcPr>
            <w:tcW w:w="1800" w:type="dxa"/>
          </w:tcPr>
          <w:p>
            <w:pPr>
              <w:jc w:val="left"/>
              <w:spacing w:before="5" w:after="5"/>
            </w:pPr>
            <w:r/>
            <w:r>
              <w:rPr>
                <w:rFonts w:ascii="Times New Roman" w:hAnsi="Times New Roman"/>
                <w:sz w:val="14"/>
              </w:rPr>
              <w:t>New Zealand</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0.97</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+39</w:t>
            </w:r>
          </w:p>
        </w:tc>
      </w:tr>
      <w:tr>
        <w:tc>
          <w:tcPr>
            <w:tcW w:w="1800" w:type="dxa"/>
          </w:tcPr>
          <w:p>
            <w:pPr>
              <w:jc w:val="left"/>
              <w:spacing w:before="5" w:after="5"/>
            </w:pPr>
            <w:r/>
            <w:r>
              <w:rPr>
                <w:rFonts w:ascii="Times New Roman" w:hAnsi="Times New Roman"/>
                <w:sz w:val="14"/>
              </w:rPr>
              <w:t>United States of A.</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0.92</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+24</w:t>
            </w:r>
          </w:p>
        </w:tc>
      </w:tr>
      <w:tr>
        <w:tc>
          <w:tcPr>
            <w:tcW w:w="1800" w:type="dxa"/>
          </w:tcPr>
          <w:p>
            <w:pPr>
              <w:jc w:val="left"/>
              <w:spacing w:before="5" w:after="5"/>
            </w:pPr>
            <w:r/>
            <w:r>
              <w:rPr>
                <w:rFonts w:ascii="Times New Roman" w:hAnsi="Times New Roman"/>
                <w:sz w:val="14"/>
              </w:rPr>
              <w:t>UK</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0.93</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+35</w:t>
            </w:r>
          </w:p>
        </w:tc>
      </w:tr>
      <w:tr>
        <w:tc>
          <w:tcPr>
            <w:tcW w:w="1800" w:type="dxa"/>
          </w:tcPr>
          <w:p>
            <w:pPr>
              <w:jc w:val="left"/>
              <w:spacing w:before="5" w:after="5"/>
            </w:pPr>
            <w:r/>
            <w:r>
              <w:rPr>
                <w:rFonts w:ascii="Times New Roman" w:hAnsi="Times New Roman"/>
                <w:sz w:val="14"/>
              </w:rPr>
              <w:t>Luxembourg</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0.98</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+48</w:t>
            </w:r>
          </w:p>
        </w:tc>
      </w:tr>
      <w:tr>
        <w:tc>
          <w:tcPr>
            <w:tcW w:w="1800" w:type="dxa"/>
          </w:tcPr>
          <w:p>
            <w:pPr>
              <w:jc w:val="left"/>
              <w:spacing w:before="5" w:after="5"/>
            </w:pPr>
            <w:r/>
            <w:r>
              <w:rPr>
                <w:rFonts w:ascii="Times New Roman" w:hAnsi="Times New Roman"/>
                <w:sz w:val="14"/>
              </w:rPr>
              <w:t>Denmark</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1.00</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+54</w:t>
            </w:r>
          </w:p>
        </w:tc>
      </w:tr>
      <w:tr>
        <w:tc>
          <w:tcPr>
            <w:tcW w:w="1800" w:type="dxa"/>
          </w:tcPr>
          <w:p>
            <w:pPr>
              <w:jc w:val="left"/>
              <w:spacing w:before="5" w:after="5"/>
            </w:pPr>
            <w:r/>
            <w:r>
              <w:rPr>
                <w:rFonts w:ascii="Times New Roman" w:hAnsi="Times New Roman"/>
                <w:sz w:val="14"/>
              </w:rPr>
              <w:t>France</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0.91</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+29</w:t>
            </w:r>
          </w:p>
        </w:tc>
      </w:tr>
      <w:tr>
        <w:tc>
          <w:tcPr>
            <w:tcW w:w="1800" w:type="dxa"/>
          </w:tcPr>
          <w:p>
            <w:pPr>
              <w:jc w:val="left"/>
              <w:spacing w:before="5" w:after="5"/>
            </w:pPr>
            <w:r/>
            <w:r>
              <w:rPr>
                <w:rFonts w:ascii="Times New Roman" w:hAnsi="Times New Roman"/>
                <w:sz w:val="14"/>
              </w:rPr>
              <w:t>Netherlands</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0.97</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+48</w:t>
            </w:r>
          </w:p>
        </w:tc>
      </w:tr>
      <w:tr>
        <w:tc>
          <w:tcPr>
            <w:tcW w:w="1800" w:type="dxa"/>
          </w:tcPr>
          <w:p>
            <w:pPr>
              <w:jc w:val="left"/>
              <w:spacing w:before="5" w:after="5"/>
            </w:pPr>
            <w:r/>
            <w:r>
              <w:rPr>
                <w:rFonts w:ascii="Times New Roman" w:hAnsi="Times New Roman"/>
                <w:sz w:val="14"/>
              </w:rPr>
              <w:t>Belgium</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0.94</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+42</w:t>
            </w:r>
          </w:p>
        </w:tc>
      </w:tr>
      <w:tr>
        <w:tc>
          <w:tcPr>
            <w:tcW w:w="1800" w:type="dxa"/>
          </w:tcPr>
          <w:p>
            <w:pPr>
              <w:jc w:val="left"/>
              <w:spacing w:before="5" w:after="5"/>
            </w:pPr>
            <w:r/>
            <w:r>
              <w:rPr>
                <w:rFonts w:ascii="Times New Roman" w:hAnsi="Times New Roman"/>
                <w:sz w:val="14"/>
              </w:rPr>
              <w:t>Portugal</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0.89</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+34</w:t>
            </w:r>
          </w:p>
        </w:tc>
      </w:tr>
      <w:tr>
        <w:tc>
          <w:tcPr>
            <w:tcW w:w="1800" w:type="dxa"/>
          </w:tcPr>
          <w:p>
            <w:pPr>
              <w:jc w:val="left"/>
              <w:spacing w:before="5" w:after="5"/>
            </w:pPr>
            <w:r/>
            <w:r>
              <w:rPr>
                <w:rFonts w:ascii="Times New Roman" w:hAnsi="Times New Roman"/>
                <w:sz w:val="14"/>
              </w:rPr>
              <w:t>UAE</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0.87</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+8</w:t>
            </w:r>
          </w:p>
        </w:tc>
      </w:tr>
      <w:tr>
        <w:tc>
          <w:tcPr>
            <w:tcW w:w="1800" w:type="dxa"/>
          </w:tcPr>
          <w:p>
            <w:pPr>
              <w:jc w:val="left"/>
              <w:spacing w:before="5" w:after="5"/>
            </w:pPr>
            <w:r/>
            <w:r>
              <w:rPr>
                <w:rFonts w:ascii="Times New Roman" w:hAnsi="Times New Roman"/>
                <w:sz w:val="14"/>
              </w:rPr>
              <w:t>Estonia</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0.92</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+45</w:t>
            </w:r>
          </w:p>
        </w:tc>
      </w:tr>
      <w:tr>
        <w:tc>
          <w:tcPr>
            <w:tcW w:w="1800" w:type="dxa"/>
          </w:tcPr>
          <w:p>
            <w:pPr>
              <w:jc w:val="left"/>
              <w:spacing w:before="5" w:after="5"/>
            </w:pPr>
            <w:r/>
            <w:r>
              <w:rPr>
                <w:rFonts w:ascii="Times New Roman" w:hAnsi="Times New Roman"/>
                <w:sz w:val="14"/>
              </w:rPr>
              <w:t>South Korea</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0.92</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+42</w:t>
            </w:r>
          </w:p>
        </w:tc>
      </w:tr>
      <w:tr>
        <w:tc>
          <w:tcPr>
            <w:tcW w:w="1800" w:type="dxa"/>
          </w:tcPr>
          <w:p>
            <w:pPr>
              <w:jc w:val="left"/>
              <w:spacing w:before="5" w:after="5"/>
            </w:pPr>
            <w:r/>
            <w:r>
              <w:rPr>
                <w:rFonts w:ascii="Times New Roman" w:hAnsi="Times New Roman"/>
                <w:sz w:val="14"/>
              </w:rPr>
              <w:t>China</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0.71</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-9</w:t>
            </w:r>
          </w:p>
        </w:tc>
      </w:tr>
      <w:tr>
        <w:tc>
          <w:tcPr>
            <w:tcW w:w="1800" w:type="dxa"/>
          </w:tcPr>
          <w:p>
            <w:pPr>
              <w:jc w:val="left"/>
              <w:spacing w:before="5" w:after="5"/>
            </w:pPr>
            <w:r/>
            <w:r>
              <w:rPr>
                <w:rFonts w:ascii="Times New Roman" w:hAnsi="Times New Roman"/>
                <w:sz w:val="14"/>
              </w:rPr>
              <w:t>Latvia</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0.86</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+30</w:t>
            </w:r>
          </w:p>
        </w:tc>
      </w:tr>
      <w:tr>
        <w:tc>
          <w:tcPr>
            <w:tcW w:w="1800" w:type="dxa"/>
          </w:tcPr>
          <w:p>
            <w:pPr>
              <w:jc w:val="left"/>
              <w:spacing w:before="5" w:after="5"/>
            </w:pPr>
            <w:r/>
            <w:r>
              <w:rPr>
                <w:rFonts w:ascii="Times New Roman" w:hAnsi="Times New Roman"/>
                <w:sz w:val="14"/>
              </w:rPr>
              <w:t>Israel</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0.87</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+31</w:t>
            </w:r>
          </w:p>
        </w:tc>
      </w:tr>
      <w:tr>
        <w:tc>
          <w:tcPr>
            <w:tcW w:w="1800" w:type="dxa"/>
          </w:tcPr>
          <w:p>
            <w:pPr>
              <w:jc w:val="left"/>
              <w:spacing w:before="5" w:after="5"/>
            </w:pPr>
            <w:r/>
            <w:r>
              <w:rPr>
                <w:rFonts w:ascii="Times New Roman" w:hAnsi="Times New Roman"/>
                <w:sz w:val="14"/>
              </w:rPr>
              <w:t>Austria</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0.99</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+53</w:t>
            </w:r>
          </w:p>
        </w:tc>
      </w:tr>
      <w:tr>
        <w:tc>
          <w:tcPr>
            <w:tcW w:w="1800" w:type="dxa"/>
          </w:tcPr>
          <w:p>
            <w:pPr>
              <w:jc w:val="left"/>
              <w:spacing w:before="5" w:after="5"/>
            </w:pPr>
            <w:r/>
            <w:r>
              <w:rPr>
                <w:rFonts w:ascii="Times New Roman" w:hAnsi="Times New Roman"/>
                <w:sz w:val="14"/>
              </w:rPr>
              <w:t>Germany</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0.96</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+50</w:t>
            </w:r>
          </w:p>
        </w:tc>
      </w:tr>
      <w:tr>
        <w:tc>
          <w:tcPr>
            <w:tcW w:w="1800" w:type="dxa"/>
          </w:tcPr>
          <w:p>
            <w:pPr>
              <w:jc w:val="left"/>
              <w:spacing w:before="5" w:after="5"/>
            </w:pPr>
            <w:r/>
            <w:r>
              <w:rPr>
                <w:rFonts w:ascii="Times New Roman" w:hAnsi="Times New Roman"/>
                <w:sz w:val="14"/>
              </w:rPr>
              <w:t>Spain</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0.86</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+29</w:t>
            </w:r>
          </w:p>
        </w:tc>
      </w:tr>
      <w:tr>
        <w:tc>
          <w:tcPr>
            <w:tcW w:w="1800" w:type="dxa"/>
          </w:tcPr>
          <w:p>
            <w:pPr>
              <w:jc w:val="left"/>
              <w:spacing w:before="5" w:after="5"/>
            </w:pPr>
            <w:r/>
            <w:r>
              <w:rPr>
                <w:rFonts w:ascii="Times New Roman" w:hAnsi="Times New Roman"/>
                <w:sz w:val="14"/>
              </w:rPr>
              <w:t>Malta</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0.85</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+22</w:t>
            </w:r>
          </w:p>
        </w:tc>
      </w:tr>
      <w:tr>
        <w:tc>
          <w:tcPr>
            <w:tcW w:w="1800" w:type="dxa"/>
          </w:tcPr>
          <w:p>
            <w:pPr>
              <w:jc w:val="left"/>
              <w:spacing w:before="5" w:after="5"/>
            </w:pPr>
            <w:r/>
            <w:r>
              <w:rPr>
                <w:rFonts w:ascii="Times New Roman" w:hAnsi="Times New Roman"/>
                <w:sz w:val="14"/>
              </w:rPr>
              <w:t>Lithuania</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$1.74</w:t>
            </w:r>
          </w:p>
        </w:tc>
        <w:tc>
          <w:tcPr>
            <w:tcW w:w="450" w:type="dxa"/>
          </w:tcPr>
          <w:p>
            <w:pPr>
              <w:jc w:val="center"/>
              <w:spacing w:before="5" w:after="5"/>
            </w:pPr>
            <w:r/>
            <w:r>
              <w:rPr>
                <w:rFonts w:ascii="Times New Roman" w:hAnsi="Times New Roman"/>
                <w:sz w:val="14"/>
              </w:rPr>
              <w:t>0.89</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$1.74</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+38</w:t>
            </w:r>
          </w:p>
        </w:tc>
      </w:tr>
      <w:tr>
        <w:tc>
          <w:tcPr>
            <w:tcW w:w="1800" w:type="dxa"/>
          </w:tcPr>
          <w:p>
            <w:pPr>
              <w:jc w:val="left"/>
              <w:spacing w:before="5" w:after="5"/>
            </w:pPr>
            <w:r/>
            <w:r>
              <w:rPr>
                <w:rFonts w:ascii="Times New Roman" w:hAnsi="Times New Roman"/>
                <w:sz w:val="14"/>
              </w:rPr>
              <w:t>Switzerland</w:t>
            </w:r>
          </w:p>
        </w:tc>
        <w:tc>
          <w:tcPr>
            <w:tcW w:w="900" w:type="dxa"/>
          </w:tcPr>
          <w:p>
            <w:pPr>
              <w:jc w:val="center"/>
              <w:spacing w:before="5" w:after="5"/>
            </w:pPr>
            <w:r/>
            <w:r>
              <w:rPr>
                <w:rFonts w:ascii="Times New Roman" w:hAnsi="Times New Roman"/>
                <w:sz w:val="14"/>
              </w:rPr>
              <w:t>$1.74</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$1.74</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$1.74</w:t>
            </w:r>
          </w:p>
        </w:tc>
        <w:tc>
          <w:tcPr>
            <w:tcW w:w="450" w:type="dxa"/>
          </w:tcPr>
          <w:p>
            <w:pPr>
              <w:jc w:val="center"/>
              <w:spacing w:before="5" w:after="5"/>
            </w:pPr>
            <w:r/>
            <w:r>
              <w:rPr>
                <w:rFonts w:ascii="Times New Roman" w:hAnsi="Times New Roman"/>
                <w:sz w:val="14"/>
              </w:rPr>
              <w:t>0.99</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$1.74</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+52</w:t>
            </w:r>
          </w:p>
        </w:tc>
      </w:tr>
      <w:tr>
        <w:tc>
          <w:tcPr>
            <w:tcW w:w="1800" w:type="dxa"/>
          </w:tcPr>
          <w:p>
            <w:pPr>
              <w:jc w:val="left"/>
              <w:spacing w:before="5" w:after="5"/>
            </w:pPr>
            <w:r/>
            <w:r>
              <w:rPr>
                <w:rFonts w:ascii="Times New Roman" w:hAnsi="Times New Roman"/>
                <w:sz w:val="14"/>
              </w:rPr>
              <w:t>Qatar</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17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$1.75</w:t>
            </w:r>
          </w:p>
        </w:tc>
        <w:tc>
          <w:tcPr>
            <w:tcW w:w="450" w:type="dxa"/>
          </w:tcPr>
          <w:p>
            <w:pPr>
              <w:jc w:val="center"/>
              <w:spacing w:before="5" w:after="5"/>
            </w:pPr>
            <w:r/>
            <w:r>
              <w:rPr>
                <w:rFonts w:ascii="Times New Roman" w:hAnsi="Times New Roman"/>
                <w:sz w:val="14"/>
              </w:rPr>
              <w:t>0.87</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$1.75</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-11</w:t>
            </w:r>
          </w:p>
        </w:tc>
      </w:tr>
      <w:tr>
        <w:tc>
          <w:tcPr>
            <w:tcW w:w="1800" w:type="dxa"/>
          </w:tcPr>
          <w:p>
            <w:pPr>
              <w:jc w:val="left"/>
              <w:spacing w:before="5" w:after="5"/>
            </w:pPr>
            <w:r/>
            <w:r>
              <w:rPr>
                <w:rFonts w:ascii="Times New Roman" w:hAnsi="Times New Roman"/>
                <w:sz w:val="14"/>
              </w:rPr>
              <w:t>Chile</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$1.75</w:t>
            </w:r>
          </w:p>
        </w:tc>
        <w:tc>
          <w:tcPr>
            <w:tcW w:w="450" w:type="dxa"/>
          </w:tcPr>
          <w:p>
            <w:pPr>
              <w:jc w:val="center"/>
              <w:spacing w:before="5" w:after="5"/>
            </w:pPr>
            <w:r/>
            <w:r>
              <w:rPr>
                <w:rFonts w:ascii="Times New Roman" w:hAnsi="Times New Roman"/>
                <w:sz w:val="14"/>
              </w:rPr>
              <w:t>0.80</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$1.75</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+14</w:t>
            </w:r>
          </w:p>
        </w:tc>
      </w:tr>
      <w:tr>
        <w:tc>
          <w:tcPr>
            <w:tcW w:w="1800" w:type="dxa"/>
          </w:tcPr>
          <w:p>
            <w:pPr>
              <w:jc w:val="left"/>
              <w:spacing w:before="5" w:after="5"/>
            </w:pPr>
            <w:r/>
            <w:r>
              <w:rPr>
                <w:rFonts w:ascii="Times New Roman" w:hAnsi="Times New Roman"/>
                <w:sz w:val="14"/>
              </w:rPr>
              <w:t>Slovenia</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$1.75</w:t>
            </w:r>
          </w:p>
        </w:tc>
        <w:tc>
          <w:tcPr>
            <w:tcW w:w="450" w:type="dxa"/>
          </w:tcPr>
          <w:p>
            <w:pPr>
              <w:jc w:val="center"/>
              <w:spacing w:before="5" w:after="5"/>
            </w:pPr>
            <w:r/>
            <w:r>
              <w:rPr>
                <w:rFonts w:ascii="Times New Roman" w:hAnsi="Times New Roman"/>
                <w:sz w:val="14"/>
              </w:rPr>
              <w:t>0.89</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$1.75</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+38</w:t>
            </w:r>
          </w:p>
        </w:tc>
      </w:tr>
      <w:tr>
        <w:tc>
          <w:tcPr>
            <w:tcW w:w="1800" w:type="dxa"/>
          </w:tcPr>
          <w:p>
            <w:pPr>
              <w:jc w:val="left"/>
              <w:spacing w:before="5" w:after="5"/>
            </w:pPr>
            <w:r/>
            <w:r>
              <w:rPr>
                <w:rFonts w:ascii="Times New Roman" w:hAnsi="Times New Roman"/>
                <w:sz w:val="14"/>
              </w:rPr>
              <w:t>Singapore</w:t>
            </w:r>
          </w:p>
        </w:tc>
        <w:tc>
          <w:tcPr>
            <w:tcW w:w="900" w:type="dxa"/>
          </w:tcPr>
          <w:p>
            <w:pPr>
              <w:jc w:val="center"/>
              <w:spacing w:before="5" w:after="5"/>
            </w:pPr>
            <w:r/>
            <w:r>
              <w:rPr>
                <w:rFonts w:ascii="Times New Roman" w:hAnsi="Times New Roman"/>
                <w:sz w:val="14"/>
              </w:rPr>
              <w:t>$1.75</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$1.75</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$1.75</w:t>
            </w:r>
          </w:p>
        </w:tc>
        <w:tc>
          <w:tcPr>
            <w:tcW w:w="450" w:type="dxa"/>
          </w:tcPr>
          <w:p>
            <w:pPr>
              <w:jc w:val="center"/>
              <w:spacing w:before="5" w:after="5"/>
            </w:pPr>
            <w:r/>
            <w:r>
              <w:rPr>
                <w:rFonts w:ascii="Times New Roman" w:hAnsi="Times New Roman"/>
                <w:sz w:val="14"/>
              </w:rPr>
              <w:t>0.99</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$1.75</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IE</w:t>
            </w:r>
          </w:p>
        </w:tc>
        <w:tc>
          <w:tcPr>
            <w:tcW w:w="540" w:type="dxa"/>
          </w:tcPr>
          <w:p>
            <w:pPr>
              <w:jc w:val="center"/>
              <w:spacing w:before="5" w:after="5"/>
            </w:pPr>
            <w:r/>
            <w:r>
              <w:rPr>
                <w:rFonts w:ascii="Times New Roman" w:hAnsi="Times New Roman"/>
                <w:sz w:val="14"/>
              </w:rPr>
              <w:t>+49</w:t>
            </w:r>
          </w:p>
        </w:tc>
      </w:tr>
      <w:tr>
        <w:tc>
          <w:tcPr>
            <w:tcW w:w="1800" w:type="dxa"/>
          </w:tcPr>
          <w:p>
            <w:pPr>
              <w:jc w:val="left"/>
              <w:spacing w:before="5" w:after="5"/>
            </w:pPr>
            <w:r/>
            <w:r>
              <w:rPr>
                <w:rFonts w:ascii="Times New Roman" w:hAnsi="Times New Roman"/>
                <w:sz w:val="14"/>
              </w:rPr>
              <w:t>Japan</w:t>
            </w:r>
          </w:p>
        </w:tc>
        <w:tc>
          <w:tcPr>
            <w:tcW w:w="900" w:type="dxa"/>
          </w:tcPr>
          <w:p>
            <w:pPr>
              <w:jc w:val="center"/>
              <w:spacing w:before="5" w:after="5"/>
            </w:pPr>
            <w:r/>
            <w:r>
              <w:rPr>
                <w:rFonts w:ascii="Times New Roman" w:hAnsi="Times New Roman"/>
                <w:sz w:val="14"/>
              </w:rPr>
              <w:t>$1.74</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$1.74</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$1.76</w:t>
            </w:r>
          </w:p>
        </w:tc>
        <w:tc>
          <w:tcPr>
            <w:tcW w:w="450" w:type="dxa"/>
          </w:tcPr>
          <w:p>
            <w:pPr>
              <w:jc w:val="center"/>
              <w:spacing w:before="5" w:after="5"/>
            </w:pPr>
            <w:r/>
            <w:r>
              <w:rPr>
                <w:rFonts w:ascii="Times New Roman" w:hAnsi="Times New Roman"/>
                <w:sz w:val="14"/>
              </w:rPr>
              <w:t>0.95</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$1.76</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+45</w:t>
            </w:r>
          </w:p>
        </w:tc>
      </w:tr>
      <w:tr>
        <w:tc>
          <w:tcPr>
            <w:tcW w:w="1800" w:type="dxa"/>
          </w:tcPr>
          <w:p>
            <w:pPr>
              <w:jc w:val="left"/>
              <w:spacing w:before="5" w:after="5"/>
            </w:pPr>
            <w:r/>
            <w:r>
              <w:rPr>
                <w:rFonts w:ascii="Times New Roman" w:hAnsi="Times New Roman"/>
                <w:sz w:val="14"/>
              </w:rPr>
              <w:t>Malaysia</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$1.76</w:t>
            </w:r>
          </w:p>
        </w:tc>
        <w:tc>
          <w:tcPr>
            <w:tcW w:w="450" w:type="dxa"/>
          </w:tcPr>
          <w:p>
            <w:pPr>
              <w:jc w:val="center"/>
              <w:spacing w:before="5" w:after="5"/>
            </w:pPr>
            <w:r/>
            <w:r>
              <w:rPr>
                <w:rFonts w:ascii="Times New Roman" w:hAnsi="Times New Roman"/>
                <w:sz w:val="14"/>
              </w:rPr>
              <w:t>0.80</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$1.76</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+21</w:t>
            </w:r>
          </w:p>
        </w:tc>
      </w:tr>
      <w:tr>
        <w:tc>
          <w:tcPr>
            <w:tcW w:w="1800" w:type="dxa"/>
          </w:tcPr>
          <w:p>
            <w:pPr>
              <w:jc w:val="left"/>
              <w:spacing w:before="5" w:after="5"/>
            </w:pPr>
            <w:r/>
            <w:r>
              <w:rPr>
                <w:rFonts w:ascii="Times New Roman" w:hAnsi="Times New Roman"/>
                <w:sz w:val="14"/>
              </w:rPr>
              <w:t>Poland</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$1.77</w:t>
            </w:r>
          </w:p>
        </w:tc>
        <w:tc>
          <w:tcPr>
            <w:tcW w:w="450" w:type="dxa"/>
          </w:tcPr>
          <w:p>
            <w:pPr>
              <w:jc w:val="center"/>
              <w:spacing w:before="5" w:after="5"/>
            </w:pPr>
            <w:r/>
            <w:r>
              <w:rPr>
                <w:rFonts w:ascii="Times New Roman" w:hAnsi="Times New Roman"/>
                <w:sz w:val="14"/>
              </w:rPr>
              <w:t>0.77</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$1.77</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+11</w:t>
            </w:r>
          </w:p>
        </w:tc>
      </w:tr>
      <w:tr>
        <w:tc>
          <w:tcPr>
            <w:tcW w:w="1800" w:type="dxa"/>
          </w:tcPr>
          <w:p>
            <w:pPr>
              <w:jc w:val="left"/>
              <w:spacing w:before="5" w:after="5"/>
            </w:pPr>
            <w:r/>
            <w:r>
              <w:rPr>
                <w:rFonts w:ascii="Times New Roman" w:hAnsi="Times New Roman"/>
                <w:sz w:val="14"/>
              </w:rPr>
              <w:t>Czechia</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$1.73</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$1.77</w:t>
            </w:r>
          </w:p>
        </w:tc>
        <w:tc>
          <w:tcPr>
            <w:tcW w:w="450" w:type="dxa"/>
          </w:tcPr>
          <w:p>
            <w:pPr>
              <w:jc w:val="center"/>
              <w:spacing w:before="5" w:after="5"/>
            </w:pPr>
            <w:r/>
            <w:r>
              <w:rPr>
                <w:rFonts w:ascii="Times New Roman" w:hAnsi="Times New Roman"/>
                <w:sz w:val="14"/>
              </w:rPr>
              <w:t>0.90</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$1.77</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+41</w:t>
            </w:r>
          </w:p>
        </w:tc>
      </w:tr>
      <w:tr>
        <w:tc>
          <w:tcPr>
            <w:tcW w:w="1800" w:type="dxa"/>
          </w:tcPr>
          <w:p>
            <w:pPr>
              <w:jc w:val="left"/>
              <w:spacing w:before="5" w:after="5"/>
            </w:pPr>
            <w:r/>
            <w:r>
              <w:rPr>
                <w:rFonts w:ascii="Times New Roman" w:hAnsi="Times New Roman"/>
                <w:sz w:val="14"/>
              </w:rPr>
              <w:t>Ireland</w:t>
            </w:r>
          </w:p>
        </w:tc>
        <w:tc>
          <w:tcPr>
            <w:tcW w:w="900" w:type="dxa"/>
          </w:tcPr>
          <w:p>
            <w:pPr>
              <w:jc w:val="center"/>
              <w:spacing w:before="5" w:after="5"/>
            </w:pPr>
            <w:r/>
            <w:r>
              <w:rPr>
                <w:rFonts w:ascii="Times New Roman" w:hAnsi="Times New Roman"/>
                <w:sz w:val="14"/>
              </w:rPr>
              <w:t>$1.76</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$1.76</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$1.77</w:t>
            </w:r>
          </w:p>
        </w:tc>
        <w:tc>
          <w:tcPr>
            <w:tcW w:w="450" w:type="dxa"/>
          </w:tcPr>
          <w:p>
            <w:pPr>
              <w:jc w:val="center"/>
              <w:spacing w:before="5" w:after="5"/>
            </w:pPr>
            <w:r/>
            <w:r>
              <w:rPr>
                <w:rFonts w:ascii="Times New Roman" w:hAnsi="Times New Roman"/>
                <w:sz w:val="14"/>
              </w:rPr>
              <w:t>0.96</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$1.77</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+48</w:t>
            </w:r>
          </w:p>
        </w:tc>
      </w:tr>
      <w:tr>
        <w:tc>
          <w:tcPr>
            <w:tcW w:w="1800" w:type="dxa"/>
          </w:tcPr>
          <w:p>
            <w:pPr>
              <w:jc w:val="left"/>
              <w:spacing w:before="5" w:after="5"/>
            </w:pPr>
            <w:r/>
            <w:r>
              <w:rPr>
                <w:rFonts w:ascii="Times New Roman" w:hAnsi="Times New Roman"/>
                <w:sz w:val="14"/>
              </w:rPr>
              <w:t>Montenegro</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7</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$1.78</w:t>
            </w:r>
          </w:p>
        </w:tc>
        <w:tc>
          <w:tcPr>
            <w:tcW w:w="450" w:type="dxa"/>
          </w:tcPr>
          <w:p>
            <w:pPr>
              <w:jc w:val="center"/>
              <w:spacing w:before="5" w:after="5"/>
            </w:pPr>
            <w:r/>
            <w:r>
              <w:rPr>
                <w:rFonts w:ascii="Times New Roman" w:hAnsi="Times New Roman"/>
                <w:sz w:val="14"/>
              </w:rPr>
              <w:t>0.65</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$1.78</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-23</w:t>
            </w:r>
          </w:p>
        </w:tc>
      </w:tr>
      <w:tr>
        <w:tc>
          <w:tcPr>
            <w:tcW w:w="1800" w:type="dxa"/>
          </w:tcPr>
          <w:p>
            <w:pPr>
              <w:jc w:val="left"/>
              <w:spacing w:before="5" w:after="5"/>
            </w:pPr>
            <w:r/>
            <w:r>
              <w:rPr>
                <w:rFonts w:ascii="Times New Roman" w:hAnsi="Times New Roman"/>
                <w:sz w:val="14"/>
              </w:rPr>
              <w:t>Vietnam</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14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$1.79</w:t>
            </w:r>
          </w:p>
        </w:tc>
        <w:tc>
          <w:tcPr>
            <w:tcW w:w="450" w:type="dxa"/>
          </w:tcPr>
          <w:p>
            <w:pPr>
              <w:jc w:val="center"/>
              <w:spacing w:before="5" w:after="5"/>
            </w:pPr>
            <w:r/>
            <w:r>
              <w:rPr>
                <w:rFonts w:ascii="Times New Roman" w:hAnsi="Times New Roman"/>
                <w:sz w:val="14"/>
              </w:rPr>
              <w:t>0.65</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$1.79</w:t>
            </w:r>
          </w:p>
        </w:tc>
        <w:tc>
          <w:tcPr>
            <w:tcW w:w="540" w:type="dxa"/>
          </w:tcPr>
          <w:p>
            <w:pPr>
              <w:jc w:val="center"/>
              <w:spacing w:before="5" w:after="5"/>
            </w:pPr>
            <w:r/>
            <w:r>
              <w:rPr>
                <w:rFonts w:ascii="Times New Roman" w:hAnsi="Times New Roman"/>
                <w:sz w:val="14"/>
              </w:rPr>
              <w:t>38</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-16</w:t>
            </w:r>
          </w:p>
        </w:tc>
      </w:tr>
      <w:tr>
        <w:tc>
          <w:tcPr>
            <w:tcW w:w="1800" w:type="dxa"/>
          </w:tcPr>
          <w:p>
            <w:pPr>
              <w:jc w:val="left"/>
              <w:spacing w:before="5" w:after="5"/>
            </w:pPr>
            <w:r/>
            <w:r>
              <w:rPr>
                <w:rFonts w:ascii="Times New Roman" w:hAnsi="Times New Roman"/>
                <w:sz w:val="14"/>
              </w:rPr>
              <w:t>Saudi Arabia</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$1.79</w:t>
            </w:r>
          </w:p>
        </w:tc>
        <w:tc>
          <w:tcPr>
            <w:tcW w:w="450" w:type="dxa"/>
          </w:tcPr>
          <w:p>
            <w:pPr>
              <w:jc w:val="center"/>
              <w:spacing w:before="5" w:after="5"/>
            </w:pPr>
            <w:r/>
            <w:r>
              <w:rPr>
                <w:rFonts w:ascii="Times New Roman" w:hAnsi="Times New Roman"/>
                <w:sz w:val="14"/>
              </w:rPr>
              <w:t>0.77</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$1.79</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-11</w:t>
            </w:r>
          </w:p>
        </w:tc>
      </w:tr>
      <w:tr>
        <w:tc>
          <w:tcPr>
            <w:tcW w:w="1800" w:type="dxa"/>
          </w:tcPr>
          <w:p>
            <w:pPr>
              <w:jc w:val="left"/>
              <w:spacing w:before="5" w:after="5"/>
            </w:pPr>
            <w:r/>
            <w:r>
              <w:rPr>
                <w:rFonts w:ascii="Times New Roman" w:hAnsi="Times New Roman"/>
                <w:sz w:val="14"/>
              </w:rPr>
              <w:t>Kosovo</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$1.79</w:t>
            </w:r>
          </w:p>
        </w:tc>
        <w:tc>
          <w:tcPr>
            <w:tcW w:w="450" w:type="dxa"/>
          </w:tcPr>
          <w:p>
            <w:pPr>
              <w:jc w:val="center"/>
              <w:spacing w:before="5" w:after="5"/>
            </w:pPr>
            <w:r/>
            <w:r>
              <w:rPr>
                <w:rFonts w:ascii="Times New Roman" w:hAnsi="Times New Roman"/>
                <w:sz w:val="14"/>
              </w:rPr>
              <w:t>0.60</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$1.79</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-31</w:t>
            </w:r>
          </w:p>
        </w:tc>
      </w:tr>
      <w:tr>
        <w:tc>
          <w:tcPr>
            <w:tcW w:w="1800" w:type="dxa"/>
          </w:tcPr>
          <w:p>
            <w:pPr>
              <w:jc w:val="left"/>
              <w:spacing w:before="5" w:after="5"/>
            </w:pPr>
            <w:r/>
            <w:r>
              <w:rPr>
                <w:rFonts w:ascii="Times New Roman" w:hAnsi="Times New Roman"/>
                <w:sz w:val="14"/>
              </w:rPr>
              <w:t>Georgia</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$1.80</w:t>
            </w:r>
          </w:p>
        </w:tc>
        <w:tc>
          <w:tcPr>
            <w:tcW w:w="450" w:type="dxa"/>
          </w:tcPr>
          <w:p>
            <w:pPr>
              <w:jc w:val="center"/>
              <w:spacing w:before="5" w:after="5"/>
            </w:pPr>
            <w:r/>
            <w:r>
              <w:rPr>
                <w:rFonts w:ascii="Times New Roman" w:hAnsi="Times New Roman"/>
                <w:sz w:val="14"/>
              </w:rPr>
              <w:t>0.66</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$1.80</w:t>
            </w:r>
          </w:p>
        </w:tc>
        <w:tc>
          <w:tcPr>
            <w:tcW w:w="540" w:type="dxa"/>
          </w:tcPr>
          <w:p>
            <w:pPr>
              <w:jc w:val="center"/>
              <w:spacing w:before="5" w:after="5"/>
            </w:pPr>
            <w:r/>
            <w:r>
              <w:rPr>
                <w:rFonts w:ascii="Times New Roman" w:hAnsi="Times New Roman"/>
                <w:sz w:val="14"/>
              </w:rPr>
              <w:t>41</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-10</w:t>
            </w:r>
          </w:p>
        </w:tc>
      </w:tr>
      <w:tr>
        <w:tc>
          <w:tcPr>
            <w:tcW w:w="1800" w:type="dxa"/>
          </w:tcPr>
          <w:p>
            <w:pPr>
              <w:jc w:val="left"/>
              <w:spacing w:before="5" w:after="5"/>
            </w:pPr>
            <w:r/>
            <w:r>
              <w:rPr>
                <w:rFonts w:ascii="Times New Roman" w:hAnsi="Times New Roman"/>
                <w:sz w:val="14"/>
              </w:rPr>
              <w:t>India</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23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$1.81</w:t>
            </w:r>
          </w:p>
        </w:tc>
        <w:tc>
          <w:tcPr>
            <w:tcW w:w="450" w:type="dxa"/>
          </w:tcPr>
          <w:p>
            <w:pPr>
              <w:jc w:val="center"/>
              <w:spacing w:before="5" w:after="5"/>
            </w:pPr>
            <w:r/>
            <w:r>
              <w:rPr>
                <w:rFonts w:ascii="Times New Roman" w:hAnsi="Times New Roman"/>
                <w:sz w:val="14"/>
              </w:rPr>
              <w:t>0.63</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$1.81</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-19</w:t>
            </w:r>
          </w:p>
        </w:tc>
      </w:tr>
      <w:tr>
        <w:tc>
          <w:tcPr>
            <w:tcW w:w="1800" w:type="dxa"/>
          </w:tcPr>
          <w:p>
            <w:pPr>
              <w:jc w:val="left"/>
              <w:spacing w:before="5" w:after="5"/>
            </w:pPr>
            <w:r/>
            <w:r>
              <w:rPr>
                <w:rFonts w:ascii="Times New Roman" w:hAnsi="Times New Roman"/>
                <w:sz w:val="14"/>
              </w:rPr>
              <w:t>Slovakia</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$1.81</w:t>
            </w:r>
          </w:p>
        </w:tc>
        <w:tc>
          <w:tcPr>
            <w:tcW w:w="450" w:type="dxa"/>
          </w:tcPr>
          <w:p>
            <w:pPr>
              <w:jc w:val="center"/>
              <w:spacing w:before="5" w:after="5"/>
            </w:pPr>
            <w:r/>
            <w:r>
              <w:rPr>
                <w:rFonts w:ascii="Times New Roman" w:hAnsi="Times New Roman"/>
                <w:sz w:val="14"/>
              </w:rPr>
              <w:t>0.80</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$1.81</w:t>
            </w:r>
          </w:p>
        </w:tc>
        <w:tc>
          <w:tcPr>
            <w:tcW w:w="540" w:type="dxa"/>
          </w:tcPr>
          <w:p>
            <w:pPr>
              <w:jc w:val="center"/>
              <w:spacing w:before="5" w:after="5"/>
            </w:pPr>
            <w:r/>
            <w:r>
              <w:rPr>
                <w:rFonts w:ascii="Times New Roman" w:hAnsi="Times New Roman"/>
                <w:sz w:val="14"/>
              </w:rPr>
              <w:t>43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+29</w:t>
            </w:r>
          </w:p>
        </w:tc>
      </w:tr>
      <w:tr>
        <w:tc>
          <w:tcPr>
            <w:tcW w:w="1800" w:type="dxa"/>
          </w:tcPr>
          <w:p>
            <w:pPr>
              <w:jc w:val="left"/>
              <w:spacing w:before="5" w:after="5"/>
            </w:pPr>
            <w:r/>
            <w:r>
              <w:rPr>
                <w:rFonts w:ascii="Times New Roman" w:hAnsi="Times New Roman"/>
                <w:sz w:val="14"/>
              </w:rPr>
              <w:t>Thailand</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$1.82</w:t>
            </w:r>
          </w:p>
        </w:tc>
        <w:tc>
          <w:tcPr>
            <w:tcW w:w="450" w:type="dxa"/>
          </w:tcPr>
          <w:p>
            <w:pPr>
              <w:jc w:val="center"/>
              <w:spacing w:before="5" w:after="5"/>
            </w:pPr>
            <w:r/>
            <w:r>
              <w:rPr>
                <w:rFonts w:ascii="Times New Roman" w:hAnsi="Times New Roman"/>
                <w:sz w:val="14"/>
              </w:rPr>
              <w:t>0.70</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$1.82</w:t>
            </w:r>
          </w:p>
        </w:tc>
        <w:tc>
          <w:tcPr>
            <w:tcW w:w="540" w:type="dxa"/>
          </w:tcPr>
          <w:p>
            <w:pPr>
              <w:jc w:val="center"/>
              <w:spacing w:before="5" w:after="5"/>
            </w:pPr>
            <w:r/>
            <w:r>
              <w:rPr>
                <w:rFonts w:ascii="Times New Roman" w:hAnsi="Times New Roman"/>
                <w:sz w:val="14"/>
              </w:rPr>
              <w:t>44</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+11</w:t>
            </w:r>
          </w:p>
        </w:tc>
      </w:tr>
      <w:tr>
        <w:tc>
          <w:tcPr>
            <w:tcW w:w="1800" w:type="dxa"/>
          </w:tcPr>
          <w:p>
            <w:pPr>
              <w:jc w:val="left"/>
              <w:spacing w:before="5" w:after="5"/>
            </w:pPr>
            <w:r/>
            <w:r>
              <w:rPr>
                <w:rFonts w:ascii="Times New Roman" w:hAnsi="Times New Roman"/>
                <w:sz w:val="14"/>
              </w:rPr>
              <w:t>Greenland</w:t>
            </w:r>
          </w:p>
        </w:tc>
        <w:tc>
          <w:tcPr>
            <w:tcW w:w="900" w:type="dxa"/>
          </w:tcPr>
          <w:p>
            <w:pPr>
              <w:jc w:val="center"/>
              <w:spacing w:before="5" w:after="5"/>
            </w:pPr>
            <w:r/>
            <w:r>
              <w:rPr>
                <w:rFonts w:ascii="Times New Roman" w:hAnsi="Times New Roman"/>
                <w:sz w:val="14"/>
              </w:rPr>
              <w:t>$1.79</w:t>
            </w:r>
          </w:p>
        </w:tc>
        <w:tc>
          <w:tcPr>
            <w:tcW w:w="540" w:type="dxa"/>
          </w:tcPr>
          <w:p>
            <w:pPr>
              <w:jc w:val="center"/>
              <w:spacing w:before="5" w:after="5"/>
            </w:pPr>
            <w:r/>
            <w:r>
              <w:rPr>
                <w:rFonts w:ascii="Times New Roman" w:hAnsi="Times New Roman"/>
                <w:sz w:val="14"/>
              </w:rPr>
              <w:t>85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$1.79</w:t>
            </w:r>
          </w:p>
        </w:tc>
        <w:tc>
          <w:tcPr>
            <w:tcW w:w="540" w:type="dxa"/>
          </w:tcPr>
          <w:p>
            <w:pPr>
              <w:jc w:val="center"/>
              <w:spacing w:before="5" w:after="5"/>
            </w:pPr>
            <w:r/>
            <w:r>
              <w:rPr>
                <w:rFonts w:ascii="Times New Roman" w:hAnsi="Times New Roman"/>
                <w:sz w:val="14"/>
              </w:rPr>
              <w:t>85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$1.83</w:t>
            </w:r>
          </w:p>
        </w:tc>
        <w:tc>
          <w:tcPr>
            <w:tcW w:w="450" w:type="dxa"/>
          </w:tcPr>
          <w:p>
            <w:pPr>
              <w:jc w:val="center"/>
              <w:spacing w:before="5" w:after="5"/>
            </w:pPr>
            <w:r/>
            <w:r>
              <w:rPr>
                <w:rFonts w:ascii="Times New Roman" w:hAnsi="Times New Roman"/>
                <w:sz w:val="14"/>
              </w:rPr>
              <w:t>0.92</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$1.83</w:t>
            </w:r>
          </w:p>
        </w:tc>
        <w:tc>
          <w:tcPr>
            <w:tcW w:w="540" w:type="dxa"/>
          </w:tcPr>
          <w:p>
            <w:pPr>
              <w:jc w:val="center"/>
              <w:spacing w:before="5" w:after="5"/>
            </w:pPr>
            <w:r/>
            <w:r>
              <w:rPr>
                <w:rFonts w:ascii="Times New Roman" w:hAnsi="Times New Roman"/>
                <w:sz w:val="14"/>
              </w:rPr>
              <w:t>45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+40</w:t>
            </w:r>
          </w:p>
        </w:tc>
      </w:tr>
      <w:tr>
        <w:tc>
          <w:tcPr>
            <w:tcW w:w="1800" w:type="dxa"/>
          </w:tcPr>
          <w:p>
            <w:pPr>
              <w:jc w:val="left"/>
              <w:spacing w:before="5" w:after="5"/>
            </w:pPr>
            <w:r/>
            <w:r>
              <w:rPr>
                <w:rFonts w:ascii="Times New Roman" w:hAnsi="Times New Roman"/>
                <w:sz w:val="14"/>
              </w:rPr>
              <w:t>Romania</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$1.83</w:t>
            </w:r>
          </w:p>
        </w:tc>
        <w:tc>
          <w:tcPr>
            <w:tcW w:w="450" w:type="dxa"/>
          </w:tcPr>
          <w:p>
            <w:pPr>
              <w:jc w:val="center"/>
              <w:spacing w:before="5" w:after="5"/>
            </w:pPr>
            <w:r/>
            <w:r>
              <w:rPr>
                <w:rFonts w:ascii="Times New Roman" w:hAnsi="Times New Roman"/>
                <w:sz w:val="14"/>
              </w:rPr>
              <w:t>0.74</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$1.83</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+23</w:t>
            </w:r>
          </w:p>
        </w:tc>
      </w:tr>
      <w:tr>
        <w:tc>
          <w:tcPr>
            <w:tcW w:w="1800" w:type="dxa"/>
          </w:tcPr>
          <w:p>
            <w:pPr>
              <w:jc w:val="left"/>
              <w:spacing w:before="5" w:after="5"/>
            </w:pPr>
            <w:r/>
            <w:r>
              <w:rPr>
                <w:rFonts w:ascii="Times New Roman" w:hAnsi="Times New Roman"/>
                <w:sz w:val="14"/>
              </w:rPr>
              <w:t>Italy</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$1.83</w:t>
            </w:r>
          </w:p>
        </w:tc>
        <w:tc>
          <w:tcPr>
            <w:tcW w:w="450" w:type="dxa"/>
          </w:tcPr>
          <w:p>
            <w:pPr>
              <w:jc w:val="center"/>
              <w:spacing w:before="5" w:after="5"/>
            </w:pPr>
            <w:r/>
            <w:r>
              <w:rPr>
                <w:rFonts w:ascii="Times New Roman" w:hAnsi="Times New Roman"/>
                <w:sz w:val="14"/>
              </w:rPr>
              <w:t>0.76</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$1.83</w:t>
            </w:r>
          </w:p>
        </w:tc>
        <w:tc>
          <w:tcPr>
            <w:tcW w:w="540" w:type="dxa"/>
          </w:tcPr>
          <w:p>
            <w:pPr>
              <w:jc w:val="center"/>
              <w:spacing w:before="5" w:after="5"/>
            </w:pPr>
            <w:r/>
            <w:r>
              <w:rPr>
                <w:rFonts w:ascii="Times New Roman" w:hAnsi="Times New Roman"/>
                <w:sz w:val="14"/>
              </w:rPr>
              <w:t>47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+27</w:t>
            </w:r>
          </w:p>
        </w:tc>
      </w:tr>
      <w:tr>
        <w:tc>
          <w:tcPr>
            <w:tcW w:w="1800" w:type="dxa"/>
          </w:tcPr>
          <w:p>
            <w:pPr>
              <w:jc w:val="left"/>
              <w:spacing w:before="5" w:after="5"/>
            </w:pPr>
            <w:r/>
            <w:r>
              <w:rPr>
                <w:rFonts w:ascii="Times New Roman" w:hAnsi="Times New Roman"/>
                <w:sz w:val="14"/>
              </w:rPr>
              <w:t>Cyprus</w:t>
            </w:r>
          </w:p>
        </w:tc>
        <w:tc>
          <w:tcPr>
            <w:tcW w:w="900" w:type="dxa"/>
          </w:tcPr>
          <w:p>
            <w:pPr>
              <w:jc w:val="center"/>
              <w:spacing w:before="5" w:after="5"/>
            </w:pPr>
            <w:r/>
            <w:r>
              <w:rPr>
                <w:rFonts w:ascii="Times New Roman" w:hAnsi="Times New Roman"/>
                <w:sz w:val="14"/>
              </w:rPr>
              <w:t>$1.75</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$1.75</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$1.83</w:t>
            </w:r>
          </w:p>
        </w:tc>
        <w:tc>
          <w:tcPr>
            <w:tcW w:w="450" w:type="dxa"/>
          </w:tcPr>
          <w:p>
            <w:pPr>
              <w:jc w:val="center"/>
              <w:spacing w:before="5" w:after="5"/>
            </w:pPr>
            <w:r/>
            <w:r>
              <w:rPr>
                <w:rFonts w:ascii="Times New Roman" w:hAnsi="Times New Roman"/>
                <w:sz w:val="14"/>
              </w:rPr>
              <w:t>0.83</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$1.83</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+33</w:t>
            </w:r>
          </w:p>
        </w:tc>
      </w:tr>
      <w:tr>
        <w:tc>
          <w:tcPr>
            <w:tcW w:w="1800" w:type="dxa"/>
          </w:tcPr>
          <w:p>
            <w:pPr>
              <w:jc w:val="left"/>
              <w:spacing w:before="5" w:after="5"/>
            </w:pPr>
            <w:r/>
            <w:r>
              <w:rPr>
                <w:rFonts w:ascii="Times New Roman" w:hAnsi="Times New Roman"/>
                <w:sz w:val="14"/>
              </w:rPr>
              <w:t>Greece</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$1.85</w:t>
            </w:r>
          </w:p>
        </w:tc>
        <w:tc>
          <w:tcPr>
            <w:tcW w:w="450" w:type="dxa"/>
          </w:tcPr>
          <w:p>
            <w:pPr>
              <w:jc w:val="center"/>
              <w:spacing w:before="5" w:after="5"/>
            </w:pPr>
            <w:r/>
            <w:r>
              <w:rPr>
                <w:rFonts w:ascii="Times New Roman" w:hAnsi="Times New Roman"/>
                <w:sz w:val="14"/>
              </w:rPr>
              <w:t>0.72</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$1.85</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+21</w:t>
            </w:r>
          </w:p>
        </w:tc>
      </w:tr>
      <w:tr>
        <w:tc>
          <w:tcPr>
            <w:tcW w:w="1800" w:type="dxa"/>
          </w:tcPr>
          <w:p>
            <w:pPr>
              <w:jc w:val="left"/>
              <w:spacing w:before="5" w:after="5"/>
            </w:pPr>
            <w:r/>
            <w:r>
              <w:rPr>
                <w:rFonts w:ascii="Times New Roman" w:hAnsi="Times New Roman"/>
                <w:sz w:val="14"/>
              </w:rPr>
              <w:t>Hungary</w:t>
            </w:r>
          </w:p>
        </w:tc>
        <w:tc>
          <w:tcPr>
            <w:tcW w:w="900" w:type="dxa"/>
          </w:tcPr>
          <w:p>
            <w:pPr>
              <w:jc w:val="center"/>
              <w:spacing w:before="5" w:after="5"/>
            </w:pPr>
            <w:r/>
            <w:r>
              <w:rPr>
                <w:rFonts w:ascii="Times New Roman" w:hAnsi="Times New Roman"/>
                <w:sz w:val="14"/>
              </w:rPr>
              <w:t>$1.74</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$1.74</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$1.86</w:t>
            </w:r>
          </w:p>
        </w:tc>
        <w:tc>
          <w:tcPr>
            <w:tcW w:w="450" w:type="dxa"/>
          </w:tcPr>
          <w:p>
            <w:pPr>
              <w:jc w:val="center"/>
              <w:spacing w:before="5" w:after="5"/>
            </w:pPr>
            <w:r/>
            <w:r>
              <w:rPr>
                <w:rFonts w:ascii="Times New Roman" w:hAnsi="Times New Roman"/>
                <w:sz w:val="14"/>
              </w:rPr>
              <w:t>0.76</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$1.86</w:t>
            </w:r>
          </w:p>
        </w:tc>
        <w:tc>
          <w:tcPr>
            <w:tcW w:w="540" w:type="dxa"/>
          </w:tcPr>
          <w:p>
            <w:pPr>
              <w:jc w:val="center"/>
              <w:spacing w:before="5" w:after="5"/>
            </w:pPr>
            <w:r/>
            <w:r>
              <w:rPr>
                <w:rFonts w:ascii="Times New Roman" w:hAnsi="Times New Roman"/>
                <w:sz w:val="14"/>
              </w:rPr>
              <w:t>50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+28</w:t>
            </w:r>
          </w:p>
        </w:tc>
      </w:tr>
      <w:tr>
        <w:tc>
          <w:tcPr>
            <w:tcW w:w="1800" w:type="dxa"/>
          </w:tcPr>
          <w:p>
            <w:pPr>
              <w:jc w:val="left"/>
              <w:spacing w:before="5" w:after="5"/>
            </w:pPr>
            <w:r/>
            <w:r>
              <w:rPr>
                <w:rFonts w:ascii="Times New Roman" w:hAnsi="Times New Roman"/>
                <w:sz w:val="14"/>
              </w:rPr>
              <w:t>Armenia</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$1.86</w:t>
            </w:r>
          </w:p>
        </w:tc>
        <w:tc>
          <w:tcPr>
            <w:tcW w:w="450" w:type="dxa"/>
          </w:tcPr>
          <w:p>
            <w:pPr>
              <w:jc w:val="center"/>
              <w:spacing w:before="5" w:after="5"/>
            </w:pPr>
            <w:r/>
            <w:r>
              <w:rPr>
                <w:rFonts w:ascii="Times New Roman" w:hAnsi="Times New Roman"/>
                <w:sz w:val="14"/>
              </w:rPr>
              <w:t>0.63</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$1.86</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-9</w:t>
            </w:r>
          </w:p>
        </w:tc>
      </w:tr>
      <w:tr>
        <w:tc>
          <w:tcPr>
            <w:tcW w:w="1800" w:type="dxa"/>
          </w:tcPr>
          <w:p>
            <w:pPr>
              <w:jc w:val="left"/>
              <w:spacing w:before="5" w:after="5"/>
            </w:pPr>
            <w:r/>
            <w:r>
              <w:rPr>
                <w:rFonts w:ascii="Times New Roman" w:hAnsi="Times New Roman"/>
                <w:sz w:val="14"/>
              </w:rPr>
              <w:t>Egypt</w:t>
            </w:r>
          </w:p>
        </w:tc>
        <w:tc>
          <w:tcPr>
            <w:tcW w:w="900" w:type="dxa"/>
          </w:tcPr>
          <w:p>
            <w:pPr>
              <w:jc w:val="center"/>
              <w:spacing w:before="5" w:after="5"/>
            </w:pPr>
            <w:r/>
            <w:r>
              <w:rPr>
                <w:rFonts w:ascii="Times New Roman" w:hAnsi="Times New Roman"/>
                <w:sz w:val="14"/>
              </w:rPr>
              <w:t>$1.60</w:t>
            </w:r>
          </w:p>
        </w:tc>
        <w:tc>
          <w:tcPr>
            <w:tcW w:w="540" w:type="dxa"/>
          </w:tcPr>
          <w:p>
            <w:pPr>
              <w:jc w:val="center"/>
              <w:spacing w:before="5" w:after="5"/>
            </w:pPr>
            <w:r/>
            <w:r>
              <w:rPr>
                <w:rFonts w:ascii="Times New Roman" w:hAnsi="Times New Roman"/>
                <w:sz w:val="14"/>
              </w:rPr>
              <w:t>5</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$1.87</w:t>
            </w:r>
          </w:p>
        </w:tc>
        <w:tc>
          <w:tcPr>
            <w:tcW w:w="450" w:type="dxa"/>
          </w:tcPr>
          <w:p>
            <w:pPr>
              <w:jc w:val="center"/>
              <w:spacing w:before="5" w:after="5"/>
            </w:pPr>
            <w:r/>
            <w:r>
              <w:rPr>
                <w:rFonts w:ascii="Times New Roman" w:hAnsi="Times New Roman"/>
                <w:sz w:val="14"/>
              </w:rPr>
              <w:t>0.56</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$1.87</w:t>
            </w:r>
          </w:p>
        </w:tc>
        <w:tc>
          <w:tcPr>
            <w:tcW w:w="540" w:type="dxa"/>
          </w:tcPr>
          <w:p>
            <w:pPr>
              <w:jc w:val="center"/>
              <w:spacing w:before="5" w:after="5"/>
            </w:pPr>
            <w:r/>
            <w:r>
              <w:rPr>
                <w:rFonts w:ascii="Times New Roman" w:hAnsi="Times New Roman"/>
                <w:sz w:val="14"/>
              </w:rPr>
              <w:t>52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-47</w:t>
            </w:r>
          </w:p>
        </w:tc>
      </w:tr>
      <w:tr>
        <w:tc>
          <w:tcPr>
            <w:tcW w:w="1800" w:type="dxa"/>
          </w:tcPr>
          <w:p>
            <w:pPr>
              <w:jc w:val="left"/>
              <w:spacing w:before="5" w:after="5"/>
            </w:pPr>
            <w:r/>
            <w:r>
              <w:rPr>
                <w:rFonts w:ascii="Times New Roman" w:hAnsi="Times New Roman"/>
                <w:sz w:val="14"/>
              </w:rPr>
              <w:t>Morocco</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32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$1.87</w:t>
            </w:r>
          </w:p>
        </w:tc>
        <w:tc>
          <w:tcPr>
            <w:tcW w:w="450" w:type="dxa"/>
          </w:tcPr>
          <w:p>
            <w:pPr>
              <w:jc w:val="center"/>
              <w:spacing w:before="5" w:after="5"/>
            </w:pPr>
            <w:r/>
            <w:r>
              <w:rPr>
                <w:rFonts w:ascii="Times New Roman" w:hAnsi="Times New Roman"/>
                <w:sz w:val="14"/>
              </w:rPr>
              <w:t>0.60</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$1.87</w:t>
            </w:r>
          </w:p>
        </w:tc>
        <w:tc>
          <w:tcPr>
            <w:tcW w:w="540" w:type="dxa"/>
          </w:tcPr>
          <w:p>
            <w:pPr>
              <w:jc w:val="center"/>
              <w:spacing w:before="5" w:after="5"/>
            </w:pPr>
            <w:r/>
            <w:r>
              <w:rPr>
                <w:rFonts w:ascii="Times New Roman" w:hAnsi="Times New Roman"/>
                <w:sz w:val="14"/>
              </w:rPr>
              <w:t>53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-17</w:t>
            </w:r>
          </w:p>
        </w:tc>
      </w:tr>
      <w:tr>
        <w:tc>
          <w:tcPr>
            <w:tcW w:w="1800" w:type="dxa"/>
          </w:tcPr>
          <w:p>
            <w:pPr>
              <w:jc w:val="left"/>
              <w:spacing w:before="5" w:after="5"/>
            </w:pPr>
            <w:r/>
            <w:r>
              <w:rPr>
                <w:rFonts w:ascii="Times New Roman" w:hAnsi="Times New Roman"/>
                <w:sz w:val="14"/>
              </w:rPr>
              <w:t>Serbia</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$1.87</w:t>
            </w:r>
          </w:p>
        </w:tc>
        <w:tc>
          <w:tcPr>
            <w:tcW w:w="450" w:type="dxa"/>
          </w:tcPr>
          <w:p>
            <w:pPr>
              <w:jc w:val="center"/>
              <w:spacing w:before="5" w:after="5"/>
            </w:pPr>
            <w:r/>
            <w:r>
              <w:rPr>
                <w:rFonts w:ascii="Times New Roman" w:hAnsi="Times New Roman"/>
                <w:sz w:val="14"/>
              </w:rPr>
              <w:t>0.64</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$1.87</w:t>
            </w:r>
          </w:p>
        </w:tc>
        <w:tc>
          <w:tcPr>
            <w:tcW w:w="540" w:type="dxa"/>
          </w:tcPr>
          <w:p>
            <w:pPr>
              <w:jc w:val="center"/>
              <w:spacing w:before="5" w:after="5"/>
            </w:pPr>
            <w:r/>
            <w:r>
              <w:rPr>
                <w:rFonts w:ascii="Times New Roman" w:hAnsi="Times New Roman"/>
                <w:sz w:val="14"/>
              </w:rPr>
              <w:t>54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w:t>
            </w:r>
          </w:p>
        </w:tc>
      </w:tr>
      <w:tr>
        <w:tc>
          <w:tcPr>
            <w:tcW w:w="1800" w:type="dxa"/>
          </w:tcPr>
          <w:p>
            <w:pPr>
              <w:jc w:val="left"/>
              <w:spacing w:before="5" w:after="5"/>
            </w:pPr>
            <w:r/>
            <w:r>
              <w:rPr>
                <w:rFonts w:ascii="Times New Roman" w:hAnsi="Times New Roman"/>
                <w:sz w:val="14"/>
              </w:rPr>
              <w:t>Indonesia</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22</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$1.87</w:t>
            </w:r>
          </w:p>
        </w:tc>
        <w:tc>
          <w:tcPr>
            <w:tcW w:w="450" w:type="dxa"/>
          </w:tcPr>
          <w:p>
            <w:pPr>
              <w:jc w:val="center"/>
              <w:spacing w:before="5" w:after="5"/>
            </w:pPr>
            <w:r/>
            <w:r>
              <w:rPr>
                <w:rFonts w:ascii="Times New Roman" w:hAnsi="Times New Roman"/>
                <w:sz w:val="14"/>
              </w:rPr>
              <w:t>0.57</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$1.87</w:t>
            </w:r>
          </w:p>
        </w:tc>
        <w:tc>
          <w:tcPr>
            <w:tcW w:w="540" w:type="dxa"/>
          </w:tcPr>
          <w:p>
            <w:pPr>
              <w:jc w:val="center"/>
              <w:spacing w:before="5" w:after="5"/>
            </w:pPr>
            <w:r/>
            <w:r>
              <w:rPr>
                <w:rFonts w:ascii="Times New Roman" w:hAnsi="Times New Roman"/>
                <w:sz w:val="14"/>
              </w:rPr>
              <w:t>55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-26</w:t>
            </w:r>
          </w:p>
        </w:tc>
      </w:tr>
      <w:tr>
        <w:tc>
          <w:tcPr>
            <w:tcW w:w="1800" w:type="dxa"/>
          </w:tcPr>
          <w:p>
            <w:pPr>
              <w:jc w:val="left"/>
              <w:spacing w:before="5" w:after="5"/>
            </w:pPr>
            <w:r/>
            <w:r>
              <w:rPr>
                <w:rFonts w:ascii="Times New Roman" w:hAnsi="Times New Roman"/>
                <w:sz w:val="14"/>
              </w:rPr>
              <w:t>South Africa</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$1.88</w:t>
            </w:r>
          </w:p>
        </w:tc>
        <w:tc>
          <w:tcPr>
            <w:tcW w:w="450" w:type="dxa"/>
          </w:tcPr>
          <w:p>
            <w:pPr>
              <w:jc w:val="center"/>
              <w:spacing w:before="5" w:after="5"/>
            </w:pPr>
            <w:r/>
            <w:r>
              <w:rPr>
                <w:rFonts w:ascii="Times New Roman" w:hAnsi="Times New Roman"/>
                <w:sz w:val="14"/>
              </w:rPr>
              <w:t>0.59</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$1.88</w:t>
            </w:r>
          </w:p>
        </w:tc>
        <w:tc>
          <w:tcPr>
            <w:tcW w:w="540" w:type="dxa"/>
          </w:tcPr>
          <w:p>
            <w:pPr>
              <w:jc w:val="center"/>
              <w:spacing w:before="5" w:after="5"/>
            </w:pPr>
            <w:r/>
            <w:r>
              <w:rPr>
                <w:rFonts w:ascii="Times New Roman" w:hAnsi="Times New Roman"/>
                <w:sz w:val="14"/>
              </w:rPr>
              <w:t>56</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-45</w:t>
            </w:r>
          </w:p>
        </w:tc>
      </w:tr>
      <w:tr>
        <w:tc>
          <w:tcPr>
            <w:tcW w:w="1800" w:type="dxa"/>
          </w:tcPr>
          <w:p>
            <w:pPr>
              <w:jc w:val="left"/>
              <w:spacing w:before="5" w:after="5"/>
            </w:pPr>
            <w:r/>
            <w:r>
              <w:rPr>
                <w:rFonts w:ascii="Times New Roman" w:hAnsi="Times New Roman"/>
                <w:sz w:val="14"/>
              </w:rPr>
              <w:t>Argentina</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18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10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$1.88</w:t>
            </w:r>
          </w:p>
        </w:tc>
        <w:tc>
          <w:tcPr>
            <w:tcW w:w="450" w:type="dxa"/>
          </w:tcPr>
          <w:p>
            <w:pPr>
              <w:jc w:val="center"/>
              <w:spacing w:before="5" w:after="5"/>
            </w:pPr>
            <w:r/>
            <w:r>
              <w:rPr>
                <w:rFonts w:ascii="Times New Roman" w:hAnsi="Times New Roman"/>
                <w:sz w:val="14"/>
              </w:rPr>
              <w:t>0.53</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$1.88</w:t>
            </w:r>
          </w:p>
        </w:tc>
        <w:tc>
          <w:tcPr>
            <w:tcW w:w="540" w:type="dxa"/>
          </w:tcPr>
          <w:p>
            <w:pPr>
              <w:jc w:val="center"/>
              <w:spacing w:before="5" w:after="5"/>
            </w:pPr>
            <w:r/>
            <w:r>
              <w:rPr>
                <w:rFonts w:ascii="Times New Roman" w:hAnsi="Times New Roman"/>
                <w:sz w:val="14"/>
              </w:rPr>
              <w:t>57</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-39</w:t>
            </w:r>
          </w:p>
        </w:tc>
      </w:tr>
      <w:tr>
        <w:tc>
          <w:tcPr>
            <w:tcW w:w="1800" w:type="dxa"/>
          </w:tcPr>
          <w:p>
            <w:pPr>
              <w:jc w:val="left"/>
              <w:spacing w:before="5" w:after="5"/>
            </w:pPr>
            <w:r/>
            <w:r>
              <w:rPr>
                <w:rFonts w:ascii="Times New Roman" w:hAnsi="Times New Roman"/>
                <w:sz w:val="14"/>
              </w:rPr>
              <w:t>Colombia</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15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$1.88</w:t>
            </w:r>
          </w:p>
        </w:tc>
        <w:tc>
          <w:tcPr>
            <w:tcW w:w="450" w:type="dxa"/>
          </w:tcPr>
          <w:p>
            <w:pPr>
              <w:jc w:val="center"/>
              <w:spacing w:before="5" w:after="5"/>
            </w:pPr>
            <w:r/>
            <w:r>
              <w:rPr>
                <w:rFonts w:ascii="Times New Roman" w:hAnsi="Times New Roman"/>
                <w:sz w:val="14"/>
              </w:rPr>
              <w:t>0.52</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$1.88</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-43</w:t>
            </w:r>
          </w:p>
        </w:tc>
      </w:tr>
      <w:tr>
        <w:tc>
          <w:tcPr>
            <w:tcW w:w="1800" w:type="dxa"/>
          </w:tcPr>
          <w:p>
            <w:pPr>
              <w:jc w:val="left"/>
              <w:spacing w:before="5" w:after="5"/>
            </w:pPr>
            <w:r/>
            <w:r>
              <w:rPr>
                <w:rFonts w:ascii="Times New Roman" w:hAnsi="Times New Roman"/>
                <w:sz w:val="14"/>
              </w:rPr>
              <w:t>Brazil</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$1.89</w:t>
            </w:r>
          </w:p>
        </w:tc>
        <w:tc>
          <w:tcPr>
            <w:tcW w:w="450" w:type="dxa"/>
          </w:tcPr>
          <w:p>
            <w:pPr>
              <w:jc w:val="center"/>
              <w:spacing w:before="5" w:after="5"/>
            </w:pPr>
            <w:r/>
            <w:r>
              <w:rPr>
                <w:rFonts w:ascii="Times New Roman" w:hAnsi="Times New Roman"/>
                <w:sz w:val="14"/>
              </w:rPr>
              <w:t>0.54</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$1.89</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-32</w:t>
            </w:r>
          </w:p>
        </w:tc>
      </w:tr>
      <w:tr>
        <w:tc>
          <w:tcPr>
            <w:tcW w:w="1800" w:type="dxa"/>
          </w:tcPr>
          <w:p>
            <w:pPr>
              <w:jc w:val="left"/>
              <w:spacing w:before="5" w:after="5"/>
            </w:pPr>
            <w:r/>
            <w:r>
              <w:rPr>
                <w:rFonts w:ascii="Times New Roman" w:hAnsi="Times New Roman"/>
                <w:sz w:val="14"/>
              </w:rPr>
              <w:t>Bulgaria</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$1.72</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$1.89</w:t>
            </w:r>
          </w:p>
        </w:tc>
        <w:tc>
          <w:tcPr>
            <w:tcW w:w="450" w:type="dxa"/>
          </w:tcPr>
          <w:p>
            <w:pPr>
              <w:jc w:val="center"/>
              <w:spacing w:before="5" w:after="5"/>
            </w:pPr>
            <w:r/>
            <w:r>
              <w:rPr>
                <w:rFonts w:ascii="Times New Roman" w:hAnsi="Times New Roman"/>
                <w:sz w:val="14"/>
              </w:rPr>
              <w:t>0.68</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$1.89</w:t>
            </w:r>
          </w:p>
        </w:tc>
        <w:tc>
          <w:tcPr>
            <w:tcW w:w="540" w:type="dxa"/>
          </w:tcPr>
          <w:p>
            <w:pPr>
              <w:jc w:val="center"/>
              <w:spacing w:before="5" w:after="5"/>
            </w:pPr>
            <w:r/>
            <w:r>
              <w:rPr>
                <w:rFonts w:ascii="Times New Roman" w:hAnsi="Times New Roman"/>
                <w:sz w:val="14"/>
              </w:rPr>
              <w:t>60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+11</w:t>
            </w:r>
          </w:p>
        </w:tc>
      </w:tr>
      <w:tr>
        <w:tc>
          <w:tcPr>
            <w:tcW w:w="1800" w:type="dxa"/>
          </w:tcPr>
          <w:p>
            <w:pPr>
              <w:jc w:val="left"/>
              <w:spacing w:before="5" w:after="5"/>
            </w:pPr>
            <w:r/>
            <w:r>
              <w:rPr>
                <w:rFonts w:ascii="Times New Roman" w:hAnsi="Times New Roman"/>
                <w:sz w:val="14"/>
              </w:rPr>
              <w:t>Kazakhstan</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$1.90</w:t>
            </w:r>
          </w:p>
        </w:tc>
        <w:tc>
          <w:tcPr>
            <w:tcW w:w="450" w:type="dxa"/>
          </w:tcPr>
          <w:p>
            <w:pPr>
              <w:jc w:val="center"/>
              <w:spacing w:before="5" w:after="5"/>
            </w:pPr>
            <w:r/>
            <w:r>
              <w:rPr>
                <w:rFonts w:ascii="Times New Roman" w:hAnsi="Times New Roman"/>
                <w:sz w:val="14"/>
              </w:rPr>
              <w:t>0.54</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$1.90</w:t>
            </w:r>
          </w:p>
        </w:tc>
        <w:tc>
          <w:tcPr>
            <w:tcW w:w="540" w:type="dxa"/>
          </w:tcPr>
          <w:p>
            <w:pPr>
              <w:jc w:val="center"/>
              <w:spacing w:before="5" w:after="5"/>
            </w:pPr>
            <w:r/>
            <w:r>
              <w:rPr>
                <w:rFonts w:ascii="Times New Roman" w:hAnsi="Times New Roman"/>
                <w:sz w:val="14"/>
              </w:rPr>
              <w:t>61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-40</w:t>
            </w:r>
          </w:p>
        </w:tc>
      </w:tr>
      <w:tr>
        <w:tc>
          <w:tcPr>
            <w:tcW w:w="1800" w:type="dxa"/>
          </w:tcPr>
          <w:p>
            <w:pPr>
              <w:jc w:val="left"/>
              <w:spacing w:before="5" w:after="5"/>
            </w:pPr>
            <w:r/>
            <w:r>
              <w:rPr>
                <w:rFonts w:ascii="Times New Roman" w:hAnsi="Times New Roman"/>
                <w:sz w:val="14"/>
              </w:rPr>
              <w:t>Croatia</w:t>
            </w:r>
          </w:p>
        </w:tc>
        <w:tc>
          <w:tcPr>
            <w:tcW w:w="900" w:type="dxa"/>
          </w:tcPr>
          <w:p>
            <w:pPr>
              <w:jc w:val="center"/>
              <w:spacing w:before="5" w:after="5"/>
            </w:pPr>
            <w:r/>
            <w:r>
              <w:rPr>
                <w:rFonts w:ascii="Times New Roman" w:hAnsi="Times New Roman"/>
                <w:sz w:val="14"/>
              </w:rPr>
              <w:t>$1.76</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$1.76</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$1.90</w:t>
            </w:r>
          </w:p>
        </w:tc>
        <w:tc>
          <w:tcPr>
            <w:tcW w:w="450" w:type="dxa"/>
          </w:tcPr>
          <w:p>
            <w:pPr>
              <w:jc w:val="center"/>
              <w:spacing w:before="5" w:after="5"/>
            </w:pPr>
            <w:r/>
            <w:r>
              <w:rPr>
                <w:rFonts w:ascii="Times New Roman" w:hAnsi="Times New Roman"/>
                <w:sz w:val="14"/>
              </w:rPr>
              <w:t>0.73</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$1.90</w:t>
            </w:r>
          </w:p>
        </w:tc>
        <w:tc>
          <w:tcPr>
            <w:tcW w:w="540" w:type="dxa"/>
          </w:tcPr>
          <w:p>
            <w:pPr>
              <w:jc w:val="center"/>
              <w:spacing w:before="5" w:after="5"/>
            </w:pPr>
            <w:r/>
            <w:r>
              <w:rPr>
                <w:rFonts w:ascii="Times New Roman" w:hAnsi="Times New Roman"/>
                <w:sz w:val="14"/>
              </w:rPr>
              <w:t>62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+20</w:t>
            </w:r>
          </w:p>
        </w:tc>
      </w:tr>
      <w:tr>
        <w:tc>
          <w:tcPr>
            <w:tcW w:w="1800" w:type="dxa"/>
          </w:tcPr>
          <w:p>
            <w:pPr>
              <w:jc w:val="left"/>
              <w:spacing w:before="5" w:after="5"/>
            </w:pPr>
            <w:r/>
            <w:r>
              <w:rPr>
                <w:rFonts w:ascii="Times New Roman" w:hAnsi="Times New Roman"/>
                <w:sz w:val="14"/>
              </w:rPr>
              <w:t>Bosnia and Herz.</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33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28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$1.91</w:t>
            </w:r>
          </w:p>
        </w:tc>
        <w:tc>
          <w:tcPr>
            <w:tcW w:w="450" w:type="dxa"/>
          </w:tcPr>
          <w:p>
            <w:pPr>
              <w:jc w:val="center"/>
              <w:spacing w:before="5" w:after="5"/>
            </w:pPr>
            <w:r/>
            <w:r>
              <w:rPr>
                <w:rFonts w:ascii="Times New Roman" w:hAnsi="Times New Roman"/>
                <w:sz w:val="14"/>
              </w:rPr>
              <w:t>0.55</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$1.91</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-30</w:t>
            </w:r>
          </w:p>
        </w:tc>
      </w:tr>
      <w:tr>
        <w:tc>
          <w:tcPr>
            <w:tcW w:w="1800" w:type="dxa"/>
          </w:tcPr>
          <w:p>
            <w:pPr>
              <w:jc w:val="left"/>
              <w:spacing w:before="5" w:after="5"/>
            </w:pPr>
            <w:r/>
            <w:r>
              <w:rPr>
                <w:rFonts w:ascii="Times New Roman" w:hAnsi="Times New Roman"/>
                <w:sz w:val="14"/>
              </w:rPr>
              <w:t>Moldova</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59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$1.69</w:t>
            </w:r>
          </w:p>
        </w:tc>
        <w:tc>
          <w:tcPr>
            <w:tcW w:w="540" w:type="dxa"/>
          </w:tcPr>
          <w:p>
            <w:pPr>
              <w:jc w:val="center"/>
              <w:spacing w:before="5" w:after="5"/>
            </w:pPr>
            <w:r/>
            <w:r>
              <w:rPr>
                <w:rFonts w:ascii="Times New Roman" w:hAnsi="Times New Roman"/>
                <w:sz w:val="14"/>
              </w:rPr>
              <w:t>58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$1.92</w:t>
            </w:r>
          </w:p>
        </w:tc>
        <w:tc>
          <w:tcPr>
            <w:tcW w:w="450" w:type="dxa"/>
          </w:tcPr>
          <w:p>
            <w:pPr>
              <w:jc w:val="center"/>
              <w:spacing w:before="5" w:after="5"/>
            </w:pPr>
            <w:r/>
            <w:r>
              <w:rPr>
                <w:rFonts w:ascii="Times New Roman" w:hAnsi="Times New Roman"/>
                <w:sz w:val="14"/>
              </w:rPr>
              <w:t>0.59</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$1.92</w:t>
            </w:r>
          </w:p>
        </w:tc>
        <w:tc>
          <w:tcPr>
            <w:tcW w:w="540" w:type="dxa"/>
          </w:tcPr>
          <w:p>
            <w:pPr>
              <w:jc w:val="center"/>
              <w:spacing w:before="5" w:after="5"/>
            </w:pPr>
            <w:r/>
            <w:r>
              <w:rPr>
                <w:rFonts w:ascii="Times New Roman" w:hAnsi="Times New Roman"/>
                <w:sz w:val="14"/>
              </w:rPr>
              <w:t>64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w:t>
            </w:r>
          </w:p>
        </w:tc>
      </w:tr>
      <w:tr>
        <w:tc>
          <w:tcPr>
            <w:tcW w:w="1800" w:type="dxa"/>
          </w:tcPr>
          <w:p>
            <w:pPr>
              <w:jc w:val="left"/>
              <w:spacing w:before="5" w:after="5"/>
            </w:pPr>
            <w:r/>
            <w:r>
              <w:rPr>
                <w:rFonts w:ascii="Times New Roman" w:hAnsi="Times New Roman"/>
                <w:sz w:val="14"/>
              </w:rPr>
              <w:t>N. Macedonia</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63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$1.92</w:t>
            </w:r>
          </w:p>
        </w:tc>
        <w:tc>
          <w:tcPr>
            <w:tcW w:w="450" w:type="dxa"/>
          </w:tcPr>
          <w:p>
            <w:pPr>
              <w:jc w:val="center"/>
              <w:spacing w:before="5" w:after="5"/>
            </w:pPr>
            <w:r/>
            <w:r>
              <w:rPr>
                <w:rFonts w:ascii="Times New Roman" w:hAnsi="Times New Roman"/>
                <w:sz w:val="14"/>
              </w:rPr>
              <w:t>0.60</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$1.92</w:t>
            </w:r>
          </w:p>
        </w:tc>
        <w:tc>
          <w:tcPr>
            <w:tcW w:w="540" w:type="dxa"/>
          </w:tcPr>
          <w:p>
            <w:pPr>
              <w:jc w:val="center"/>
              <w:spacing w:before="5" w:after="5"/>
            </w:pPr>
            <w:r/>
            <w:r>
              <w:rPr>
                <w:rFonts w:ascii="Times New Roman" w:hAnsi="Times New Roman"/>
                <w:sz w:val="14"/>
              </w:rPr>
              <w:t>65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w:t>
            </w:r>
          </w:p>
        </w:tc>
      </w:tr>
      <w:tr>
        <w:tc>
          <w:tcPr>
            <w:tcW w:w="1800" w:type="dxa"/>
          </w:tcPr>
          <w:p>
            <w:pPr>
              <w:jc w:val="left"/>
              <w:spacing w:before="5" w:after="5"/>
            </w:pPr>
            <w:r/>
            <w:r>
              <w:rPr>
                <w:rFonts w:ascii="Times New Roman" w:hAnsi="Times New Roman"/>
                <w:sz w:val="14"/>
              </w:rPr>
              <w:t>Albania</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$1.71</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$1.93</w:t>
            </w:r>
          </w:p>
        </w:tc>
        <w:tc>
          <w:tcPr>
            <w:tcW w:w="450" w:type="dxa"/>
          </w:tcPr>
          <w:p>
            <w:pPr>
              <w:jc w:val="center"/>
              <w:spacing w:before="5" w:after="5"/>
            </w:pPr>
            <w:r/>
            <w:r>
              <w:rPr>
                <w:rFonts w:ascii="Times New Roman" w:hAnsi="Times New Roman"/>
                <w:sz w:val="14"/>
              </w:rPr>
              <w:t>0.61</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$1.93</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+1</w:t>
            </w:r>
          </w:p>
        </w:tc>
      </w:tr>
      <w:tr>
        <w:tc>
          <w:tcPr>
            <w:tcW w:w="1800" w:type="dxa"/>
          </w:tcPr>
          <w:p>
            <w:pPr>
              <w:jc w:val="left"/>
              <w:spacing w:before="5" w:after="5"/>
            </w:pPr>
            <w:r/>
            <w:r>
              <w:rPr>
                <w:rFonts w:ascii="Times New Roman" w:hAnsi="Times New Roman"/>
                <w:sz w:val="14"/>
              </w:rPr>
              <w:t>Turkey</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35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30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$1.94</w:t>
            </w:r>
          </w:p>
        </w:tc>
        <w:tc>
          <w:tcPr>
            <w:tcW w:w="450" w:type="dxa"/>
          </w:tcPr>
          <w:p>
            <w:pPr>
              <w:jc w:val="center"/>
              <w:spacing w:before="5" w:after="5"/>
            </w:pPr>
            <w:r/>
            <w:r>
              <w:rPr>
                <w:rFonts w:ascii="Times New Roman" w:hAnsi="Times New Roman"/>
                <w:sz w:val="14"/>
              </w:rPr>
              <w:t>0.53</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$1.94</w:t>
            </w:r>
          </w:p>
        </w:tc>
        <w:tc>
          <w:tcPr>
            <w:tcW w:w="540" w:type="dxa"/>
          </w:tcPr>
          <w:p>
            <w:pPr>
              <w:jc w:val="center"/>
              <w:spacing w:before="5" w:after="5"/>
            </w:pPr>
            <w:r/>
            <w:r>
              <w:rPr>
                <w:rFonts w:ascii="Times New Roman" w:hAnsi="Times New Roman"/>
                <w:sz w:val="14"/>
              </w:rPr>
              <w:t>67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-32</w:t>
            </w:r>
          </w:p>
        </w:tc>
      </w:tr>
      <w:tr>
        <w:tc>
          <w:tcPr>
            <w:tcW w:w="1800" w:type="dxa"/>
          </w:tcPr>
          <w:p>
            <w:pPr>
              <w:jc w:val="left"/>
              <w:spacing w:before="5" w:after="5"/>
            </w:pPr>
            <w:r/>
            <w:r>
              <w:rPr>
                <w:rFonts w:ascii="Times New Roman" w:hAnsi="Times New Roman"/>
                <w:sz w:val="14"/>
              </w:rPr>
              <w:t>Kenya</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34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29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$1.97</w:t>
            </w:r>
          </w:p>
        </w:tc>
        <w:tc>
          <w:tcPr>
            <w:tcW w:w="450" w:type="dxa"/>
          </w:tcPr>
          <w:p>
            <w:pPr>
              <w:jc w:val="center"/>
              <w:spacing w:before="5" w:after="5"/>
            </w:pPr>
            <w:r/>
            <w:r>
              <w:rPr>
                <w:rFonts w:ascii="Times New Roman" w:hAnsi="Times New Roman"/>
                <w:sz w:val="14"/>
              </w:rPr>
              <w:t>0.50</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$1.97</w:t>
            </w:r>
          </w:p>
        </w:tc>
        <w:tc>
          <w:tcPr>
            <w:tcW w:w="540" w:type="dxa"/>
          </w:tcPr>
          <w:p>
            <w:pPr>
              <w:jc w:val="center"/>
              <w:spacing w:before="5" w:after="5"/>
            </w:pPr>
            <w:r/>
            <w:r>
              <w:rPr>
                <w:rFonts w:ascii="Times New Roman" w:hAnsi="Times New Roman"/>
                <w:sz w:val="14"/>
              </w:rPr>
              <w:t>68</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-34</w:t>
            </w:r>
          </w:p>
        </w:tc>
      </w:tr>
      <w:tr>
        <w:tc>
          <w:tcPr>
            <w:tcW w:w="1800" w:type="dxa"/>
          </w:tcPr>
          <w:p>
            <w:pPr>
              <w:jc w:val="left"/>
              <w:spacing w:before="5" w:after="5"/>
            </w:pPr>
            <w:r/>
            <w:r>
              <w:rPr>
                <w:rFonts w:ascii="Times New Roman" w:hAnsi="Times New Roman"/>
                <w:sz w:val="14"/>
              </w:rPr>
              <w:t>Azerbaijan</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19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11</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$1.97</w:t>
            </w:r>
          </w:p>
        </w:tc>
        <w:tc>
          <w:tcPr>
            <w:tcW w:w="450" w:type="dxa"/>
          </w:tcPr>
          <w:p>
            <w:pPr>
              <w:jc w:val="center"/>
              <w:spacing w:before="5" w:after="5"/>
            </w:pPr>
            <w:r/>
            <w:r>
              <w:rPr>
                <w:rFonts w:ascii="Times New Roman" w:hAnsi="Times New Roman"/>
                <w:sz w:val="14"/>
              </w:rPr>
              <w:t>0.45</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$1.97</w:t>
            </w:r>
          </w:p>
        </w:tc>
        <w:tc>
          <w:tcPr>
            <w:tcW w:w="540" w:type="dxa"/>
          </w:tcPr>
          <w:p>
            <w:pPr>
              <w:jc w:val="center"/>
              <w:spacing w:before="5" w:after="5"/>
            </w:pPr>
            <w:r/>
            <w:r>
              <w:rPr>
                <w:rFonts w:ascii="Times New Roman" w:hAnsi="Times New Roman"/>
                <w:sz w:val="14"/>
              </w:rPr>
              <w:t>69</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-50</w:t>
            </w:r>
          </w:p>
        </w:tc>
      </w:tr>
      <w:tr>
        <w:tc>
          <w:tcPr>
            <w:tcW w:w="1800" w:type="dxa"/>
          </w:tcPr>
          <w:p>
            <w:pPr>
              <w:jc w:val="left"/>
              <w:spacing w:before="5" w:after="5"/>
            </w:pPr>
            <w:r/>
            <w:r>
              <w:rPr>
                <w:rFonts w:ascii="Times New Roman" w:hAnsi="Times New Roman"/>
                <w:sz w:val="14"/>
              </w:rPr>
              <w:t>Philippines</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48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46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$1.98</w:t>
            </w:r>
          </w:p>
        </w:tc>
        <w:tc>
          <w:tcPr>
            <w:tcW w:w="450" w:type="dxa"/>
          </w:tcPr>
          <w:p>
            <w:pPr>
              <w:jc w:val="center"/>
              <w:spacing w:before="5" w:after="5"/>
            </w:pPr>
            <w:r/>
            <w:r>
              <w:rPr>
                <w:rFonts w:ascii="Times New Roman" w:hAnsi="Times New Roman"/>
                <w:sz w:val="14"/>
              </w:rPr>
              <w:t>0.51</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$1.98</w:t>
            </w:r>
          </w:p>
        </w:tc>
        <w:tc>
          <w:tcPr>
            <w:tcW w:w="540" w:type="dxa"/>
          </w:tcPr>
          <w:p>
            <w:pPr>
              <w:jc w:val="center"/>
              <w:spacing w:before="5" w:after="5"/>
            </w:pPr>
            <w:r/>
            <w:r>
              <w:rPr>
                <w:rFonts w:ascii="Times New Roman" w:hAnsi="Times New Roman"/>
                <w:sz w:val="14"/>
              </w:rPr>
              <w:t>70</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-22</w:t>
            </w:r>
          </w:p>
        </w:tc>
      </w:tr>
      <w:tr>
        <w:tc>
          <w:tcPr>
            <w:tcW w:w="1800" w:type="dxa"/>
          </w:tcPr>
          <w:p>
            <w:pPr>
              <w:jc w:val="left"/>
              <w:spacing w:before="5" w:after="5"/>
            </w:pPr>
            <w:r/>
            <w:r>
              <w:rPr>
                <w:rFonts w:ascii="Times New Roman" w:hAnsi="Times New Roman"/>
                <w:sz w:val="14"/>
              </w:rPr>
              <w:t>Ghana</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$1.70</w:t>
            </w:r>
          </w:p>
        </w:tc>
        <w:tc>
          <w:tcPr>
            <w:tcW w:w="540" w:type="dxa"/>
          </w:tcPr>
          <w:p>
            <w:pPr>
              <w:jc w:val="center"/>
              <w:spacing w:before="5" w:after="5"/>
            </w:pPr>
            <w:r/>
            <w:r>
              <w:rPr>
                <w:rFonts w:ascii="Times New Roman" w:hAnsi="Times New Roman"/>
                <w:sz w:val="14"/>
              </w:rPr>
              <w:t>66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$1.99</w:t>
            </w:r>
          </w:p>
        </w:tc>
        <w:tc>
          <w:tcPr>
            <w:tcW w:w="450" w:type="dxa"/>
          </w:tcPr>
          <w:p>
            <w:pPr>
              <w:jc w:val="center"/>
              <w:spacing w:before="5" w:after="5"/>
            </w:pPr>
            <w:r/>
            <w:r>
              <w:rPr>
                <w:rFonts w:ascii="Times New Roman" w:hAnsi="Times New Roman"/>
                <w:sz w:val="14"/>
              </w:rPr>
              <w:t>0.55</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$1.99</w:t>
            </w:r>
          </w:p>
        </w:tc>
        <w:tc>
          <w:tcPr>
            <w:tcW w:w="540" w:type="dxa"/>
          </w:tcPr>
          <w:p>
            <w:pPr>
              <w:jc w:val="center"/>
              <w:spacing w:before="5" w:after="5"/>
            </w:pPr>
            <w:r/>
            <w:r>
              <w:rPr>
                <w:rFonts w:ascii="Times New Roman" w:hAnsi="Times New Roman"/>
                <w:sz w:val="14"/>
              </w:rPr>
              <w:t>71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w:t>
            </w:r>
          </w:p>
        </w:tc>
      </w:tr>
      <w:tr>
        <w:tc>
          <w:tcPr>
            <w:tcW w:w="1800" w:type="dxa"/>
          </w:tcPr>
          <w:p>
            <w:pPr>
              <w:jc w:val="left"/>
              <w:spacing w:before="5" w:after="5"/>
            </w:pPr>
            <w:r/>
            <w:r>
              <w:rPr>
                <w:rFonts w:ascii="Times New Roman" w:hAnsi="Times New Roman"/>
                <w:sz w:val="14"/>
              </w:rPr>
              <w:t>Algeria</w:t>
            </w:r>
          </w:p>
        </w:tc>
        <w:tc>
          <w:tcPr>
            <w:tcW w:w="900" w:type="dxa"/>
          </w:tcPr>
          <w:p>
            <w:pPr>
              <w:jc w:val="center"/>
              <w:spacing w:before="5" w:after="5"/>
            </w:pPr>
            <w:r/>
            <w:r>
              <w:rPr>
                <w:rFonts w:ascii="Times New Roman" w:hAnsi="Times New Roman"/>
                <w:sz w:val="14"/>
              </w:rPr>
              <w:t>$1.60</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$2.00</w:t>
            </w:r>
          </w:p>
        </w:tc>
        <w:tc>
          <w:tcPr>
            <w:tcW w:w="450" w:type="dxa"/>
          </w:tcPr>
          <w:p>
            <w:pPr>
              <w:jc w:val="center"/>
              <w:spacing w:before="5" w:after="5"/>
            </w:pPr>
            <w:r/>
            <w:r>
              <w:rPr>
                <w:rFonts w:ascii="Times New Roman" w:hAnsi="Times New Roman"/>
                <w:sz w:val="14"/>
              </w:rPr>
              <w:t>0.43</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$2.00</w:t>
            </w:r>
          </w:p>
        </w:tc>
        <w:tc>
          <w:tcPr>
            <w:tcW w:w="540" w:type="dxa"/>
          </w:tcPr>
          <w:p>
            <w:pPr>
              <w:jc w:val="center"/>
              <w:spacing w:before="5" w:after="5"/>
            </w:pPr>
            <w:r/>
            <w:r>
              <w:rPr>
                <w:rFonts w:ascii="Times New Roman" w:hAnsi="Times New Roman"/>
                <w:sz w:val="14"/>
              </w:rPr>
              <w:t>72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-66</w:t>
            </w:r>
          </w:p>
        </w:tc>
      </w:tr>
      <w:tr>
        <w:tc>
          <w:tcPr>
            <w:tcW w:w="1800" w:type="dxa"/>
          </w:tcPr>
          <w:p>
            <w:pPr>
              <w:jc w:val="left"/>
              <w:spacing w:before="5" w:after="5"/>
            </w:pPr>
            <w:r/>
            <w:r>
              <w:rPr>
                <w:rFonts w:ascii="Times New Roman" w:hAnsi="Times New Roman"/>
                <w:sz w:val="14"/>
              </w:rPr>
              <w:t>Ethiopia</w:t>
            </w:r>
          </w:p>
        </w:tc>
        <w:tc>
          <w:tcPr>
            <w:tcW w:w="900" w:type="dxa"/>
          </w:tcPr>
          <w:p>
            <w:pPr>
              <w:jc w:val="center"/>
              <w:spacing w:before="5" w:after="5"/>
            </w:pPr>
            <w:r/>
            <w:r>
              <w:rPr>
                <w:rFonts w:ascii="Times New Roman" w:hAnsi="Times New Roman"/>
                <w:sz w:val="14"/>
              </w:rPr>
              <w:t>$1.60</w:t>
            </w:r>
          </w:p>
        </w:tc>
        <w:tc>
          <w:tcPr>
            <w:tcW w:w="540" w:type="dxa"/>
          </w:tcPr>
          <w:p>
            <w:pPr>
              <w:jc w:val="center"/>
              <w:spacing w:before="5" w:after="5"/>
            </w:pPr>
            <w:r/>
            <w:r>
              <w:rPr>
                <w:rFonts w:ascii="Times New Roman" w:hAnsi="Times New Roman"/>
                <w:sz w:val="14"/>
              </w:rPr>
              <w:t>3</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$1.61</w:t>
            </w:r>
          </w:p>
        </w:tc>
        <w:tc>
          <w:tcPr>
            <w:tcW w:w="540" w:type="dxa"/>
          </w:tcPr>
          <w:p>
            <w:pPr>
              <w:jc w:val="center"/>
              <w:spacing w:before="5" w:after="5"/>
            </w:pPr>
            <w:r/>
            <w:r>
              <w:rPr>
                <w:rFonts w:ascii="Times New Roman" w:hAnsi="Times New Roman"/>
                <w:sz w:val="14"/>
              </w:rPr>
              <w:t>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$2.02</w:t>
            </w:r>
          </w:p>
        </w:tc>
        <w:tc>
          <w:tcPr>
            <w:tcW w:w="450" w:type="dxa"/>
          </w:tcPr>
          <w:p>
            <w:pPr>
              <w:jc w:val="center"/>
              <w:spacing w:before="5" w:after="5"/>
            </w:pPr>
            <w:r/>
            <w:r>
              <w:rPr>
                <w:rFonts w:ascii="Times New Roman" w:hAnsi="Times New Roman"/>
                <w:sz w:val="14"/>
              </w:rPr>
              <w:t>0.38</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$2.02</w:t>
            </w:r>
          </w:p>
        </w:tc>
        <w:tc>
          <w:tcPr>
            <w:tcW w:w="540" w:type="dxa"/>
          </w:tcPr>
          <w:p>
            <w:pPr>
              <w:jc w:val="center"/>
              <w:spacing w:before="5" w:after="5"/>
            </w:pPr>
            <w:r/>
            <w:r>
              <w:rPr>
                <w:rFonts w:ascii="Times New Roman" w:hAnsi="Times New Roman"/>
                <w:sz w:val="14"/>
              </w:rPr>
              <w:t>73</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-70</w:t>
            </w:r>
          </w:p>
        </w:tc>
      </w:tr>
      <w:tr>
        <w:tc>
          <w:tcPr>
            <w:tcW w:w="1800" w:type="dxa"/>
          </w:tcPr>
          <w:p>
            <w:pPr>
              <w:jc w:val="left"/>
              <w:spacing w:before="5" w:after="5"/>
            </w:pPr>
            <w:r/>
            <w:r>
              <w:rPr>
                <w:rFonts w:ascii="Times New Roman" w:hAnsi="Times New Roman"/>
                <w:sz w:val="14"/>
              </w:rPr>
              <w:t>Ukraine</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16</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9</w:t>
            </w:r>
          </w:p>
        </w:tc>
        <w:tc>
          <w:tcPr>
            <w:tcW w:w="540" w:type="dxa"/>
          </w:tcPr>
          <w:p>
            <w:pPr>
              <w:jc w:val="center"/>
              <w:spacing w:before="5" w:after="5"/>
            </w:pPr>
            <w:r/>
            <w:r>
              <w:rPr>
                <w:rFonts w:ascii="Times New Roman" w:hAnsi="Times New Roman"/>
                <w:sz w:val="14"/>
              </w:rPr>
              <w:t>IE</w:t>
            </w:r>
          </w:p>
        </w:tc>
        <w:tc>
          <w:tcPr>
            <w:tcW w:w="900" w:type="dxa"/>
          </w:tcPr>
          <w:p>
            <w:pPr>
              <w:jc w:val="center"/>
              <w:spacing w:before="5" w:after="5"/>
            </w:pPr>
            <w:r/>
            <w:r>
              <w:rPr>
                <w:rFonts w:ascii="Times New Roman" w:hAnsi="Times New Roman"/>
                <w:sz w:val="14"/>
              </w:rPr>
              <w:t>$2.06</w:t>
            </w:r>
          </w:p>
        </w:tc>
        <w:tc>
          <w:tcPr>
            <w:tcW w:w="450" w:type="dxa"/>
          </w:tcPr>
          <w:p>
            <w:pPr>
              <w:jc w:val="center"/>
              <w:spacing w:before="5" w:after="5"/>
            </w:pPr>
            <w:r/>
            <w:r>
              <w:rPr>
                <w:rFonts w:ascii="Times New Roman" w:hAnsi="Times New Roman"/>
                <w:sz w:val="14"/>
              </w:rPr>
              <w:t>0.39</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$2.06</w:t>
            </w:r>
          </w:p>
        </w:tc>
        <w:tc>
          <w:tcPr>
            <w:tcW w:w="540" w:type="dxa"/>
          </w:tcPr>
          <w:p>
            <w:pPr>
              <w:jc w:val="center"/>
              <w:spacing w:before="5" w:after="5"/>
            </w:pPr>
            <w:r/>
            <w:r>
              <w:rPr>
                <w:rFonts w:ascii="Times New Roman" w:hAnsi="Times New Roman"/>
                <w:sz w:val="14"/>
              </w:rPr>
              <w:t>74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-58</w:t>
            </w:r>
          </w:p>
        </w:tc>
      </w:tr>
      <w:tr>
        <w:tc>
          <w:tcPr>
            <w:tcW w:w="1800" w:type="dxa"/>
          </w:tcPr>
          <w:p>
            <w:pPr>
              <w:jc w:val="left"/>
              <w:spacing w:before="5" w:after="5"/>
            </w:pPr>
            <w:r/>
            <w:r>
              <w:rPr>
                <w:rFonts w:ascii="Times New Roman" w:hAnsi="Times New Roman"/>
                <w:sz w:val="14"/>
              </w:rPr>
              <w:t>Uzbekistan</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20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$2.09</w:t>
            </w:r>
          </w:p>
        </w:tc>
        <w:tc>
          <w:tcPr>
            <w:tcW w:w="450" w:type="dxa"/>
          </w:tcPr>
          <w:p>
            <w:pPr>
              <w:jc w:val="center"/>
              <w:spacing w:before="5" w:after="5"/>
            </w:pPr>
            <w:r/>
            <w:r>
              <w:rPr>
                <w:rFonts w:ascii="Times New Roman" w:hAnsi="Times New Roman"/>
                <w:sz w:val="14"/>
              </w:rPr>
              <w:t>0.40</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$2.09</w:t>
            </w:r>
          </w:p>
        </w:tc>
        <w:tc>
          <w:tcPr>
            <w:tcW w:w="540" w:type="dxa"/>
          </w:tcPr>
          <w:p>
            <w:pPr>
              <w:jc w:val="center"/>
              <w:spacing w:before="5" w:after="5"/>
            </w:pPr>
            <w:r/>
            <w:r>
              <w:rPr>
                <w:rFonts w:ascii="Times New Roman" w:hAnsi="Times New Roman"/>
                <w:sz w:val="14"/>
              </w:rPr>
              <w:t>75</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-55</w:t>
            </w:r>
          </w:p>
        </w:tc>
      </w:tr>
      <w:tr>
        <w:tc>
          <w:tcPr>
            <w:tcW w:w="1800" w:type="dxa"/>
          </w:tcPr>
          <w:p>
            <w:pPr>
              <w:jc w:val="left"/>
              <w:spacing w:before="5" w:after="5"/>
            </w:pPr>
            <w:r/>
            <w:r>
              <w:rPr>
                <w:rFonts w:ascii="Times New Roman" w:hAnsi="Times New Roman"/>
                <w:sz w:val="14"/>
              </w:rPr>
              <w:t>Mexico</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$2.09</w:t>
            </w:r>
          </w:p>
        </w:tc>
        <w:tc>
          <w:tcPr>
            <w:tcW w:w="450" w:type="dxa"/>
          </w:tcPr>
          <w:p>
            <w:pPr>
              <w:jc w:val="center"/>
              <w:spacing w:before="5" w:after="5"/>
            </w:pPr>
            <w:r/>
            <w:r>
              <w:rPr>
                <w:rFonts w:ascii="Times New Roman" w:hAnsi="Times New Roman"/>
                <w:sz w:val="14"/>
              </w:rPr>
              <w:t>0.42</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$2.09</w:t>
            </w:r>
          </w:p>
        </w:tc>
        <w:tc>
          <w:tcPr>
            <w:tcW w:w="540" w:type="dxa"/>
          </w:tcPr>
          <w:p>
            <w:pPr>
              <w:jc w:val="center"/>
              <w:spacing w:before="5" w:after="5"/>
            </w:pPr>
            <w:r/>
            <w:r>
              <w:rPr>
                <w:rFonts w:ascii="Times New Roman" w:hAnsi="Times New Roman"/>
                <w:sz w:val="14"/>
              </w:rPr>
              <w:t>76</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-37</w:t>
            </w:r>
          </w:p>
        </w:tc>
      </w:tr>
      <w:tr>
        <w:tc>
          <w:tcPr>
            <w:tcW w:w="1800" w:type="dxa"/>
          </w:tcPr>
          <w:p>
            <w:pPr>
              <w:jc w:val="left"/>
              <w:spacing w:before="5" w:after="5"/>
            </w:pPr>
            <w:r/>
            <w:r>
              <w:rPr>
                <w:rFonts w:ascii="Times New Roman" w:hAnsi="Times New Roman"/>
                <w:sz w:val="14"/>
              </w:rPr>
              <w:t>Senegal</w:t>
            </w:r>
          </w:p>
        </w:tc>
        <w:tc>
          <w:tcPr>
            <w:tcW w:w="900" w:type="dxa"/>
          </w:tcPr>
          <w:p>
            <w:pPr>
              <w:jc w:val="center"/>
              <w:spacing w:before="5" w:after="5"/>
            </w:pPr>
            <w:r/>
            <w:r>
              <w:rPr>
                <w:rFonts w:ascii="Times New Roman" w:hAnsi="Times New Roman"/>
                <w:sz w:val="14"/>
              </w:rPr>
              <w:t>$1.76</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$1.76</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$2.11</w:t>
            </w:r>
          </w:p>
        </w:tc>
        <w:tc>
          <w:tcPr>
            <w:tcW w:w="450" w:type="dxa"/>
          </w:tcPr>
          <w:p>
            <w:pPr>
              <w:jc w:val="center"/>
              <w:spacing w:before="5" w:after="5"/>
            </w:pPr>
            <w:r/>
            <w:r>
              <w:rPr>
                <w:rFonts w:ascii="Times New Roman" w:hAnsi="Times New Roman"/>
                <w:sz w:val="14"/>
              </w:rPr>
              <w:t>0.53</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$2.11</w:t>
            </w:r>
          </w:p>
        </w:tc>
        <w:tc>
          <w:tcPr>
            <w:tcW w:w="540" w:type="dxa"/>
          </w:tcPr>
          <w:p>
            <w:pPr>
              <w:jc w:val="center"/>
              <w:spacing w:before="5" w:after="5"/>
            </w:pPr>
            <w:r/>
            <w:r>
              <w:rPr>
                <w:rFonts w:ascii="Times New Roman" w:hAnsi="Times New Roman"/>
                <w:sz w:val="14"/>
              </w:rPr>
              <w:t>77</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w:t>
            </w:r>
          </w:p>
        </w:tc>
      </w:tr>
      <w:tr>
        <w:tc>
          <w:tcPr>
            <w:tcW w:w="1800" w:type="dxa"/>
          </w:tcPr>
          <w:p>
            <w:pPr>
              <w:jc w:val="left"/>
              <w:spacing w:before="5" w:after="5"/>
            </w:pPr>
            <w:r/>
            <w:r>
              <w:rPr>
                <w:rFonts w:ascii="Times New Roman" w:hAnsi="Times New Roman"/>
                <w:sz w:val="14"/>
              </w:rPr>
              <w:t>Kyrgyzstan</w:t>
            </w:r>
          </w:p>
        </w:tc>
        <w:tc>
          <w:tcPr>
            <w:tcW w:w="900" w:type="dxa"/>
          </w:tcPr>
          <w:p>
            <w:pPr>
              <w:jc w:val="center"/>
              <w:spacing w:before="5" w:after="5"/>
            </w:pPr>
            <w:r/>
            <w:r>
              <w:rPr>
                <w:rFonts w:ascii="Times New Roman" w:hAnsi="Times New Roman"/>
                <w:sz w:val="14"/>
              </w:rPr>
              <w:t>$1.60</w:t>
            </w:r>
          </w:p>
        </w:tc>
        <w:tc>
          <w:tcPr>
            <w:tcW w:w="540" w:type="dxa"/>
          </w:tcPr>
          <w:p>
            <w:pPr>
              <w:jc w:val="center"/>
              <w:spacing w:before="5" w:after="5"/>
            </w:pPr>
            <w:r/>
            <w:r>
              <w:rPr>
                <w:rFonts w:ascii="Times New Roman" w:hAnsi="Times New Roman"/>
                <w:sz w:val="14"/>
              </w:rPr>
              <w:t>4</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$1.60</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EE</w:t>
            </w:r>
          </w:p>
        </w:tc>
        <w:tc>
          <w:tcPr>
            <w:tcW w:w="900" w:type="dxa"/>
          </w:tcPr>
          <w:p>
            <w:pPr>
              <w:jc w:val="center"/>
              <w:spacing w:before="5" w:after="5"/>
            </w:pPr>
            <w:r/>
            <w:r>
              <w:rPr>
                <w:rFonts w:ascii="Times New Roman" w:hAnsi="Times New Roman"/>
                <w:sz w:val="14"/>
              </w:rPr>
              <w:t>$2.19</w:t>
            </w:r>
          </w:p>
        </w:tc>
        <w:tc>
          <w:tcPr>
            <w:tcW w:w="450" w:type="dxa"/>
          </w:tcPr>
          <w:p>
            <w:pPr>
              <w:jc w:val="center"/>
              <w:spacing w:before="5" w:after="5"/>
            </w:pPr>
            <w:r/>
            <w:r>
              <w:rPr>
                <w:rFonts w:ascii="Times New Roman" w:hAnsi="Times New Roman"/>
                <w:sz w:val="14"/>
              </w:rPr>
              <w:t>0.29</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$2.19</w:t>
            </w:r>
          </w:p>
        </w:tc>
        <w:tc>
          <w:tcPr>
            <w:tcW w:w="540" w:type="dxa"/>
          </w:tcPr>
          <w:p>
            <w:pPr>
              <w:jc w:val="center"/>
              <w:spacing w:before="5" w:after="5"/>
            </w:pPr>
            <w:r/>
            <w:r>
              <w:rPr>
                <w:rFonts w:ascii="Times New Roman" w:hAnsi="Times New Roman"/>
                <w:sz w:val="14"/>
              </w:rPr>
              <w:t>78</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-74</w:t>
            </w:r>
          </w:p>
        </w:tc>
      </w:tr>
      <w:tr>
        <w:tc>
          <w:tcPr>
            <w:tcW w:w="1800" w:type="dxa"/>
          </w:tcPr>
          <w:p>
            <w:pPr>
              <w:jc w:val="left"/>
              <w:spacing w:before="5" w:after="5"/>
            </w:pPr>
            <w:r/>
            <w:r>
              <w:rPr>
                <w:rFonts w:ascii="Times New Roman" w:hAnsi="Times New Roman"/>
                <w:sz w:val="14"/>
              </w:rPr>
              <w:t>Iran</w:t>
            </w:r>
          </w:p>
        </w:tc>
        <w:tc>
          <w:tcPr>
            <w:tcW w:w="900" w:type="dxa"/>
          </w:tcPr>
          <w:p>
            <w:pPr>
              <w:jc w:val="center"/>
              <w:spacing w:before="5" w:after="5"/>
            </w:pPr>
            <w:r/>
            <w:r>
              <w:rPr>
                <w:rFonts w:ascii="Times New Roman" w:hAnsi="Times New Roman"/>
                <w:sz w:val="14"/>
              </w:rPr>
              <w:t>$1.58</w:t>
            </w:r>
          </w:p>
        </w:tc>
        <w:tc>
          <w:tcPr>
            <w:tcW w:w="540" w:type="dxa"/>
          </w:tcPr>
          <w:p>
            <w:pPr>
              <w:jc w:val="center"/>
              <w:spacing w:before="5" w:after="5"/>
            </w:pPr>
            <w:r/>
            <w:r>
              <w:rPr>
                <w:rFonts w:ascii="Times New Roman" w:hAnsi="Times New Roman"/>
                <w:sz w:val="14"/>
              </w:rPr>
              <w:t>1</w:t>
            </w:r>
          </w:p>
        </w:tc>
        <w:tc>
          <w:tcPr>
            <w:tcW w:w="540" w:type="dxa"/>
          </w:tcPr>
          <w:p>
            <w:pPr>
              <w:jc w:val="center"/>
              <w:spacing w:before="5" w:after="5"/>
            </w:pPr>
            <w:r/>
            <w:r>
              <w:rPr>
                <w:rFonts w:ascii="Times New Roman" w:hAnsi="Times New Roman"/>
                <w:sz w:val="14"/>
              </w:rPr>
              <w:t>DD</w:t>
            </w:r>
          </w:p>
        </w:tc>
        <w:tc>
          <w:tcPr>
            <w:tcW w:w="900" w:type="dxa"/>
          </w:tcPr>
          <w:p>
            <w:pPr>
              <w:jc w:val="center"/>
              <w:spacing w:before="5" w:after="5"/>
            </w:pPr>
            <w:r/>
            <w:r>
              <w:rPr>
                <w:rFonts w:ascii="Times New Roman" w:hAnsi="Times New Roman"/>
                <w:sz w:val="14"/>
              </w:rPr>
              <w:t>$1.65</w:t>
            </w:r>
          </w:p>
        </w:tc>
        <w:tc>
          <w:tcPr>
            <w:tcW w:w="540" w:type="dxa"/>
          </w:tcPr>
          <w:p>
            <w:pPr>
              <w:jc w:val="center"/>
              <w:spacing w:before="5" w:after="5"/>
            </w:pPr>
            <w:r/>
            <w:r>
              <w:rPr>
                <w:rFonts w:ascii="Times New Roman" w:hAnsi="Times New Roman"/>
                <w:sz w:val="14"/>
              </w:rPr>
              <w:t>21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$2.20</w:t>
            </w:r>
          </w:p>
        </w:tc>
        <w:tc>
          <w:tcPr>
            <w:tcW w:w="450" w:type="dxa"/>
          </w:tcPr>
          <w:p>
            <w:pPr>
              <w:jc w:val="center"/>
              <w:spacing w:before="5" w:after="5"/>
            </w:pPr>
            <w:r/>
            <w:r>
              <w:rPr>
                <w:rFonts w:ascii="Times New Roman" w:hAnsi="Times New Roman"/>
                <w:sz w:val="14"/>
              </w:rPr>
              <w:t>0.35</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$2.20</w:t>
            </w:r>
          </w:p>
        </w:tc>
        <w:tc>
          <w:tcPr>
            <w:tcW w:w="540" w:type="dxa"/>
          </w:tcPr>
          <w:p>
            <w:pPr>
              <w:jc w:val="center"/>
              <w:spacing w:before="5" w:after="5"/>
            </w:pPr>
            <w:r/>
            <w:r>
              <w:rPr>
                <w:rFonts w:ascii="Times New Roman" w:hAnsi="Times New Roman"/>
                <w:sz w:val="14"/>
              </w:rPr>
              <w:t>79</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-78</w:t>
            </w:r>
          </w:p>
        </w:tc>
      </w:tr>
      <w:tr>
        <w:tc>
          <w:tcPr>
            <w:tcW w:w="1800" w:type="dxa"/>
          </w:tcPr>
          <w:p>
            <w:pPr>
              <w:jc w:val="left"/>
              <w:spacing w:before="5" w:after="5"/>
            </w:pPr>
            <w:r/>
            <w:r>
              <w:rPr>
                <w:rFonts w:ascii="Times New Roman" w:hAnsi="Times New Roman"/>
                <w:sz w:val="14"/>
              </w:rPr>
              <w:t>Russia</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8</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$1.64</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$2.22</w:t>
            </w:r>
          </w:p>
        </w:tc>
        <w:tc>
          <w:tcPr>
            <w:tcW w:w="450" w:type="dxa"/>
          </w:tcPr>
          <w:p>
            <w:pPr>
              <w:jc w:val="center"/>
              <w:spacing w:before="5" w:after="5"/>
            </w:pPr>
            <w:r/>
            <w:r>
              <w:rPr>
                <w:rFonts w:ascii="Times New Roman" w:hAnsi="Times New Roman"/>
                <w:sz w:val="14"/>
              </w:rPr>
              <w:t>0.32</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$2.22</w:t>
            </w:r>
          </w:p>
        </w:tc>
        <w:tc>
          <w:tcPr>
            <w:tcW w:w="540" w:type="dxa"/>
          </w:tcPr>
          <w:p>
            <w:pPr>
              <w:jc w:val="center"/>
              <w:spacing w:before="5" w:after="5"/>
            </w:pPr>
            <w:r/>
            <w:r>
              <w:rPr>
                <w:rFonts w:ascii="Times New Roman" w:hAnsi="Times New Roman"/>
                <w:sz w:val="14"/>
              </w:rPr>
              <w:t>80</w:t>
            </w:r>
          </w:p>
        </w:tc>
        <w:tc>
          <w:tcPr>
            <w:tcW w:w="540" w:type="dxa"/>
          </w:tcPr>
          <w:p>
            <w:pPr>
              <w:jc w:val="center"/>
              <w:spacing w:before="5" w:after="5"/>
            </w:pPr>
            <w:r/>
            <w:r>
              <w:rPr>
                <w:rFonts w:ascii="Times New Roman" w:hAnsi="Times New Roman"/>
                <w:sz w:val="14"/>
              </w:rPr>
              <w:t>DD</w:t>
            </w:r>
          </w:p>
        </w:tc>
        <w:tc>
          <w:tcPr>
            <w:tcW w:w="540" w:type="dxa"/>
          </w:tcPr>
          <w:p>
            <w:pPr>
              <w:jc w:val="center"/>
              <w:spacing w:before="5" w:after="5"/>
            </w:pPr>
            <w:r/>
            <w:r>
              <w:rPr>
                <w:rFonts w:ascii="Times New Roman" w:hAnsi="Times New Roman"/>
                <w:sz w:val="14"/>
              </w:rPr>
              <w:t>-72</w:t>
            </w:r>
          </w:p>
        </w:tc>
      </w:tr>
      <w:tr>
        <w:tc>
          <w:tcPr>
            <w:tcW w:w="1800" w:type="dxa"/>
          </w:tcPr>
          <w:p>
            <w:pPr>
              <w:jc w:val="left"/>
              <w:spacing w:before="5" w:after="5"/>
            </w:pPr>
            <w:r/>
            <w:r>
              <w:rPr>
                <w:rFonts w:ascii="Times New Roman" w:hAnsi="Times New Roman"/>
                <w:sz w:val="14"/>
              </w:rPr>
              <w:t>Pakistan</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51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$1.68</w:t>
            </w:r>
          </w:p>
        </w:tc>
        <w:tc>
          <w:tcPr>
            <w:tcW w:w="540" w:type="dxa"/>
          </w:tcPr>
          <w:p>
            <w:pPr>
              <w:jc w:val="center"/>
              <w:spacing w:before="5" w:after="5"/>
            </w:pPr>
            <w:r/>
            <w:r>
              <w:rPr>
                <w:rFonts w:ascii="Times New Roman" w:hAnsi="Times New Roman"/>
                <w:sz w:val="14"/>
              </w:rPr>
              <w:t>49</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$2.30</w:t>
            </w:r>
          </w:p>
        </w:tc>
        <w:tc>
          <w:tcPr>
            <w:tcW w:w="450" w:type="dxa"/>
          </w:tcPr>
          <w:p>
            <w:pPr>
              <w:jc w:val="center"/>
              <w:spacing w:before="5" w:after="5"/>
            </w:pPr>
            <w:r/>
            <w:r>
              <w:rPr>
                <w:rFonts w:ascii="Times New Roman" w:hAnsi="Times New Roman"/>
                <w:sz w:val="14"/>
              </w:rPr>
              <w:t>0.34</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$2.30</w:t>
            </w:r>
          </w:p>
        </w:tc>
        <w:tc>
          <w:tcPr>
            <w:tcW w:w="540" w:type="dxa"/>
          </w:tcPr>
          <w:p>
            <w:pPr>
              <w:jc w:val="center"/>
              <w:spacing w:before="5" w:after="5"/>
            </w:pPr>
            <w:r/>
            <w:r>
              <w:rPr>
                <w:rFonts w:ascii="Times New Roman" w:hAnsi="Times New Roman"/>
                <w:sz w:val="14"/>
              </w:rPr>
              <w:t>81</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-30</w:t>
            </w:r>
          </w:p>
        </w:tc>
      </w:tr>
      <w:tr>
        <w:tc>
          <w:tcPr>
            <w:tcW w:w="1800" w:type="dxa"/>
          </w:tcPr>
          <w:p>
            <w:pPr>
              <w:jc w:val="left"/>
              <w:spacing w:before="5" w:after="5"/>
            </w:pPr>
            <w:r/>
            <w:r>
              <w:rPr>
                <w:rFonts w:ascii="Times New Roman" w:hAnsi="Times New Roman"/>
                <w:sz w:val="14"/>
              </w:rPr>
              <w:t>Nigeria</w:t>
            </w:r>
          </w:p>
        </w:tc>
        <w:tc>
          <w:tcPr>
            <w:tcW w:w="900" w:type="dxa"/>
          </w:tcPr>
          <w:p>
            <w:pPr>
              <w:jc w:val="center"/>
              <w:spacing w:before="5" w:after="5"/>
            </w:pPr>
            <w:r/>
            <w:r>
              <w:rPr>
                <w:rFonts w:ascii="Times New Roman" w:hAnsi="Times New Roman"/>
                <w:sz w:val="14"/>
              </w:rPr>
              <w:t>$1.63</w:t>
            </w:r>
          </w:p>
        </w:tc>
        <w:tc>
          <w:tcPr>
            <w:tcW w:w="540" w:type="dxa"/>
          </w:tcPr>
          <w:p>
            <w:pPr>
              <w:jc w:val="center"/>
              <w:spacing w:before="5" w:after="5"/>
            </w:pPr>
            <w:r/>
            <w:r>
              <w:rPr>
                <w:rFonts w:ascii="Times New Roman" w:hAnsi="Times New Roman"/>
                <w:sz w:val="14"/>
              </w:rPr>
              <w:t>13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$1.66</w:t>
            </w:r>
          </w:p>
        </w:tc>
        <w:tc>
          <w:tcPr>
            <w:tcW w:w="540" w:type="dxa"/>
          </w:tcPr>
          <w:p>
            <w:pPr>
              <w:jc w:val="center"/>
              <w:spacing w:before="5" w:after="5"/>
            </w:pPr>
            <w:r/>
            <w:r>
              <w:rPr>
                <w:rFonts w:ascii="Times New Roman" w:hAnsi="Times New Roman"/>
                <w:sz w:val="14"/>
              </w:rPr>
              <w:t>31</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$2.31</w:t>
            </w:r>
          </w:p>
        </w:tc>
        <w:tc>
          <w:tcPr>
            <w:tcW w:w="450" w:type="dxa"/>
          </w:tcPr>
          <w:p>
            <w:pPr>
              <w:jc w:val="center"/>
              <w:spacing w:before="5" w:after="5"/>
            </w:pPr>
            <w:r/>
            <w:r>
              <w:rPr>
                <w:rFonts w:ascii="Times New Roman" w:hAnsi="Times New Roman"/>
                <w:sz w:val="14"/>
              </w:rPr>
              <w:t>0.32</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$2.31</w:t>
            </w:r>
          </w:p>
        </w:tc>
        <w:tc>
          <w:tcPr>
            <w:tcW w:w="540" w:type="dxa"/>
          </w:tcPr>
          <w:p>
            <w:pPr>
              <w:jc w:val="center"/>
              <w:spacing w:before="5" w:after="5"/>
            </w:pPr>
            <w:r/>
            <w:r>
              <w:rPr>
                <w:rFonts w:ascii="Times New Roman" w:hAnsi="Times New Roman"/>
                <w:sz w:val="14"/>
              </w:rPr>
              <w:t>82</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-69</w:t>
            </w:r>
          </w:p>
        </w:tc>
      </w:tr>
      <w:tr>
        <w:tc>
          <w:tcPr>
            <w:tcW w:w="1800" w:type="dxa"/>
          </w:tcPr>
          <w:p>
            <w:pPr>
              <w:jc w:val="left"/>
              <w:spacing w:before="5" w:after="5"/>
            </w:pPr>
            <w:r/>
            <w:r>
              <w:rPr>
                <w:rFonts w:ascii="Times New Roman" w:hAnsi="Times New Roman"/>
                <w:sz w:val="14"/>
              </w:rPr>
              <w:t>Tajikistan</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12</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$1.62</w:t>
            </w:r>
          </w:p>
        </w:tc>
        <w:tc>
          <w:tcPr>
            <w:tcW w:w="540" w:type="dxa"/>
          </w:tcPr>
          <w:p>
            <w:pPr>
              <w:jc w:val="center"/>
              <w:spacing w:before="5" w:after="5"/>
            </w:pPr>
            <w:r/>
            <w:r>
              <w:rPr>
                <w:rFonts w:ascii="Times New Roman" w:hAnsi="Times New Roman"/>
                <w:sz w:val="14"/>
              </w:rPr>
              <w:t>6</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$2.39</w:t>
            </w:r>
          </w:p>
        </w:tc>
        <w:tc>
          <w:tcPr>
            <w:tcW w:w="450" w:type="dxa"/>
          </w:tcPr>
          <w:p>
            <w:pPr>
              <w:jc w:val="center"/>
              <w:spacing w:before="5" w:after="5"/>
            </w:pPr>
            <w:r/>
            <w:r>
              <w:rPr>
                <w:rFonts w:ascii="Times New Roman" w:hAnsi="Times New Roman"/>
                <w:sz w:val="14"/>
              </w:rPr>
              <w:t>0.25</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$2.39</w:t>
            </w:r>
          </w:p>
        </w:tc>
        <w:tc>
          <w:tcPr>
            <w:tcW w:w="540" w:type="dxa"/>
          </w:tcPr>
          <w:p>
            <w:pPr>
              <w:jc w:val="center"/>
              <w:spacing w:before="5" w:after="5"/>
            </w:pPr>
            <w:r/>
            <w:r>
              <w:rPr>
                <w:rFonts w:ascii="Times New Roman" w:hAnsi="Times New Roman"/>
                <w:sz w:val="14"/>
              </w:rPr>
              <w:t>83</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-71</w:t>
            </w:r>
          </w:p>
        </w:tc>
      </w:tr>
      <w:tr>
        <w:tc>
          <w:tcPr>
            <w:tcW w:w="1800" w:type="dxa"/>
          </w:tcPr>
          <w:p>
            <w:pPr>
              <w:jc w:val="left"/>
              <w:spacing w:before="5" w:after="5"/>
            </w:pPr>
            <w:r/>
            <w:r>
              <w:rPr>
                <w:rFonts w:ascii="Times New Roman" w:hAnsi="Times New Roman"/>
                <w:sz w:val="14"/>
              </w:rPr>
              <w:t>Belarus</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40</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$1.67</w:t>
            </w:r>
          </w:p>
        </w:tc>
        <w:tc>
          <w:tcPr>
            <w:tcW w:w="540" w:type="dxa"/>
          </w:tcPr>
          <w:p>
            <w:pPr>
              <w:jc w:val="center"/>
              <w:spacing w:before="5" w:after="5"/>
            </w:pPr>
            <w:r/>
            <w:r>
              <w:rPr>
                <w:rFonts w:ascii="Times New Roman" w:hAnsi="Times New Roman"/>
                <w:sz w:val="14"/>
              </w:rPr>
              <w:t>37</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$2.40</w:t>
            </w:r>
          </w:p>
        </w:tc>
        <w:tc>
          <w:tcPr>
            <w:tcW w:w="450" w:type="dxa"/>
          </w:tcPr>
          <w:p>
            <w:pPr>
              <w:jc w:val="center"/>
              <w:spacing w:before="5" w:after="5"/>
            </w:pPr>
            <w:r/>
            <w:r>
              <w:rPr>
                <w:rFonts w:ascii="Times New Roman" w:hAnsi="Times New Roman"/>
                <w:sz w:val="14"/>
              </w:rPr>
              <w:t>0.30</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900" w:type="dxa"/>
          </w:tcPr>
          <w:p>
            <w:pPr>
              <w:jc w:val="center"/>
              <w:spacing w:before="5" w:after="5"/>
            </w:pPr>
            <w:r/>
            <w:r>
              <w:rPr>
                <w:rFonts w:ascii="Times New Roman" w:hAnsi="Times New Roman"/>
                <w:sz w:val="14"/>
              </w:rPr>
              <w:t>$2.40</w:t>
            </w:r>
          </w:p>
        </w:tc>
        <w:tc>
          <w:tcPr>
            <w:tcW w:w="540" w:type="dxa"/>
          </w:tcPr>
          <w:p>
            <w:pPr>
              <w:jc w:val="center"/>
              <w:spacing w:before="5" w:after="5"/>
            </w:pPr>
            <w:r/>
            <w:r>
              <w:rPr>
                <w:rFonts w:ascii="Times New Roman" w:hAnsi="Times New Roman"/>
                <w:sz w:val="14"/>
              </w:rPr>
              <w:t>84</w:t>
            </w:r>
          </w:p>
        </w:tc>
        <w:tc>
          <w:tcPr>
            <w:tcW w:w="540" w:type="dxa"/>
          </w:tcPr>
          <w:p>
            <w:pPr>
              <w:jc w:val="center"/>
              <w:spacing w:before="5" w:after="5"/>
            </w:pPr>
            <w:r/>
            <w:r>
              <w:rPr>
                <w:rFonts w:ascii="Times New Roman" w:hAnsi="Times New Roman"/>
                <w:sz w:val="14"/>
              </w:rPr>
              <w:t>II</w:t>
            </w:r>
          </w:p>
        </w:tc>
        <w:tc>
          <w:tcPr>
            <w:tcW w:w="540" w:type="dxa"/>
          </w:tcPr>
          <w:p>
            <w:pPr>
              <w:jc w:val="center"/>
              <w:spacing w:before="5" w:after="5"/>
            </w:pPr>
            <w:r/>
            <w:r>
              <w:rPr>
                <w:rFonts w:ascii="Times New Roman" w:hAnsi="Times New Roman"/>
                <w:sz w:val="14"/>
              </w:rPr>
              <w:t>-44</w:t>
            </w:r>
          </w:p>
        </w:tc>
      </w:tr>
      <w:tr>
        <w:tc>
          <w:tcPr>
            <w:tcBorders>
              <w:bottom w:val="double" w:sz="4" w:space="0" w:color="auto"/>
            </w:tcBorders>
            <w:tcW w:w="1800" w:type="dxa"/>
          </w:tcPr>
          <w:p>
            <w:pPr>
              <w:jc w:val="left"/>
              <w:spacing w:before="5" w:after="5"/>
            </w:pPr>
            <w:r/>
            <w:r>
              <w:rPr>
                <w:rFonts w:ascii="Times New Roman" w:hAnsi="Times New Roman"/>
                <w:sz w:val="14"/>
              </w:rPr>
              <w:t>Turkmenistan</w:t>
            </w:r>
          </w:p>
        </w:tc>
        <w:tc>
          <w:tcPr>
            <w:tcBorders>
              <w:bottom w:val="double" w:sz="4" w:space="0" w:color="auto"/>
            </w:tcBorders>
            <w:tcW w:w="900" w:type="dxa"/>
          </w:tcPr>
          <w:p>
            <w:pPr>
              <w:jc w:val="center"/>
              <w:spacing w:before="5" w:after="5"/>
            </w:pPr>
            <w:r/>
            <w:r>
              <w:rPr>
                <w:rFonts w:ascii="Times New Roman" w:hAnsi="Times New Roman"/>
                <w:sz w:val="14"/>
              </w:rPr>
              <w:t>$1.59</w:t>
            </w:r>
          </w:p>
        </w:tc>
        <w:tc>
          <w:tcPr>
            <w:tcBorders>
              <w:bottom w:val="double" w:sz="4" w:space="0" w:color="auto"/>
            </w:tcBorders>
            <w:tcW w:w="540" w:type="dxa"/>
          </w:tcPr>
          <w:p>
            <w:pPr>
              <w:jc w:val="center"/>
              <w:spacing w:before="5" w:after="5"/>
            </w:pPr>
            <w:r/>
            <w:r>
              <w:rPr>
                <w:rFonts w:ascii="Times New Roman" w:hAnsi="Times New Roman"/>
                <w:sz w:val="14"/>
              </w:rPr>
              <w:t>2</w:t>
            </w:r>
          </w:p>
        </w:tc>
        <w:tc>
          <w:tcPr>
            <w:tcBorders>
              <w:bottom w:val="double" w:sz="4" w:space="0" w:color="auto"/>
            </w:tcBorders>
            <w:tcW w:w="540" w:type="dxa"/>
          </w:tcPr>
          <w:p>
            <w:pPr>
              <w:jc w:val="center"/>
              <w:spacing w:before="5" w:after="5"/>
            </w:pPr>
            <w:r/>
            <w:r>
              <w:rPr>
                <w:rFonts w:ascii="Times New Roman" w:hAnsi="Times New Roman"/>
                <w:sz w:val="14"/>
              </w:rPr>
              <w:t>DD</w:t>
            </w:r>
          </w:p>
        </w:tc>
        <w:tc>
          <w:tcPr>
            <w:tcBorders>
              <w:bottom w:val="double" w:sz="4" w:space="0" w:color="auto"/>
            </w:tcBorders>
            <w:tcW w:w="900" w:type="dxa"/>
          </w:tcPr>
          <w:p>
            <w:pPr>
              <w:jc w:val="center"/>
              <w:spacing w:before="5" w:after="5"/>
            </w:pPr>
            <w:r/>
            <w:r>
              <w:rPr>
                <w:rFonts w:ascii="Times New Roman" w:hAnsi="Times New Roman"/>
                <w:sz w:val="14"/>
              </w:rPr>
              <w:t>$1.64</w:t>
            </w:r>
          </w:p>
        </w:tc>
        <w:tc>
          <w:tcPr>
            <w:tcBorders>
              <w:bottom w:val="double" w:sz="4" w:space="0" w:color="auto"/>
            </w:tcBorders>
            <w:tcW w:w="540" w:type="dxa"/>
          </w:tcPr>
          <w:p>
            <w:pPr>
              <w:jc w:val="center"/>
              <w:spacing w:before="5" w:after="5"/>
            </w:pPr>
            <w:r/>
            <w:r>
              <w:rPr>
                <w:rFonts w:ascii="Times New Roman" w:hAnsi="Times New Roman"/>
                <w:sz w:val="14"/>
              </w:rPr>
              <w:t>18</w:t>
            </w:r>
          </w:p>
        </w:tc>
        <w:tc>
          <w:tcPr>
            <w:tcBorders>
              <w:bottom w:val="double" w:sz="4" w:space="0" w:color="auto"/>
            </w:tcBorders>
            <w:tcW w:w="540" w:type="dxa"/>
          </w:tcPr>
          <w:p>
            <w:pPr>
              <w:jc w:val="center"/>
              <w:spacing w:before="5" w:after="5"/>
            </w:pPr>
            <w:r/>
            <w:r>
              <w:rPr>
                <w:rFonts w:ascii="Times New Roman" w:hAnsi="Times New Roman"/>
                <w:sz w:val="14"/>
              </w:rPr>
              <w:t>II</w:t>
            </w:r>
          </w:p>
        </w:tc>
        <w:tc>
          <w:tcPr>
            <w:tcBorders>
              <w:bottom w:val="double" w:sz="4" w:space="0" w:color="auto"/>
            </w:tcBorders>
            <w:tcW w:w="900" w:type="dxa"/>
          </w:tcPr>
          <w:p>
            <w:pPr>
              <w:jc w:val="center"/>
              <w:spacing w:before="5" w:after="5"/>
            </w:pPr>
            <w:r/>
            <w:r>
              <w:rPr>
                <w:rFonts w:ascii="Times New Roman" w:hAnsi="Times New Roman"/>
                <w:sz w:val="14"/>
              </w:rPr>
              <w:t>$2.64</w:t>
            </w:r>
          </w:p>
        </w:tc>
        <w:tc>
          <w:tcPr>
            <w:tcBorders>
              <w:bottom w:val="double" w:sz="4" w:space="0" w:color="auto"/>
            </w:tcBorders>
            <w:tcW w:w="450" w:type="dxa"/>
          </w:tcPr>
          <w:p>
            <w:pPr>
              <w:jc w:val="center"/>
              <w:spacing w:before="5" w:after="5"/>
            </w:pPr>
            <w:r/>
            <w:r>
              <w:rPr>
                <w:rFonts w:ascii="Times New Roman" w:hAnsi="Times New Roman"/>
                <w:sz w:val="14"/>
              </w:rPr>
              <w:t>0.22</w:t>
            </w:r>
          </w:p>
        </w:tc>
        <w:tc>
          <w:tcPr>
            <w:tcBorders>
              <w:bottom w:val="double" w:sz="4" w:space="0" w:color="auto"/>
            </w:tcBorders>
            <w:tcW w:w="540" w:type="dxa"/>
          </w:tcPr>
          <w:p>
            <w:pPr>
              <w:jc w:val="center"/>
              <w:spacing w:before="5" w:after="5"/>
            </w:pPr>
            <w:r/>
            <w:r>
              <w:rPr>
                <w:rFonts w:ascii="Times New Roman" w:hAnsi="Times New Roman"/>
                <w:sz w:val="14"/>
              </w:rPr>
              <w:t>85</w:t>
            </w:r>
          </w:p>
        </w:tc>
        <w:tc>
          <w:tcPr>
            <w:tcBorders>
              <w:bottom w:val="double" w:sz="4" w:space="0" w:color="auto"/>
            </w:tcBorders>
            <w:tcW w:w="540" w:type="dxa"/>
          </w:tcPr>
          <w:p>
            <w:pPr>
              <w:jc w:val="center"/>
              <w:spacing w:before="5" w:after="5"/>
            </w:pPr>
            <w:r/>
            <w:r>
              <w:rPr>
                <w:rFonts w:ascii="Times New Roman" w:hAnsi="Times New Roman"/>
                <w:sz w:val="14"/>
              </w:rPr>
              <w:t>II</w:t>
            </w:r>
          </w:p>
        </w:tc>
        <w:tc>
          <w:tcPr>
            <w:tcBorders>
              <w:bottom w:val="double" w:sz="4" w:space="0" w:color="auto"/>
            </w:tcBorders>
            <w:tcW w:w="900" w:type="dxa"/>
          </w:tcPr>
          <w:p>
            <w:pPr>
              <w:jc w:val="center"/>
              <w:spacing w:before="5" w:after="5"/>
            </w:pPr>
            <w:r/>
            <w:r>
              <w:rPr>
                <w:rFonts w:ascii="Times New Roman" w:hAnsi="Times New Roman"/>
                <w:sz w:val="14"/>
              </w:rPr>
              <w:t>$2.64</w:t>
            </w:r>
          </w:p>
        </w:tc>
        <w:tc>
          <w:tcPr>
            <w:tcBorders>
              <w:bottom w:val="double" w:sz="4" w:space="0" w:color="auto"/>
            </w:tcBorders>
            <w:tcW w:w="540" w:type="dxa"/>
          </w:tcPr>
          <w:p>
            <w:pPr>
              <w:jc w:val="center"/>
              <w:spacing w:before="5" w:after="5"/>
            </w:pPr>
            <w:r/>
            <w:r>
              <w:rPr>
                <w:rFonts w:ascii="Times New Roman" w:hAnsi="Times New Roman"/>
                <w:sz w:val="14"/>
              </w:rPr>
              <w:t>85</w:t>
            </w:r>
          </w:p>
        </w:tc>
        <w:tc>
          <w:tcPr>
            <w:tcBorders>
              <w:bottom w:val="double" w:sz="4" w:space="0" w:color="auto"/>
            </w:tcBorders>
            <w:tcW w:w="540" w:type="dxa"/>
          </w:tcPr>
          <w:p>
            <w:pPr>
              <w:jc w:val="center"/>
              <w:spacing w:before="5" w:after="5"/>
            </w:pPr>
            <w:r/>
            <w:r>
              <w:rPr>
                <w:rFonts w:ascii="Times New Roman" w:hAnsi="Times New Roman"/>
                <w:sz w:val="14"/>
              </w:rPr>
              <w:t>DD</w:t>
            </w:r>
          </w:p>
        </w:tc>
        <w:tc>
          <w:tcPr>
            <w:tcBorders>
              <w:bottom w:val="double" w:sz="4" w:space="0" w:color="auto"/>
            </w:tcBorders>
            <w:tcW w:w="540" w:type="dxa"/>
          </w:tcPr>
          <w:p>
            <w:pPr>
              <w:jc w:val="center"/>
              <w:spacing w:before="5" w:after="5"/>
            </w:pPr>
            <w:r/>
            <w:r>
              <w:rPr>
                <w:rFonts w:ascii="Times New Roman" w:hAnsi="Times New Roman"/>
                <w:sz w:val="14"/>
              </w:rPr>
              <w:t>-83</w:t>
            </w:r>
          </w:p>
        </w:tc>
      </w:tr>
    </w:tbl>
    <w:p>
      <w:pPr>
        <w:spacing w:before="0" w:after="120" w:line="240" w:lineRule="auto"/>
        <w:ind w:firstLine="0"/>
        <w:jc w:val="left"/>
        <w:sectPr>
          <w:pgSz w:w="15840" w:h="12240" w:orient="landscape"/>
          <w:pgMar w:top="1080" w:right="1080" w:bottom="1080" w:left="1080" w:header="720" w:footer="720"/>
        </w:sectPr>
      </w:pPr>
      <w:r>
        <w:rPr>
          <w:b/>
          <w:sz w:val="20"/>
        </w:rPr>
        <w:t xml:space="preserve">Notes: </w:t>
      </w:r>
      <w:r>
        <w:rPr>
          <w:sz w:val="20"/>
        </w:rPr>
        <w:t xml:space="preserve">See </w:t>
      </w:r>
      <w:hyperlink w:anchor="Table3" w:history="1">
        <w:r>
          <w:rPr>
            <w:sz w:val="20"/>
            <w:color w:val="1F3864"/>
            <w:u w:val="single"/>
          </w:rPr>
          <w:t xml:space="preserve">Table 3a</w:t>
        </w:r>
      </w:hyperlink>
      <w:r>
        <w:rPr>
          <w:sz w:val="20"/>
        </w:rPr>
        <w:t xml:space="preserve"> notes for column definitions. Countries sorted by specification (3) rank (ascending). Column (4) uses bilateral sovereignty premium λᵢⱼ from </w:t>
      </w:r>
      <w:bookmarkStart w:id="908" w:name="Eq2txt908"/>
      <w:hyperlink w:anchor="Eq2" w:history="1">
        <w:r>
          <w:rPr>
            <w:sz w:val="20"/>
            <w:color w:val="1F3864"/>
            <w:u w:val="single"/>
          </w:rPr>
          <w:t xml:space="preserve">equation (2)</w:t>
        </w:r>
      </w:hyperlink>
      <w:bookmarkEnd w:id="908"/>
      <w:r>
        <w:rPr>
          <w:sz w:val="20"/>
        </w:rPr>
        <w:t xml:space="preserve">.</w:t>
      </w:r>
    </w:p>
    <w:p>
      <w:pPr>
        <w:pStyle w:val="Heading1"/>
      </w:pPr>
      <w:r>
        <w:rPr>
          <w:rFonts w:ascii="Times New Roman" w:hAnsi="Times New Roman"/>
          <w:b/>
          <w:color w:val="2F5496"/>
          <w:sz w:val="28"/>
        </w:rPr>
        <w:t>Appendix B: Model Derivation</w:t>
      </w:r>
    </w:p>
    <w:p>
      <w:pPr>
        <w:spacing w:before="0" w:after="160"/>
        <w:ind w:firstLine="0"/>
        <w:jc w:val="both"/>
      </w:pPr>
      <w:r>
        <w:t>This appendix provides the full derivation of the capacity-constrained Ricardian model summarized in Sections 3–4.</w:t>
      </w:r>
    </w:p>
    <w:p>
      <w:pPr>
        <w:pStyle w:val="Heading2"/>
      </w:pPr>
      <w:r>
        <w:rPr>
          <w:rFonts w:ascii="Times New Roman" w:hAnsi="Times New Roman"/>
          <w:b w:val="0"/>
          <w:i/>
          <w:color w:val="2F5496"/>
          <w:sz w:val="24"/>
        </w:rPr>
        <w:t>B.1 Primitives</w:t>
      </w:r>
    </w:p>
    <w:p>
      <w:pPr>
        <w:spacing w:before="0" w:after="160"/>
        <w:ind w:firstLine="0"/>
        <w:jc w:val="both"/>
      </w:pPr>
      <w:r>
        <w:t xml:space="preserve">Each country </w:t>
      </w:r>
      <m:oMath>
        <m:r>
          <m:rPr>
            <m:sty m:val="i"/>
          </m:rPr>
          <w:rPr>
            <w:rFonts w:ascii="Cambria Math" w:hAnsi="Cambria Math"/>
          </w:rPr>
          <m:t xml:space="preserve">j</m:t>
        </m:r>
      </m:oMath>
      <w:r>
        <w:t xml:space="preserve"> is endowed with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(GPU-hours per period), representing the maximum volume of compute it can supply. Country </w:t>
      </w:r>
      <m:oMath>
        <m:r>
          <m:rPr>
            <m:sty m:val="i"/>
          </m:rPr>
          <w:rPr>
            <w:rFonts w:ascii="Cambria Math" w:hAnsi="Cambria Math"/>
          </w:rPr>
          <m:t xml:space="preserve">j</m:t>
        </m:r>
      </m:oMath>
      <w:r>
        <w:t xml:space="preserve"> faces unit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from </w:t>
      </w:r>
      <w:bookmarkStart w:id="909" w:name="Eq1txt909"/>
      <w:hyperlink w:anchor="Eq1" w:history="1">
        <w:r>
          <w:rPr>
            <w:color w:val="1F3864"/>
            <w:u w:val="single"/>
          </w:rPr>
          <w:t xml:space="preserve">equation (1)</w:t>
        </w:r>
      </w:hyperlink>
      <w:bookmarkEnd w:id="909"/>
      <w:r>
        <w:t xml:space="preserve">. On the demand side, total compute demand from country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from </w:t>
      </w:r>
      <w:bookmarkStart w:id="910" w:name="Eq4txt910"/>
      <w:hyperlink w:anchor="Eq4" w:history="1">
        <w:r>
          <w:rPr>
            <w:color w:val="1F3864"/>
            <w:u w:val="single"/>
          </w:rPr>
          <w:t xml:space="preserve">equation (4)</w:t>
        </w:r>
      </w:hyperlink>
      <w:bookmarkEnd w:id="910"/>
      <w:r>
        <w:t xml:space="preserv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Countries are ordered by cost: </w:t>
      </w:r>
      <m:oMath>
        <m:sSub>
          <m:sSubPr/>
          <m:e>
            <m:r>
              <m:rPr>
                <m:sty m:val="i"/>
              </m:rPr>
              <w:rPr>
                <w:rFonts w:ascii="Cambria Math" w:hAnsi="Cambria Math"/>
              </w:rPr>
              <m:t xml:space="preserve">c</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(2)</m:t>
            </m:r>
          </m:sub>
        </m:sSub>
        <m:r>
          <m:rPr>
            <m:sty m:val="p"/>
          </m:rPr>
          <w:rPr>
            <w:rFonts w:ascii="Cambria Math" w:hAnsi="Cambria Math"/>
          </w:rPr>
          <m:t xml:space="preserve"> ≤ … ≤ </m:t>
        </m:r>
        <m:sSub>
          <m:sSubPr/>
          <m:e>
            <m:r>
              <m:rPr>
                <m:sty m:val="i"/>
              </m:rPr>
              <w:rPr>
                <w:rFonts w:ascii="Cambria Math" w:hAnsi="Cambria Math"/>
              </w:rPr>
              <m:t xml:space="preserve">c</m:t>
            </m:r>
          </m:e>
          <m:sub>
            <m:r>
              <m:rPr>
                <m:sty m:val="i"/>
              </m:rPr>
              <w:rPr>
                <w:rFonts w:ascii="Cambria Math" w:hAnsi="Cambria Math"/>
              </w:rPr>
              <m:t xml:space="preserve">(N)</m:t>
            </m:r>
          </m:sub>
        </m:sSub>
      </m:oMath>
      <w:r>
        <w:t>.</w:t>
      </w:r>
    </w:p>
    <w:p>
      <w:pPr>
        <w:pStyle w:val="Heading2"/>
      </w:pPr>
      <w:r>
        <w:rPr>
          <w:rFonts w:ascii="Times New Roman" w:hAnsi="Times New Roman"/>
          <w:b w:val="0"/>
          <w:i/>
          <w:color w:val="2F5496"/>
          <w:sz w:val="24"/>
        </w:rPr>
        <w:t>B.2 The Training Market</w:t>
      </w:r>
    </w:p>
    <w:p>
      <w:pPr>
        <w:spacing w:before="0" w:after="40"/>
        <w:ind w:firstLine="0"/>
        <w:jc w:val="both"/>
      </w:pPr>
      <w:r>
        <w:t xml:space="preserve">Country </w:t>
      </w:r>
      <m:oMath>
        <m:r>
          <m:rPr>
            <m:sty m:val="i"/>
          </m:rPr>
          <w:rPr>
            <w:rFonts w:ascii="Cambria Math" w:hAnsi="Cambria Math"/>
          </w:rPr>
          <m:t xml:space="preserve">k</m:t>
        </m:r>
      </m:oMath>
      <w:r>
        <w:t xml:space="preserve"> imports training if and only if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the bilateral sovereignty premium from </w:t>
      </w:r>
      <w:bookmarkStart w:id="911" w:name="Eq2txt911"/>
      <w:hyperlink w:anchor="Eq2" w:history="1">
        <w:r>
          <w:rPr>
            <w:color w:val="1F3864"/>
            <w:u w:val="single"/>
          </w:rPr>
          <w:t xml:space="preserve">equation (2)</w:t>
        </w:r>
      </w:hyperlink>
      <w:bookmarkEnd w:id="911"/>
      <w:r>
        <w:t xml:space="preserve">. The set of training importers is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m:t>
        </m:r>
      </m:oMath>
      <w:r>
        <w:t xml:space="preserve"> and total training export demand is </w:t>
      </w:r>
      <m:oMath>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e>
        </m:nary>
      </m:oMath>
      <w:r>
        <w:t xml:space="preserve">.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defined by: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min { </m:t>
              </m:r>
              <m:r>
                <m:rPr>
                  <m:sty m:val="i"/>
                </m:rPr>
                <w:rPr>
                  <w:rFonts w:ascii="Cambria Math" w:hAnsi="Cambria Math"/>
                </w:rPr>
                <m:t xml:space="preserve">m</m:t>
              </m:r>
              <m:r>
                <m:rPr>
                  <m:sty m:val="p"/>
                </m:rPr>
                <w:rPr>
                  <w:rFonts w:ascii="Cambria Math" w:hAnsi="Cambria Math"/>
                </w:rPr>
                <m:t xml:space="preserve"> : </m:t>
              </m:r>
              <m:nary>
                <m:naryPr>
                  <m:chr m:val="∑"/>
                </m:naryPr>
                <m:sub>
                  <m:r>
                    <m:rPr>
                      <m:sty m:val="i"/>
                    </m:rPr>
                    <w:rPr>
                      <w:rFonts w:ascii="Cambria Math" w:hAnsi="Cambria Math"/>
                    </w:rPr>
                    <m:t xml:space="preserve">i</m:t>
                  </m:r>
                  <m:r>
                    <m:rPr>
                      <m:sty m:val="p"/>
                    </m:rPr>
                    <w:rPr>
                      <w:rFonts w:ascii="Cambria Math" w:hAnsi="Cambria Math"/>
                    </w:rPr>
                    <m:t xml:space="preserve"> = 1</m:t>
                  </m:r>
                </m:sub>
                <m:sup>
                  <m:r>
                    <m:rPr>
                      <m:sty m:val="i"/>
                    </m:rPr>
                    <w:rPr>
                      <w:rFonts w:ascii="Cambria Math" w:hAnsi="Cambria Math"/>
                    </w:rPr>
                    <m:t xml:space="preserve">m</m:t>
                  </m:r>
                </m:sup>
                <m:e>
                  <m:sSub>
                    <m:sSubPr/>
                    <m:e>
                      <m:r>
                        <m:rPr>
                          <m:sty m:val="i"/>
                        </m:rPr>
                        <w:rPr>
                          <w:rFonts w:ascii="Cambria Math" w:hAnsi="Cambria Math"/>
                        </w:rPr>
                        <m:t xml:space="preserve">K</m:t>
                      </m:r>
                    </m:e>
                    <m:sub>
                      <m:r>
                        <m:rPr>
                          <m:sty m:val="i"/>
                        </m:rPr>
                        <w:rPr>
                          <w:rFonts w:ascii="Cambria Math" w:hAnsi="Cambria Math"/>
                        </w:rPr>
                        <m:t xml:space="preserve">T,(i)</m:t>
                      </m:r>
                    </m:sub>
                  </m:sSub>
                </m:e>
              </m:nary>
              <m:r>
                <m:rPr>
                  <m:sty m:val="p"/>
                </m:rPr>
                <w:rPr>
                  <w:rFonts w:ascii="Cambria Math" w:hAnsi="Cambria Math"/>
                </w:rPr>
                <m:t xml:space="preserve"> ≥ </m:t>
              </m:r>
              <m:sSubSup>
                <m:sSubSupPr/>
                <m:e>
                  <m:r>
                    <m:rPr>
                      <m:sty m:val="i"/>
                    </m:rPr>
                    <w:rPr>
                      <w:rFonts w:ascii="Cambria Math" w:hAnsi="Cambria Math"/>
                    </w:rPr>
                    <m:t xml:space="preserve">Q</m:t>
                  </m:r>
                </m:e>
                <m:sub>
                  <m:r>
                    <m:rPr>
                      <m:sty m:val="i"/>
                    </m:rPr>
                    <w:rPr>
                      <w:rFonts w:ascii="Cambria Math" w:hAnsi="Cambria Math"/>
                    </w:rPr>
                    <m:t xml:space="preserve">T</m:t>
                  </m:r>
                </m:sub>
                <m:sup>
                  <m:r>
                    <m:rPr>
                      <m:sty m:val="i"/>
                    </m:rPr>
                    <w:rPr>
                      <w:rFonts w:ascii="Cambria Math" w:hAnsi="Cambria Math"/>
                    </w:rPr>
                    <m:t xml:space="preserve">X</m:t>
                  </m:r>
                </m:sup>
              </m:sSubSup>
              <m:r>
                <m:rPr>
                  <m:sty m:val="p"/>
                </m:rPr>
                <w:rPr>
                  <w:rFonts w:ascii="Cambria Math" w:hAnsi="Cambria Math"/>
                </w:rPr>
                <m:t xml:space="preserve"> }.</m:t>
              </m:r>
            </m:oMath>
          </w:p>
        </w:tc>
        <w:tc>
          <w:tcPr>
            <w:tcW w:w="1400" w:type="dxa"/>
            <w:vAlign w:val="center"/>
          </w:tcPr>
          <w:p>
            <w:pPr>
              <w:jc w:val="right"/>
              <w:spacing w:before="60" w:after="60"/>
            </w:pPr>
            <w:bookmarkStart w:id="1701" w:name="EqB.1"/>
            <w:r>
              <w:t>(B.1)</w:t>
            </w:r>
            <w:bookmarkEnd w:id="1701"/>
          </w:p>
        </w:tc>
      </w:tr>
    </w:tbl>
    <w:p>
      <w:pPr>
        <w:spacing w:before="0" w:after="160"/>
        <w:ind w:firstLine="0"/>
        <w:jc w:val="both"/>
      </w:pPr>
      <w:r>
        <w:t xml:space="preserve">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m:t>
            </m:r>
          </m:sub>
        </m:sSub>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oMath>
      <w:r>
        <w:t xml:space="preserve">. Training rent for country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w:t>
      </w:r>
    </w:p>
    <w:p>
      <w:pPr>
        <w:pStyle w:val="Heading2"/>
      </w:pPr>
      <w:r>
        <w:rPr>
          <w:rFonts w:ascii="Times New Roman" w:hAnsi="Times New Roman"/>
          <w:b w:val="0"/>
          <w:i/>
          <w:color w:val="2F5496"/>
          <w:sz w:val="24"/>
        </w:rPr>
        <w:t>B.3 The Inference Market</w:t>
      </w:r>
    </w:p>
    <w:p>
      <w:pPr>
        <w:spacing w:before="0" w:after="40"/>
        <w:ind w:firstLine="0"/>
        <w:jc w:val="both"/>
      </w:pPr>
      <w:r>
        <w:t xml:space="preserve">The feasible supplier set for demand center </w:t>
      </w:r>
      <m:oMath>
        <m:r>
          <m:rPr>
            <m:sty m:val="i"/>
          </m:rPr>
          <w:rPr>
            <w:rFonts w:ascii="Cambria Math" w:hAnsi="Cambria Math"/>
          </w:rPr>
          <m:t xml:space="preserve">k</m:t>
        </m:r>
      </m:oMath>
      <w:r>
        <w:t xml:space="preserve"> is </w:t>
      </w:r>
      <m:oMath>
        <m:r>
          <m:rPr>
            <m:sty m:val="i"/>
          </m:rPr>
          <w:rPr>
            <w:rFonts w:ascii="Cambria Math" w:hAnsi="Cambria Math"/>
          </w:rPr>
          <m:t xml:space="preserve">S</m:t>
        </m:r>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 </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r>
          <m:rPr>
            <m:sty m:val="p"/>
          </m:rPr>
          <w:rPr>
            <w:rFonts w:ascii="Cambria Math" w:hAnsi="Cambria Math"/>
          </w:rPr>
          <m:t xml:space="preserve"> }</m:t>
        </m:r>
      </m:oMath>
      <w:r>
        <w:t xml:space="preserve">. The marginal cost of delivering one effective unit of inference from </w:t>
      </w:r>
      <m:oMath>
        <m:r>
          <m:rPr>
            <m:sty m:val="i"/>
          </m:rPr>
          <w:rPr>
            <w:rFonts w:ascii="Cambria Math" w:hAnsi="Cambria Math"/>
          </w:rPr>
          <m:t xml:space="preserve">j</m:t>
        </m:r>
      </m:oMath>
      <w:r>
        <w:t xml:space="preserve"> to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MC</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1400" w:type="dxa"/>
            <w:vAlign w:val="center"/>
          </w:tcPr>
          <w:p>
            <w:pPr>
              <w:jc w:val="right"/>
              <w:spacing w:before="60" w:after="60"/>
            </w:pPr>
            <w:bookmarkStart w:id="1702" w:name="EqB.2"/>
            <w:r>
              <w:t>(B.2)</w:t>
            </w:r>
            <w:bookmarkEnd w:id="1702"/>
          </w:p>
        </w:tc>
      </w:tr>
    </w:tbl>
    <w:p>
      <w:pPr>
        <w:spacing w:before="0" w:after="160"/>
        <w:ind w:firstLine="0"/>
        <w:jc w:val="both"/>
      </w:pPr>
      <w:r>
        <w:t xml:space="preserve">The inference rent per GPU-hour allocated to serving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B.4 Capacity Allocation</w:t>
      </w:r>
    </w:p>
    <w:p>
      <w:pPr>
        <w:spacing w:before="0" w:after="40"/>
        <w:ind w:firstLine="0"/>
        <w:jc w:val="both"/>
      </w:pPr>
      <w:r>
        <w:t xml:space="preserve">Each GPU-hour is allocated to its highest-margin use. The margins per GPU-hour are: training exports </w:t>
      </w:r>
      <m:oMath>
        <m:sSub>
          <m:sSubPr/>
          <m:e>
            <m:r>
              <m:rPr>
                <m:sty m:val="i"/>
              </m:rPr>
              <w:rPr>
                <w:rFonts w:ascii="Cambria Math" w:hAnsi="Cambria Math"/>
              </w:rPr>
              <m:t xml:space="preserve">r</m:t>
            </m:r>
          </m:e>
          <m:sub>
            <m:r>
              <m:rPr>
                <m:sty m:val="i"/>
              </m:rPr>
              <w:rPr>
                <w:rFonts w:ascii="Cambria Math" w:hAnsi="Cambria Math"/>
              </w:rPr>
              <m:t xml:space="preserve">T</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inference exports to </w:t>
      </w:r>
      <m:oMath>
        <m:r>
          <m:rPr>
            <m:sty m:val="i"/>
          </m:rPr>
          <w:rPr>
            <w:rFonts w:ascii="Cambria Math" w:hAnsi="Cambria Math"/>
          </w:rPr>
          <m:t xml:space="preserve">k</m:t>
        </m:r>
      </m:oMath>
      <w:r>
        <w:t xml:space="preserve">: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Total rent from operating </w:t>
      </w:r>
      <m:oMath>
        <m:sSub>
          <m:sSubPr/>
          <m:e>
            <m:r>
              <m:rPr>
                <m:sty m:val="i"/>
              </m:rPr>
              <w:rPr>
                <w:rFonts w:ascii="Cambria Math" w:hAnsi="Cambria Math"/>
              </w:rPr>
              <m:t xml:space="preserve">K</m:t>
            </m:r>
          </m:e>
          <m:sub>
            <m:r>
              <m:rPr>
                <m:sty m:val="i"/>
              </m:rPr>
              <w:rPr>
                <w:rFonts w:ascii="Cambria Math" w:hAnsi="Cambria Math"/>
              </w:rPr>
              <m:t xml:space="preserve">j</m:t>
            </m:r>
          </m:sub>
        </m:sSub>
      </m:oMath>
      <w:r>
        <w:t xml:space="preserve"> GPU-hours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Π</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nary>
                <m:naryPr>
                  <m:chr m:val="∑"/>
                </m:naryPr>
                <m:sub>
                  <m:r>
                    <m:rPr>
                      <m:sty m:val="i"/>
                    </m:rPr>
                    <w:rPr>
                      <w:rFonts w:ascii="Cambria Math" w:hAnsi="Cambria Math"/>
                    </w:rPr>
                    <m:t xml:space="preserve">n</m:t>
                  </m:r>
                  <m:r>
                    <m:rPr>
                      <m:sty m:val="p"/>
                    </m:rPr>
                    <w:rPr>
                      <w:rFonts w:ascii="Cambria Math" w:hAnsi="Cambria Math"/>
                    </w:rPr>
                    <m:t xml:space="preserve"> = 1</m:t>
                  </m:r>
                </m:sub>
                <m:sup>
                  <m:sSub>
                    <m:sSubPr/>
                    <m:e>
                      <m:r>
                        <m:rPr>
                          <m:sty m:val="i"/>
                        </m:rPr>
                        <w:rPr>
                          <w:rFonts w:ascii="Cambria Math" w:hAnsi="Cambria Math"/>
                        </w:rPr>
                        <m:t xml:space="preserve">K</m:t>
                      </m:r>
                    </m:e>
                    <m:sub>
                      <m:r>
                        <m:rPr>
                          <m:sty m:val="i"/>
                        </m:rPr>
                        <w:rPr>
                          <w:rFonts w:ascii="Cambria Math" w:hAnsi="Cambria Math"/>
                        </w:rPr>
                        <m:t xml:space="preserve">j</m:t>
                      </m:r>
                    </m:sub>
                  </m:sSub>
                </m:sup>
                <m:e>
                  <m:sSubSup>
                    <m:sSubSupPr/>
                    <m:e>
                      <m:r>
                        <m:rPr>
                          <m:sty m:val="i"/>
                        </m:rPr>
                        <w:rPr>
                          <w:rFonts w:ascii="Cambria Math" w:hAnsi="Cambria Math"/>
                        </w:rPr>
                        <m:t xml:space="preserve">r</m:t>
                      </m:r>
                    </m:e>
                    <m:sub>
                      <m:r>
                        <m:rPr>
                          <m:sty m:val="i"/>
                        </m:rPr>
                        <w:rPr>
                          <w:rFonts w:ascii="Cambria Math" w:hAnsi="Cambria Math"/>
                        </w:rPr>
                        <m:t xml:space="preserve">j</m:t>
                      </m:r>
                    </m:sub>
                    <m:sup>
                      <m:r>
                        <m:rPr>
                          <m:sty m:val="i"/>
                        </m:rPr>
                        <w:rPr>
                          <w:rFonts w:ascii="Cambria Math" w:hAnsi="Cambria Math"/>
                        </w:rPr>
                        <m:t xml:space="preserve">(n)</m:t>
                      </m:r>
                    </m:sup>
                  </m:sSubSup>
                </m:e>
              </m:nary>
              <m:r>
                <m:rPr>
                  <m:sty m:val="p"/>
                </m:rPr>
                <w:rPr>
                  <w:rFonts w:ascii="Cambria Math" w:hAnsi="Cambria Math"/>
                </w:rPr>
                <m:t xml:space="preserve">,</m:t>
              </m:r>
            </m:oMath>
          </w:p>
        </w:tc>
        <w:tc>
          <w:tcPr>
            <w:tcW w:w="1400" w:type="dxa"/>
            <w:vAlign w:val="center"/>
          </w:tcPr>
          <w:p>
            <w:pPr>
              <w:jc w:val="right"/>
              <w:spacing w:before="60" w:after="60"/>
            </w:pPr>
            <w:bookmarkStart w:id="1703" w:name="EqB.3"/>
            <w:r>
              <w:t>(B.3)</w:t>
            </w:r>
            <w:bookmarkEnd w:id="1703"/>
          </w:p>
        </w:tc>
      </w:tr>
    </w:tbl>
    <w:p>
      <w:pPr>
        <w:spacing w:before="0" w:after="160"/>
        <w:ind w:firstLine="0"/>
        <w:jc w:val="both"/>
      </w:pPr>
      <w:r>
        <w:t xml:space="preserve">which is concave and piecewise linear in </w:t>
      </w:r>
      <m:oMath>
        <m:sSub>
          <m:sSubPr/>
          <m:e>
            <m:r>
              <m:rPr>
                <m:sty m:val="i"/>
              </m:rPr>
              <w:rPr>
                <w:rFonts w:ascii="Cambria Math" w:hAnsi="Cambria Math"/>
              </w:rPr>
              <m:t xml:space="preserve">K</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B.5 Equilibrium Definition and Existence</w:t>
      </w:r>
    </w:p>
    <w:p>
      <w:pPr>
        <w:spacing w:before="0" w:after="160"/>
        <w:ind w:firstLine="0"/>
        <w:jc w:val="both"/>
      </w:pPr>
      <w:r>
        <w:t xml:space="preserve">A competitive equilibrium consists of a training price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inference prices </w:t>
      </w:r>
      <m:oMath>
        <m:r>
          <m:rPr>
            <m:sty m:val="p"/>
          </m:rPr>
          <w:rPr>
            <w:rFonts w:ascii="Cambria Math" w:hAnsi="Cambria Math"/>
          </w:rPr>
          <m:t xml:space="preserve">{</m:t>
        </m:r>
        <m:sSubSup>
          <m:sSubSupPr/>
          <m:e>
            <m:r>
              <m:rPr>
                <m:sty m:val="i"/>
              </m:rPr>
              <w:rPr>
                <w:rFonts w:ascii="Cambria Math" w:hAnsi="Cambria Math"/>
              </w:rPr>
              <m:t xml:space="preserve">p</m:t>
            </m:r>
          </m:e>
          <m:sub>
            <m:r>
              <m:rPr>
                <m:sty m:val="i"/>
              </m:rPr>
              <w:rPr>
                <w:rFonts w:ascii="Cambria Math" w:hAnsi="Cambria Math"/>
              </w:rPr>
              <m:t xml:space="preserve">I</m:t>
            </m:r>
          </m:sub>
          <m:sup>
            <m:r>
              <m:rPr>
                <m:sty m:val="i"/>
              </m:rPr>
              <w:rPr>
                <w:rFonts w:ascii="Cambria Math" w:hAnsi="Cambria Math"/>
              </w:rPr>
              <m:t xml:space="preserve">f</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and capacity allocations </w:t>
      </w:r>
      <m:oMath>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m:t>
        </m:r>
      </m:oMath>
      <w:r>
        <w:t xml:space="preserve"> such that: (i) each GPU-hour is allocated to its highest-margin use; (ii) training and inference markets clear; (iii) all allocations are feasible (</w:t>
      </w:r>
      <m:oMath>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Existence follows from a fixed-point argument: the training supply curve is a step function with steps at </w:t>
      </w:r>
      <m:oMath>
        <m:sSub>
          <m:sSubPr/>
          <m:e>
            <m:r>
              <m:rPr>
                <m:sty m:val="i"/>
              </m:rPr>
              <w:rPr>
                <w:rFonts w:ascii="Cambria Math" w:hAnsi="Cambria Math"/>
              </w:rPr>
              <m:t xml:space="preserve">c</m:t>
            </m:r>
          </m:e>
          <m:sub>
            <m:r>
              <m:rPr>
                <m:sty m:val="i"/>
              </m:rPr>
              <w:rPr>
                <w:rFonts w:ascii="Cambria Math" w:hAnsi="Cambria Math"/>
              </w:rPr>
              <m:t xml:space="preserve">(i)</m:t>
            </m:r>
          </m:sub>
        </m:sSub>
      </m:oMath>
      <w:r>
        <w:t xml:space="preserve"> and widths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(i)</m:t>
            </m:r>
          </m:sub>
        </m:sSub>
      </m:oMath>
      <w:r>
        <w:t xml:space="preserve">; intersection with the demand curve pins down </w:t>
      </w:r>
      <m:oMath>
        <m:sSub>
          <m:sSubPr/>
          <m:e>
            <m:r>
              <m:rPr>
                <m:sty m:val="i"/>
              </m:rPr>
              <w:rPr>
                <w:rFonts w:ascii="Cambria Math" w:hAnsi="Cambria Math"/>
              </w:rPr>
              <m:t xml:space="preserve">p</m:t>
            </m:r>
          </m:e>
          <m:sub>
            <m:r>
              <m:rPr>
                <m:sty m:val="i"/>
              </m:rPr>
              <w:rPr>
                <w:rFonts w:ascii="Cambria Math" w:hAnsi="Cambria Math"/>
              </w:rPr>
              <m:t xml:space="preserve">T</m:t>
            </m:r>
          </m:sub>
        </m:sSub>
      </m:oMath>
      <w:r>
        <w:t>.</w:t>
      </w:r>
    </w:p>
    <w:p>
      <w:pPr>
        <w:pStyle w:val="Heading2"/>
      </w:pPr>
      <w:r>
        <w:rPr>
          <w:rFonts w:ascii="Times New Roman" w:hAnsi="Times New Roman"/>
          <w:b w:val="0"/>
          <w:i/>
          <w:color w:val="2F5496"/>
          <w:sz w:val="24"/>
        </w:rPr>
        <w:t>B.6 Welfare Cost of Sovereignty</w:t>
      </w:r>
    </w:p>
    <w:p>
      <w:pPr>
        <w:spacing w:before="0" w:after="40"/>
        <w:ind w:firstLine="0"/>
        <w:jc w:val="both"/>
      </w:pPr>
      <w:r>
        <w:t xml:space="preserve">The welfare cost has two components. For each importing country </w:t>
      </w:r>
      <m:oMath>
        <m:r>
          <m:rPr>
            <m:sty m:val="i"/>
          </m:rPr>
          <w:rPr>
            <w:rFonts w:ascii="Cambria Math" w:hAnsi="Cambria Math"/>
          </w:rPr>
          <m:t xml:space="preserve">k</m:t>
        </m:r>
      </m:oMath>
      <w:r>
        <w:t xml:space="preserve">, let </w:t>
      </w:r>
      <m:oMath>
        <m:r>
          <m:rPr>
            <m:sty m:val="i"/>
          </m:rPr>
          <w:rPr>
            <w:rFonts w:ascii="Cambria Math" w:hAnsi="Cambria Math"/>
          </w:rPr>
          <m:t xml:space="preserve">i</m:t>
        </m:r>
        <m:r>
          <m:rPr>
            <m:sty m:val="p"/>
          </m:rPr>
          <w:rPr>
            <w:rFonts w:ascii="Cambria Math" w:hAnsi="Cambria Math"/>
          </w:rPr>
          <m:t xml:space="preserve"> = </m:t>
        </m:r>
        <m:sSubSup>
          <m:sSubSupPr/>
          <m:e>
            <m:r>
              <m:rPr>
                <m:sty m:val="i"/>
              </m:rPr>
              <w:rPr>
                <w:rFonts w:ascii="Cambria Math" w:hAnsi="Cambria Math"/>
              </w:rPr>
              <m:t xml:space="preserve">j</m:t>
            </m:r>
          </m:e>
          <m:sub>
            <m:r>
              <m:rPr>
                <m:sty m:val="i"/>
              </m:rPr>
              <w:rPr>
                <w:rFonts w:ascii="Cambria Math" w:hAnsi="Cambria Math"/>
              </w:rPr>
              <m:t xml:space="preserve">k</m:t>
            </m:r>
          </m:sub>
          <m:sup>
            <m:r>
              <m:rPr>
                <m:sty m:val="i"/>
              </m:rPr>
              <w:rPr>
                <w:rFonts w:ascii="Cambria Math" w:hAnsi="Cambria Math"/>
              </w:rPr>
              <m:t xml:space="preserve">*</m:t>
            </m:r>
          </m:sup>
        </m:sSubSup>
      </m:oMath>
      <w:r>
        <w:t xml:space="preserve"> denote its equilibrium supplier (the seller minimizing delivered cost). Import markup:</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λ</m:t>
                      </m:r>
                    </m:e>
                    <m:sub>
                      <m:r>
                        <m:rPr>
                          <m:sty m:val="i"/>
                        </m:rPr>
                        <w:rPr>
                          <w:rFonts w:ascii="Cambria Math" w:hAnsi="Cambria Math"/>
                        </w:rPr>
                        <m:t xml:space="preserve">ik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e>
              </m:nary>
              <m:r>
                <m:rPr>
                  <m:sty m:val="p"/>
                </m:rPr>
                <w:rPr>
                  <w:rFonts w:ascii="Cambria Math" w:hAnsi="Cambria Math"/>
                </w:rPr>
                <m:t xml:space="preserve">.</m:t>
              </m:r>
            </m:oMath>
          </w:p>
        </w:tc>
        <w:tc>
          <w:tcPr>
            <w:tcW w:w="1400" w:type="dxa"/>
            <w:vAlign w:val="center"/>
          </w:tcPr>
          <w:p>
            <w:pPr>
              <w:jc w:val="right"/>
              <w:spacing w:before="60" w:after="60"/>
            </w:pPr>
            <w:bookmarkStart w:id="1704" w:name="EqB.4"/>
            <w:r>
              <w:t>(B.4)</w:t>
            </w:r>
            <w:bookmarkEnd w:id="1704"/>
          </w:p>
        </w:tc>
      </w:tr>
    </w:tbl>
    <w:p>
      <w:pPr>
        <w:spacing w:before="0" w:after="40"/>
        <w:ind w:firstLine="0"/>
        <w:jc w:val="both"/>
      </w:pPr>
      <w:r>
        <w:t>Allocative inefficiency: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10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alloc</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m:t>
                  </m:r>
                  <m:limLow>
                    <m:limLowPr/>
                    <m:e>
                      <m:r>
                        <m:rPr>
                          <m:sty m:val="p"/>
                        </m:rPr>
                        <w:rPr>
                          <w:rFonts w:ascii="Cambria Math" w:hAnsi="Cambria Math"/>
                        </w:rPr>
                        <m:t xml:space="preserve">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m:t>
                  </m:r>
                </m:e>
              </m:nary>
            </m:oMath>
          </w:p>
        </w:tc>
        <w:tc>
          <w:tcPr>
            <w:tcW w:w="1400" w:type="dxa"/>
            <w:vAlign w:val="center"/>
          </w:tcPr>
          <w:p>
            <w:pPr>
              <w:jc w:val="right"/>
              <w:spacing w:before="60" w:after="60"/>
            </w:pPr>
            <w:bookmarkStart w:id="1705" w:name="EqB.5"/>
            <w:r>
              <w:t>(B.5)</w:t>
            </w:r>
            <w:bookmarkEnd w:id="1705"/>
          </w:p>
        </w:tc>
      </w:tr>
    </w:tbl>
    <w:p>
      <w:pPr>
        <w:spacing w:before="0" w:after="160"/>
        <w:ind w:firstLine="0"/>
        <w:jc w:val="both"/>
      </w:pPr>
      <w:r>
        <w:t xml:space="preserve">Total: </w:t>
      </w:r>
      <m:oMath>
        <m:r>
          <m:rPr>
            <m:sty m:val="p"/>
          </m:rPr>
          <w:rPr>
            <w:rFonts w:ascii="Cambria Math" w:hAnsi="Cambria Math"/>
          </w:rPr>
          <m:t xml:space="preserve">DWL(</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alloc</m:t>
            </m:r>
          </m:sub>
        </m:sSub>
      </m:oMath>
      <w:r>
        <w:t xml:space="preserve">. Under capacity constraints, both components are smaller because the higher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narrows the gap between domestic and import costs.</w:t>
      </w:r>
    </w:p>
    <w:p>
      <w:pPr>
        <w:spacing w:before="0" w:after="0"/>
      </w:pPr>
      <w:r>
        <w:br w:type="page"/>
      </w:r>
    </w:p>
    <w:p>
      <w:pPr>
        <w:pStyle w:val="Heading1"/>
      </w:pPr>
      <w:r>
        <w:rPr>
          <w:rFonts w:ascii="Times New Roman" w:hAnsi="Times New Roman"/>
          <w:b/>
          <w:color w:val="2F5496"/>
          <w:sz w:val="28"/>
        </w:rPr>
        <w:t>Appendix C: Sensitivity Analysis</w:t>
      </w:r>
    </w:p>
    <w:p>
      <w:pPr>
        <w:spacing w:before="0" w:after="160"/>
        <w:ind w:firstLine="0"/>
        <w:jc w:val="both"/>
      </w:pPr>
      <w:hyperlink w:anchor="TableA3" w:history="1">
        <w:r>
          <w:rPr>
            <w:color w:val="1F3864"/>
            <w:u w:val="single"/>
          </w:rPr>
          <w:t xml:space="preserve">Table A3</w:t>
        </w:r>
      </w:hyperlink>
      <w:r>
        <w:t xml:space="preserve"> reports equilibrium outcomes under five robustness specifications. The baseline (Form B) applies the efficiency adjustment only to non-hardware costs, with equal weight on governance and grid reliability. The table varies the governance weight, hardware cost share, and functional form.</w:t>
      </w:r>
    </w:p>
    <w:p>
      <w:pPr>
        <w:spacing w:before="0" w:after="60"/>
        <w:ind w:firstLine="0"/>
        <w:jc w:val="both"/>
      </w:pPr>
      <w:bookmarkStart w:id="142" w:name="TableA3"/>
      <w:hyperlink w:anchor="TableA3txt" w:history="1">
        <w:r>
          <w:rPr>
            <w:b/>
            <w:sz w:val="20"/>
            <w:color w:val="1F3864"/>
            <w:u w:val="single"/>
          </w:rPr>
          <w:t>Table A3</w:t>
        </w:r>
      </w:hyperlink>
      <w:bookmarkEnd w:id="142"/>
      <w:r>
        <w:rPr>
          <w:b/>
          <w:sz w:val="20"/>
        </w:rPr>
        <w:t>. Sensitivity of efficiency-adjusted rankings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40"/>
        <w:gridCol w:w="1440"/>
        <w:gridCol w:w="1440"/>
        <w:gridCol w:w="1440"/>
        <w:gridCol w:w="1440"/>
        <w:gridCol w:w="1440"/>
      </w:tblGrid>
      <w:tr>
        <w:tc>
          <w:tcPr>
            <w:tcBorders>
              <w:top w:val="single" w:sz="4" w:space="0" w:color="auto"/>
              <w:bottom w:val="single" w:sz="4" w:space="0" w:color="auto"/>
            </w:tcBorders>
            <w:tcW w:w="2000" w:type="dxa"/>
          </w:tcPr>
          <w:p>
            <w:pPr>
              <w:jc w:val="center"/>
              <w:spacing w:before="10" w:after="10"/>
            </w:pPr>
            <w:r/>
            <w:r>
              <w:rPr>
                <w:b/>
                <w:sz w:val="16"/>
              </w:rPr>
              <w:t>Scenario</w:t>
            </w:r>
          </w:p>
        </w:tc>
        <w:tc>
          <w:tcPr>
            <w:tcBorders>
              <w:top w:val="single" w:sz="4" w:space="0" w:color="auto"/>
              <w:bottom w:val="single" w:sz="4" w:space="0" w:color="auto"/>
            </w:tcBorders>
            <w:tcW w:w="2200" w:type="dxa"/>
          </w:tcPr>
          <w:p>
            <w:pPr>
              <w:jc w:val="center"/>
              <w:spacing w:before="10" w:after="10"/>
            </w:pPr>
            <w:r/>
            <w:r>
              <w:rPr>
                <w:b/>
                <w:sz w:val="16"/>
              </w:rPr>
              <w:t>Parameter change</w:t>
            </w:r>
          </w:p>
        </w:tc>
        <w:tc>
          <w:tcPr>
            <w:tcBorders>
              <w:top w:val="single" w:sz="4" w:space="0" w:color="auto"/>
              <w:bottom w:val="single" w:sz="4" w:space="0" w:color="auto"/>
            </w:tcBorders>
            <w:tcW w:w="700" w:type="dxa"/>
          </w:tcPr>
          <w:p>
            <w:pPr>
              <w:jc w:val="center"/>
              <w:spacing w:before="10" w:after="10"/>
            </w:pPr>
            <w:r/>
            <w:r>
              <w:rPr>
                <w:b/>
                <w:sz w:val="16"/>
              </w:rPr>
              <w:t>Dev top 15</w:t>
            </w:r>
          </w:p>
        </w:tc>
        <w:tc>
          <w:tcPr>
            <w:tcBorders>
              <w:top w:val="single" w:sz="4" w:space="0" w:color="auto"/>
              <w:bottom w:val="single" w:sz="4" w:space="0" w:color="auto"/>
            </w:tcBorders>
            <w:tcW w:w="700" w:type="dxa"/>
          </w:tcPr>
          <w:p>
            <w:pPr>
              <w:jc w:val="center"/>
              <w:spacing w:before="10" w:after="10"/>
            </w:pPr>
            <w:r/>
            <w:r>
              <w:rPr>
                <w:b/>
                <w:sz w:val="16"/>
              </w:rPr>
              <w:t>Max markup</w:t>
            </w:r>
          </w:p>
        </w:tc>
        <w:tc>
          <w:tcPr>
            <w:tcBorders>
              <w:top w:val="single" w:sz="4" w:space="0" w:color="auto"/>
              <w:bottom w:val="single" w:sz="4" w:space="0" w:color="auto"/>
            </w:tcBorders>
            <w:tcW w:w="900" w:type="dxa"/>
          </w:tcPr>
          <w:p>
            <w:pPr>
              <w:jc w:val="center"/>
              <w:spacing w:before="10" w:after="10"/>
            </w:pPr>
            <w:r/>
            <w:r>
              <w:rPr>
                <w:b/>
                <w:sz w:val="16"/>
              </w:rPr>
              <w:t>Spearman ρ vs cr</w:t>
            </w:r>
          </w:p>
        </w:tc>
        <w:tc>
          <w:tcPr>
            <w:tcBorders>
              <w:top w:val="single" w:sz="4" w:space="0" w:color="auto"/>
              <w:bottom w:val="single" w:sz="4" w:space="0" w:color="auto"/>
            </w:tcBorders>
            <w:tcW w:w="2300" w:type="dxa"/>
          </w:tcPr>
          <w:p>
            <w:pPr>
              <w:jc w:val="center"/>
              <w:spacing w:before="10" w:after="10"/>
            </w:pPr>
            <w:r/>
            <w:r>
              <w:rPr>
                <w:b/>
                <w:sz w:val="16"/>
              </w:rPr>
              <w:t>Top 5</w:t>
            </w:r>
          </w:p>
        </w:tc>
      </w:tr>
      <w:tr>
        <w:tc>
          <w:tcPr>
            <w:tcW w:w="2000" w:type="dxa"/>
          </w:tcPr>
          <w:p>
            <w:pPr>
              <w:spacing w:before="10" w:after="10"/>
            </w:pPr>
            <w:r/>
            <w:r>
              <w:rPr>
                <w:sz w:val="16"/>
              </w:rPr>
              <w:t>Baseline (ω=0.50, ρ=$1.36, Form B)</w:t>
            </w:r>
          </w:p>
        </w:tc>
        <w:tc>
          <w:tcPr>
            <w:tcW w:w="2200" w:type="dxa"/>
          </w:tcPr>
          <w:p>
            <w:pPr>
              <w:spacing w:before="10" w:after="10"/>
            </w:pPr>
            <w:r/>
            <w:r>
              <w:rPr>
                <w:sz w:val="16"/>
              </w:rPr>
              <w:t>ω=0.50, ρ=$1.36</w:t>
            </w:r>
          </w:p>
        </w:tc>
        <w:tc>
          <w:tcPr>
            <w:tcW w:w="700" w:type="dxa"/>
          </w:tcPr>
          <w:p>
            <w:pPr>
              <w:jc w:val="right"/>
              <w:spacing w:before="10" w:after="10"/>
            </w:pPr>
            <w:r/>
            <w:r>
              <w:rPr>
                <w:sz w:val="16"/>
              </w:rPr>
              <w:t>0</w:t>
            </w:r>
          </w:p>
        </w:tc>
        <w:tc>
          <w:tcPr>
            <w:tcW w:w="700" w:type="dxa"/>
          </w:tcPr>
          <w:p>
            <w:pPr>
              <w:jc w:val="right"/>
              <w:spacing w:before="10" w:after="10"/>
            </w:pPr>
            <w:r/>
            <w:r>
              <w:rPr>
                <w:sz w:val="16"/>
              </w:rPr>
              <w:t>60.8%</w:t>
            </w:r>
          </w:p>
        </w:tc>
        <w:tc>
          <w:tcPr>
            <w:tcW w:w="900" w:type="dxa"/>
          </w:tcPr>
          <w:p>
            <w:pPr>
              <w:jc w:val="right"/>
              <w:spacing w:before="10" w:after="10"/>
            </w:pPr>
            <w:r/>
            <w:r>
              <w:rPr>
                <w:sz w:val="16"/>
              </w:rPr>
              <w:t>-0.18</w:t>
            </w:r>
          </w:p>
        </w:tc>
        <w:tc>
          <w:tcPr>
            <w:tcW w:w="2300" w:type="dxa"/>
          </w:tcPr>
          <w:p>
            <w:pPr>
              <w:jc w:val="right"/>
              <w:spacing w:before="10" w:after="10"/>
            </w:pPr>
            <w:r/>
            <w:r>
              <w:rPr>
                <w:sz w:val="16"/>
              </w:rPr>
              <w:t>Canada, Norway, Finland, Sweden, Iceland</w:t>
            </w:r>
          </w:p>
        </w:tc>
      </w:tr>
      <w:tr>
        <w:tc>
          <w:tcPr>
            <w:tcW w:w="2000" w:type="dxa"/>
          </w:tcPr>
          <w:p>
            <w:pPr>
              <w:spacing w:before="10" w:after="10"/>
            </w:pPr>
            <w:r/>
            <w:r>
              <w:rPr>
                <w:sz w:val="16"/>
              </w:rPr>
              <w:t>High governance weight (ω=0.85)</w:t>
            </w:r>
          </w:p>
        </w:tc>
        <w:tc>
          <w:tcPr>
            <w:tcW w:w="2200" w:type="dxa"/>
          </w:tcPr>
          <w:p>
            <w:pPr>
              <w:spacing w:before="10" w:after="10"/>
            </w:pPr>
            <w:r/>
            <w:r>
              <w:rPr>
                <w:sz w:val="16"/>
              </w:rPr>
              <w:t>ω=0.85</w:t>
            </w:r>
          </w:p>
        </w:tc>
        <w:tc>
          <w:tcPr>
            <w:tcW w:w="700" w:type="dxa"/>
          </w:tcPr>
          <w:p>
            <w:pPr>
              <w:jc w:val="right"/>
              <w:spacing w:before="10" w:after="10"/>
            </w:pPr>
            <w:r/>
            <w:r>
              <w:rPr>
                <w:sz w:val="16"/>
              </w:rPr>
              <w:t>0</w:t>
            </w:r>
          </w:p>
        </w:tc>
        <w:tc>
          <w:tcPr>
            <w:tcW w:w="700" w:type="dxa"/>
          </w:tcPr>
          <w:p>
            <w:pPr>
              <w:jc w:val="right"/>
              <w:spacing w:before="10" w:after="10"/>
            </w:pPr>
            <w:r/>
            <w:r>
              <w:rPr>
                <w:sz w:val="16"/>
              </w:rPr>
              <w:t>165.5%</w:t>
            </w:r>
          </w:p>
        </w:tc>
        <w:tc>
          <w:tcPr>
            <w:tcW w:w="900" w:type="dxa"/>
          </w:tcPr>
          <w:p>
            <w:pPr>
              <w:jc w:val="right"/>
              <w:spacing w:before="10" w:after="10"/>
            </w:pPr>
            <w:r/>
            <w:r>
              <w:rPr>
                <w:sz w:val="16"/>
              </w:rPr>
              <w:t>-0.26</w:t>
            </w:r>
          </w:p>
        </w:tc>
        <w:tc>
          <w:tcPr>
            <w:tcW w:w="2300" w:type="dxa"/>
          </w:tcPr>
          <w:p>
            <w:pPr>
              <w:jc w:val="right"/>
              <w:spacing w:before="10" w:after="10"/>
            </w:pPr>
            <w:r/>
            <w:r>
              <w:rPr>
                <w:sz w:val="16"/>
              </w:rPr>
              <w:t>Canada, Finland, Norway, Sweden, Iceland</w:t>
            </w:r>
          </w:p>
        </w:tc>
      </w:tr>
      <w:tr>
        <w:tc>
          <w:tcPr>
            <w:tcW w:w="2000" w:type="dxa"/>
          </w:tcPr>
          <w:p>
            <w:pPr>
              <w:spacing w:before="10" w:after="10"/>
            </w:pPr>
            <w:r/>
            <w:r>
              <w:rPr>
                <w:sz w:val="16"/>
              </w:rPr>
              <w:t>Low hardware share (ρ=$1.30)</w:t>
            </w:r>
          </w:p>
        </w:tc>
        <w:tc>
          <w:tcPr>
            <w:tcW w:w="2200" w:type="dxa"/>
          </w:tcPr>
          <w:p>
            <w:pPr>
              <w:spacing w:before="10" w:after="10"/>
            </w:pPr>
            <w:r/>
            <w:r>
              <w:rPr>
                <w:sz w:val="16"/>
              </w:rPr>
              <w:t>ρ=$1.30 (−4.4%)</w:t>
            </w:r>
          </w:p>
        </w:tc>
        <w:tc>
          <w:tcPr>
            <w:tcW w:w="700" w:type="dxa"/>
          </w:tcPr>
          <w:p>
            <w:pPr>
              <w:jc w:val="right"/>
              <w:spacing w:before="10" w:after="10"/>
            </w:pPr>
            <w:r/>
            <w:r>
              <w:rPr>
                <w:sz w:val="16"/>
              </w:rPr>
              <w:t>0</w:t>
            </w:r>
          </w:p>
        </w:tc>
        <w:tc>
          <w:tcPr>
            <w:tcW w:w="700" w:type="dxa"/>
          </w:tcPr>
          <w:p>
            <w:pPr>
              <w:jc w:val="right"/>
              <w:spacing w:before="10" w:after="10"/>
            </w:pPr>
            <w:r/>
            <w:r>
              <w:rPr>
                <w:sz w:val="16"/>
              </w:rPr>
              <w:t>63.0%</w:t>
            </w:r>
          </w:p>
        </w:tc>
        <w:tc>
          <w:tcPr>
            <w:tcW w:w="900" w:type="dxa"/>
          </w:tcPr>
          <w:p>
            <w:pPr>
              <w:jc w:val="right"/>
              <w:spacing w:before="10" w:after="10"/>
            </w:pPr>
            <w:r/>
            <w:r>
              <w:rPr>
                <w:sz w:val="16"/>
              </w:rPr>
              <w:t>-0.18</w:t>
            </w:r>
          </w:p>
        </w:tc>
        <w:tc>
          <w:tcPr>
            <w:tcW w:w="2300" w:type="dxa"/>
          </w:tcPr>
          <w:p>
            <w:pPr>
              <w:jc w:val="right"/>
              <w:spacing w:before="10" w:after="10"/>
            </w:pPr>
            <w:r/>
            <w:r>
              <w:rPr>
                <w:sz w:val="16"/>
              </w:rPr>
              <w:t>Canada, Norway, Finland, Sweden, Iceland</w:t>
            </w:r>
          </w:p>
        </w:tc>
      </w:tr>
      <w:tr>
        <w:tc>
          <w:tcPr>
            <w:tcW w:w="2000" w:type="dxa"/>
          </w:tcPr>
          <w:p>
            <w:pPr>
              <w:spacing w:before="10" w:after="10"/>
            </w:pPr>
            <w:r/>
            <w:r>
              <w:rPr>
                <w:sz w:val="16"/>
              </w:rPr>
              <w:t>High hardware share (ρ=$1.42)</w:t>
            </w:r>
          </w:p>
        </w:tc>
        <w:tc>
          <w:tcPr>
            <w:tcW w:w="2200" w:type="dxa"/>
          </w:tcPr>
          <w:p>
            <w:pPr>
              <w:spacing w:before="10" w:after="10"/>
            </w:pPr>
            <w:r/>
            <w:r>
              <w:rPr>
                <w:sz w:val="16"/>
              </w:rPr>
              <w:t>ρ=$1.42 (+4.4%)</w:t>
            </w:r>
          </w:p>
        </w:tc>
        <w:tc>
          <w:tcPr>
            <w:tcW w:w="700" w:type="dxa"/>
          </w:tcPr>
          <w:p>
            <w:pPr>
              <w:jc w:val="right"/>
              <w:spacing w:before="10" w:after="10"/>
            </w:pPr>
            <w:r/>
            <w:r>
              <w:rPr>
                <w:sz w:val="16"/>
              </w:rPr>
              <w:t>0</w:t>
            </w:r>
          </w:p>
        </w:tc>
        <w:tc>
          <w:tcPr>
            <w:tcW w:w="700" w:type="dxa"/>
          </w:tcPr>
          <w:p>
            <w:pPr>
              <w:jc w:val="right"/>
              <w:spacing w:before="10" w:after="10"/>
            </w:pPr>
            <w:r/>
            <w:r>
              <w:rPr>
                <w:sz w:val="16"/>
              </w:rPr>
              <w:t>58.5%</w:t>
            </w:r>
          </w:p>
        </w:tc>
        <w:tc>
          <w:tcPr>
            <w:tcW w:w="900" w:type="dxa"/>
          </w:tcPr>
          <w:p>
            <w:pPr>
              <w:jc w:val="right"/>
              <w:spacing w:before="10" w:after="10"/>
            </w:pPr>
            <w:r/>
            <w:r>
              <w:rPr>
                <w:sz w:val="16"/>
              </w:rPr>
              <w:t>-0.18</w:t>
            </w:r>
          </w:p>
        </w:tc>
        <w:tc>
          <w:tcPr>
            <w:tcW w:w="2300" w:type="dxa"/>
          </w:tcPr>
          <w:p>
            <w:pPr>
              <w:jc w:val="right"/>
              <w:spacing w:before="10" w:after="10"/>
            </w:pPr>
            <w:r/>
            <w:r>
              <w:rPr>
                <w:sz w:val="16"/>
              </w:rPr>
              <w:t>Canada, Norway, Finland, Sweden, Iceland</w:t>
            </w:r>
          </w:p>
        </w:tc>
      </w:tr>
      <w:tr>
        <w:tc>
          <w:tcPr>
            <w:tcBorders>
              <w:bottom w:val="double" w:sz="4" w:space="0" w:color="auto"/>
            </w:tcBorders>
            <w:tcW w:w="2000" w:type="dxa"/>
          </w:tcPr>
          <w:p>
            <w:pPr>
              <w:spacing w:before="10" w:after="10"/>
            </w:pPr>
            <w:r/>
            <w:r>
              <w:rPr>
                <w:sz w:val="16"/>
              </w:rPr>
              <w:t>Form A (v26 specification, ω=0.85)</w:t>
            </w:r>
          </w:p>
        </w:tc>
        <w:tc>
          <w:tcPr>
            <w:tcBorders>
              <w:bottom w:val="double" w:sz="4" w:space="0" w:color="auto"/>
            </w:tcBorders>
            <w:tcW w:w="2200" w:type="dxa"/>
          </w:tcPr>
          <w:p>
            <w:pPr>
              <w:spacing w:before="10" w:after="10"/>
            </w:pPr>
            <w:r/>
            <w:r>
              <w:rPr>
                <w:sz w:val="16"/>
              </w:rPr>
              <w:t>c_adj = c_cr / ξ_eff, ω=0.85</w:t>
            </w:r>
          </w:p>
        </w:tc>
        <w:tc>
          <w:tcPr>
            <w:tcBorders>
              <w:bottom w:val="double" w:sz="4" w:space="0" w:color="auto"/>
            </w:tcBorders>
            <w:tcW w:w="700" w:type="dxa"/>
          </w:tcPr>
          <w:p>
            <w:pPr>
              <w:jc w:val="right"/>
              <w:spacing w:before="10" w:after="10"/>
            </w:pPr>
            <w:r/>
            <w:r>
              <w:rPr>
                <w:sz w:val="16"/>
              </w:rPr>
              <w:t>0</w:t>
            </w:r>
          </w:p>
        </w:tc>
        <w:tc>
          <w:tcPr>
            <w:tcBorders>
              <w:bottom w:val="double" w:sz="4" w:space="0" w:color="auto"/>
            </w:tcBorders>
            <w:tcW w:w="700" w:type="dxa"/>
          </w:tcPr>
          <w:p>
            <w:pPr>
              <w:jc w:val="right"/>
              <w:spacing w:before="10" w:after="10"/>
            </w:pPr>
            <w:r/>
            <w:r>
              <w:rPr>
                <w:sz w:val="16"/>
              </w:rPr>
              <w:t>951.8%</w:t>
            </w:r>
          </w:p>
        </w:tc>
        <w:tc>
          <w:tcPr>
            <w:tcBorders>
              <w:bottom w:val="double" w:sz="4" w:space="0" w:color="auto"/>
            </w:tcBorders>
            <w:tcW w:w="900" w:type="dxa"/>
          </w:tcPr>
          <w:p>
            <w:pPr>
              <w:jc w:val="right"/>
              <w:spacing w:before="10" w:after="10"/>
            </w:pPr>
            <w:r/>
            <w:r>
              <w:rPr>
                <w:sz w:val="16"/>
              </w:rPr>
              <w:t>-0.44</w:t>
            </w:r>
          </w:p>
        </w:tc>
        <w:tc>
          <w:tcPr>
            <w:tcBorders>
              <w:bottom w:val="double" w:sz="4" w:space="0" w:color="auto"/>
            </w:tcBorders>
            <w:tcW w:w="2300" w:type="dxa"/>
          </w:tcPr>
          <w:p>
            <w:pPr>
              <w:jc w:val="right"/>
              <w:spacing w:before="10" w:after="10"/>
            </w:pPr>
            <w:r/>
            <w:r>
              <w:rPr>
                <w:sz w:val="16"/>
              </w:rPr>
              <w:t>Finland, Norway, Denmark, Iceland, Luxembourg</w:t>
            </w:r>
          </w:p>
        </w:tc>
      </w:tr>
    </w:tbl>
    <w:p>
      <w:pPr>
        <w:spacing w:before="0" w:after="0" w:line="240" w:lineRule="auto"/>
        <w:ind w:firstLine="0"/>
        <w:jc w:val="left"/>
      </w:pPr>
      <w:r>
        <w:rPr>
          <w:sz w:val="20"/>
        </w:rPr>
        <w:t>Notes: Each row applies Form B (c_adj = ρ + (c_cr − ρ) / ξ_eff) unless stated otherwise. Dev top 15 = number of developing countries in top 15 under efficiency-adjusted ranking. Max markup = maximum percentage increase in adjusted cost over cost-recovery cost. Spearman ρ vs cr = rank correlation between efficiency-adjusted and cost-recovery rankings.</w:t>
      </w:r>
    </w:p>
    <w:p>
      <w:pPr>
        <w:spacing w:before="0" w:after="0"/>
      </w:pPr>
      <w:r>
        <w:br w:type="page"/>
      </w:r>
    </w:p>
    <w:p>
      <w:pPr>
        <w:pStyle w:val="Heading1"/>
      </w:pPr>
      <w:r>
        <w:rPr>
          <w:rFonts w:ascii="Times New Roman" w:hAnsi="Times New Roman"/>
          <w:b/>
          <w:color w:val="2F5496"/>
          <w:sz w:val="28"/>
        </w:rPr>
        <w:t>Appendix D: Data Center Investment Model — Kyrgyzstan</w:t>
      </w:r>
    </w:p>
    <w:p>
      <w:pPr>
        <w:spacing w:before="0" w:after="160"/>
        <w:ind w:firstLine="0"/>
        <w:jc w:val="both"/>
      </w:pPr>
      <w:bookmarkStart w:id="145" w:name="TableA4txt"/>
      <w:bookmarkEnd w:id="145"/>
      <w:bookmarkStart w:id="147" w:name="TableA5txt"/>
      <w:bookmarkEnd w:id="147"/>
      <w:bookmarkStart w:id="149" w:name="TableA6txt"/>
      <w:bookmarkEnd w:id="149"/>
      <w:r>
        <w:t>This appendix presents a 15-year discounted cash flow (DCF) analysis for a hypothetical 40 MW data center in Kyrgyzstan, the lowest-cost seller in the cost-recovery-adjusted calibration. All parameters are drawn from the calibration or from industry benchmarks.</w:t>
      </w:r>
    </w:p>
    <w:p>
      <w:pPr>
        <w:spacing w:before="0" w:after="60"/>
        <w:ind w:firstLine="0"/>
        <w:jc w:val="both"/>
      </w:pPr>
      <w:bookmarkStart w:id="144" w:name="TableA4"/>
      <w:hyperlink w:anchor="TableA4txt" w:history="1">
        <w:r>
          <w:rPr>
            <w:b/>
            <w:sz w:val="20"/>
            <w:color w:val="1F3864"/>
            <w:u w:val="single"/>
          </w:rPr>
          <w:t>Table A4</w:t>
        </w:r>
      </w:hyperlink>
      <w:bookmarkEnd w:id="144"/>
      <w:r>
        <w:rPr>
          <w:b/>
          <w:sz w:val="20"/>
        </w:rPr>
        <w:t>. Facility specification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Borders>
              <w:top w:val="single" w:sz="4" w:space="0" w:color="auto"/>
              <w:bottom w:val="single" w:sz="4" w:space="0" w:color="auto"/>
            </w:tcBorders>
            <w:tcW w:w="3500" w:type="dxa"/>
          </w:tcPr>
          <w:p>
            <w:pPr>
              <w:jc w:val="center"/>
              <w:spacing w:before="10" w:after="10"/>
            </w:pPr>
            <w:r/>
            <w:r>
              <w:rPr>
                <w:b/>
                <w:sz w:val="16"/>
              </w:rPr>
              <w:t>Parameter</w:t>
            </w:r>
          </w:p>
        </w:tc>
        <w:tc>
          <w:tcPr>
            <w:tcBorders>
              <w:top w:val="single" w:sz="4" w:space="0" w:color="auto"/>
              <w:bottom w:val="single" w:sz="4" w:space="0" w:color="auto"/>
            </w:tcBorders>
            <w:tcW w:w="5300" w:type="dxa"/>
          </w:tcPr>
          <w:p>
            <w:pPr>
              <w:jc w:val="center"/>
              <w:spacing w:before="10" w:after="10"/>
            </w:pPr>
            <w:r/>
            <w:r>
              <w:rPr>
                <w:b/>
                <w:sz w:val="16"/>
              </w:rPr>
              <w:t>Value</w:t>
            </w:r>
          </w:p>
        </w:tc>
      </w:tr>
      <w:tr>
        <w:tc>
          <w:tcPr>
            <w:tcW w:w="3500" w:type="dxa"/>
          </w:tcPr>
          <w:p>
            <w:pPr>
              <w:spacing w:before="10" w:after="10"/>
            </w:pPr>
            <w:r/>
            <w:r>
              <w:rPr>
                <w:sz w:val="16"/>
              </w:rPr>
              <w:t>IT capacity</w:t>
            </w:r>
          </w:p>
        </w:tc>
        <w:tc>
          <w:tcPr>
            <w:tcW w:w="5300" w:type="dxa"/>
          </w:tcPr>
          <w:p>
            <w:pPr>
              <w:spacing w:before="10" w:after="10"/>
            </w:pPr>
            <w:r/>
            <w:r>
              <w:rPr>
                <w:sz w:val="16"/>
              </w:rPr>
              <w:t>40 MW</w:t>
            </w:r>
          </w:p>
        </w:tc>
      </w:tr>
      <w:tr>
        <w:tc>
          <w:tcPr>
            <w:tcW w:w="3500" w:type="dxa"/>
          </w:tcPr>
          <w:p>
            <w:pPr>
              <w:spacing w:before="10" w:after="10"/>
            </w:pPr>
            <w:r/>
            <w:r>
              <w:rPr>
                <w:sz w:val="16"/>
              </w:rPr>
              <w:t>Total power (with cooling)</w:t>
            </w:r>
          </w:p>
        </w:tc>
        <w:tc>
          <w:tcPr>
            <w:tcW w:w="5300" w:type="dxa"/>
          </w:tcPr>
          <w:p>
            <w:pPr>
              <w:spacing w:before="10" w:after="10"/>
            </w:pPr>
            <w:r/>
            <w:r>
              <w:rPr>
                <w:sz w:val="16"/>
              </w:rPr>
              <w:t>43.2 MW (PUE = 1.08)</w:t>
            </w:r>
          </w:p>
        </w:tc>
      </w:tr>
      <w:tr>
        <w:tc>
          <w:tcPr>
            <w:tcW w:w="3500" w:type="dxa"/>
          </w:tcPr>
          <w:p>
            <w:pPr>
              <w:spacing w:before="10" w:after="10"/>
            </w:pPr>
            <w:r/>
            <w:r>
              <w:rPr>
                <w:sz w:val="16"/>
              </w:rPr>
              <w:t>GPU count</w:t>
            </w:r>
          </w:p>
        </w:tc>
        <w:tc>
          <w:tcPr>
            <w:tcW w:w="5300" w:type="dxa"/>
          </w:tcPr>
          <w:p>
            <w:pPr>
              <w:spacing w:before="10" w:after="10"/>
            </w:pPr>
            <w:r/>
            <w:r>
              <w:rPr>
                <w:sz w:val="16"/>
              </w:rPr>
              <w:t>57,142 (H100-class, 700W each)</w:t>
            </w:r>
          </w:p>
        </w:tc>
      </w:tr>
      <w:tr>
        <w:tc>
          <w:tcPr>
            <w:tcW w:w="3500" w:type="dxa"/>
          </w:tcPr>
          <w:p>
            <w:pPr>
              <w:spacing w:before="10" w:after="10"/>
            </w:pPr>
            <w:r/>
            <w:r>
              <w:rPr>
                <w:sz w:val="16"/>
              </w:rPr>
              <w:t>GPU cost / lifetime</w:t>
            </w:r>
          </w:p>
        </w:tc>
        <w:tc>
          <w:tcPr>
            <w:tcW w:w="5300" w:type="dxa"/>
          </w:tcPr>
          <w:p>
            <w:pPr>
              <w:spacing w:before="10" w:after="10"/>
            </w:pPr>
            <w:r/>
            <w:r>
              <w:rPr>
                <w:sz w:val="16"/>
              </w:rPr>
              <w:t>$25,000 / 3 yr (−10% per generation)</w:t>
            </w:r>
          </w:p>
        </w:tc>
      </w:tr>
      <w:tr>
        <w:tc>
          <w:tcPr>
            <w:tcW w:w="3500" w:type="dxa"/>
          </w:tcPr>
          <w:p>
            <w:pPr>
              <w:spacing w:before="10" w:after="10"/>
            </w:pPr>
            <w:r/>
            <w:r>
              <w:rPr>
                <w:sz w:val="16"/>
              </w:rPr>
              <w:t>Construction cost</w:t>
            </w:r>
          </w:p>
        </w:tc>
        <w:tc>
          <w:tcPr>
            <w:tcW w:w="5300" w:type="dxa"/>
          </w:tcPr>
          <w:p>
            <w:pPr>
              <w:spacing w:before="10" w:after="10"/>
            </w:pPr>
            <w:r/>
            <w:r>
              <w:rPr>
                <w:sz w:val="16"/>
              </w:rPr>
              <w:t>$313M ($7.83/W)</w:t>
            </w:r>
          </w:p>
        </w:tc>
      </w:tr>
      <w:tr>
        <w:tc>
          <w:tcPr>
            <w:tcW w:w="3500" w:type="dxa"/>
          </w:tcPr>
          <w:p>
            <w:pPr>
              <w:spacing w:before="10" w:after="10"/>
            </w:pPr>
            <w:r/>
            <w:r>
              <w:rPr>
                <w:sz w:val="16"/>
              </w:rPr>
              <w:t>Electricity price</w:t>
            </w:r>
          </w:p>
        </w:tc>
        <w:tc>
          <w:tcPr>
            <w:tcW w:w="5300" w:type="dxa"/>
          </w:tcPr>
          <w:p>
            <w:pPr>
              <w:spacing w:before="10" w:after="10"/>
            </w:pPr>
            <w:r/>
            <w:r>
              <w:rPr>
                <w:sz w:val="16"/>
              </w:rPr>
              <w:t>$0.038/kWh (+2%/yr real)</w:t>
            </w:r>
          </w:p>
        </w:tc>
      </w:tr>
      <w:tr>
        <w:tc>
          <w:tcPr>
            <w:tcW w:w="3500" w:type="dxa"/>
          </w:tcPr>
          <w:p>
            <w:pPr>
              <w:spacing w:before="10" w:after="10"/>
            </w:pPr>
            <w:r/>
            <w:r>
              <w:rPr>
                <w:sz w:val="16"/>
              </w:rPr>
              <w:t>Revenue price</w:t>
            </w:r>
          </w:p>
        </w:tc>
        <w:tc>
          <w:tcPr>
            <w:tcW w:w="5300" w:type="dxa"/>
          </w:tcPr>
          <w:p>
            <w:pPr>
              <w:spacing w:before="10" w:after="10"/>
            </w:pPr>
            <w:r/>
            <w:r>
              <w:rPr>
                <w:sz w:val="16"/>
              </w:rPr>
              <w:t>$2.00/GPU-hr (wholesale)</w:t>
            </w:r>
          </w:p>
        </w:tc>
      </w:tr>
      <w:tr>
        <w:tc>
          <w:tcPr>
            <w:tcW w:w="3500" w:type="dxa"/>
          </w:tcPr>
          <w:p>
            <w:pPr>
              <w:spacing w:before="10" w:after="10"/>
            </w:pPr>
            <w:r/>
            <w:r>
              <w:rPr>
                <w:sz w:val="16"/>
              </w:rPr>
              <w:t>Utilization</w:t>
            </w:r>
          </w:p>
        </w:tc>
        <w:tc>
          <w:tcPr>
            <w:tcW w:w="5300" w:type="dxa"/>
          </w:tcPr>
          <w:p>
            <w:pPr>
              <w:spacing w:before="10" w:after="10"/>
            </w:pPr>
            <w:r/>
            <w:r>
              <w:rPr>
                <w:sz w:val="16"/>
              </w:rPr>
              <w:t>70% steady-state (40% yr 1, 60% yr 2)</w:t>
            </w:r>
          </w:p>
        </w:tc>
      </w:tr>
      <w:tr>
        <w:tc>
          <w:tcPr>
            <w:tcBorders>
              <w:bottom w:val="double" w:sz="4" w:space="0" w:color="auto"/>
            </w:tcBorders>
            <w:tcW w:w="3500" w:type="dxa"/>
          </w:tcPr>
          <w:p>
            <w:pPr>
              <w:spacing w:before="10" w:after="10"/>
            </w:pPr>
            <w:r/>
            <w:r>
              <w:rPr>
                <w:sz w:val="16"/>
              </w:rPr>
              <w:t>WACC</w:t>
            </w:r>
          </w:p>
        </w:tc>
        <w:tc>
          <w:tcPr>
            <w:tcBorders>
              <w:bottom w:val="double" w:sz="4" w:space="0" w:color="auto"/>
            </w:tcBorders>
            <w:tcW w:w="5300" w:type="dxa"/>
          </w:tcPr>
          <w:p>
            <w:pPr>
              <w:spacing w:before="10" w:after="10"/>
            </w:pPr>
            <w:r/>
            <w:r>
              <w:rPr>
                <w:sz w:val="16"/>
              </w:rPr>
              <w:t>12.6%</w:t>
            </w:r>
          </w:p>
        </w:tc>
      </w:tr>
    </w:tbl>
    <w:p>
      <w:pPr>
        <w:spacing w:before="0" w:after="80" w:line="240" w:lineRule="auto"/>
        <w:ind w:firstLine="0"/>
        <w:jc w:val="left"/>
      </w:pPr>
      <w:r>
        <w:rPr>
          <w:sz w:val="20"/>
        </w:rPr>
        <w:t>Notes: WACC = 60% × 15% (cost of equity) + 40% × 10% × (1 − 10%) (after-tax debt) = 12.6%. Cost of equity includes a 4% country risk premium and 6% emerging-market equity premium over the 5% risk-free rate.</w:t>
      </w:r>
    </w:p>
    <w:p>
      <w:pPr>
        <w:spacing w:before="0" w:after="0"/>
      </w:pPr>
      <w:r>
        <w:br w:type="page"/>
      </w:r>
    </w:p>
    <w:p>
      <w:pPr>
        <w:spacing w:before="0" w:after="60"/>
        <w:ind w:firstLine="0"/>
        <w:jc w:val="both"/>
      </w:pPr>
      <w:bookmarkStart w:id="146" w:name="TableA5"/>
      <w:hyperlink w:anchor="TableA5txt" w:history="1">
        <w:r>
          <w:rPr>
            <w:b/>
            <w:sz w:val="20"/>
            <w:color w:val="1F3864"/>
            <w:u w:val="single"/>
          </w:rPr>
          <w:t>Table A5</w:t>
        </w:r>
      </w:hyperlink>
      <w:bookmarkEnd w:id="146"/>
      <w:r>
        <w:rPr>
          <w:b/>
          <w:sz w:val="20"/>
        </w:rPr>
        <w:t>. Year-by-year cash flow ($ millions)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Borders>
              <w:top w:val="single" w:sz="4" w:space="0" w:color="auto"/>
              <w:bottom w:val="single" w:sz="4" w:space="0" w:color="auto"/>
            </w:tcBorders>
            <w:tcW w:w="700" w:type="dxa"/>
          </w:tcPr>
          <w:p>
            <w:pPr>
              <w:jc w:val="center"/>
              <w:spacing w:before="10" w:after="10"/>
            </w:pPr>
            <w:r/>
            <w:r>
              <w:rPr>
                <w:b/>
                <w:sz w:val="16"/>
              </w:rPr>
              <w:t>Year</w:t>
            </w:r>
          </w:p>
        </w:tc>
        <w:tc>
          <w:tcPr>
            <w:tcBorders>
              <w:top w:val="single" w:sz="4" w:space="0" w:color="auto"/>
              <w:bottom w:val="single" w:sz="4" w:space="0" w:color="auto"/>
            </w:tcBorders>
            <w:tcW w:w="1400" w:type="dxa"/>
          </w:tcPr>
          <w:p>
            <w:pPr>
              <w:jc w:val="center"/>
              <w:spacing w:before="10" w:after="10"/>
            </w:pPr>
            <w:r/>
            <w:r>
              <w:rPr>
                <w:b/>
                <w:sz w:val="16"/>
              </w:rPr>
              <w:t>CAPEX</w:t>
            </w:r>
          </w:p>
        </w:tc>
        <w:tc>
          <w:tcPr>
            <w:tcBorders>
              <w:top w:val="single" w:sz="4" w:space="0" w:color="auto"/>
              <w:bottom w:val="single" w:sz="4" w:space="0" w:color="auto"/>
            </w:tcBorders>
            <w:tcW w:w="1400" w:type="dxa"/>
          </w:tcPr>
          <w:p>
            <w:pPr>
              <w:jc w:val="center"/>
              <w:spacing w:before="10" w:after="10"/>
            </w:pPr>
            <w:r/>
            <w:r>
              <w:rPr>
                <w:b/>
                <w:sz w:val="16"/>
              </w:rPr>
              <w:t>Revenue</w:t>
            </w:r>
          </w:p>
        </w:tc>
        <w:tc>
          <w:tcPr>
            <w:tcBorders>
              <w:top w:val="single" w:sz="4" w:space="0" w:color="auto"/>
              <w:bottom w:val="single" w:sz="4" w:space="0" w:color="auto"/>
            </w:tcBorders>
            <w:tcW w:w="1400" w:type="dxa"/>
          </w:tcPr>
          <w:p>
            <w:pPr>
              <w:jc w:val="center"/>
              <w:spacing w:before="10" w:after="10"/>
            </w:pPr>
            <w:r/>
            <w:r>
              <w:rPr>
                <w:b/>
                <w:sz w:val="16"/>
              </w:rPr>
              <w:t>OPEX</w:t>
            </w:r>
          </w:p>
        </w:tc>
        <w:tc>
          <w:tcPr>
            <w:tcBorders>
              <w:top w:val="single" w:sz="4" w:space="0" w:color="auto"/>
              <w:bottom w:val="single" w:sz="4" w:space="0" w:color="auto"/>
            </w:tcBorders>
            <w:tcW w:w="1400" w:type="dxa"/>
          </w:tcPr>
          <w:p>
            <w:pPr>
              <w:jc w:val="center"/>
              <w:spacing w:before="10" w:after="10"/>
            </w:pPr>
            <w:r/>
            <w:r>
              <w:rPr>
                <w:b/>
                <w:sz w:val="16"/>
              </w:rPr>
              <w:t>EBITDA</w:t>
            </w:r>
          </w:p>
        </w:tc>
        <w:tc>
          <w:tcPr>
            <w:tcBorders>
              <w:top w:val="single" w:sz="4" w:space="0" w:color="auto"/>
              <w:bottom w:val="single" w:sz="4" w:space="0" w:color="auto"/>
            </w:tcBorders>
            <w:tcW w:w="1400" w:type="dxa"/>
          </w:tcPr>
          <w:p>
            <w:pPr>
              <w:jc w:val="center"/>
              <w:spacing w:before="10" w:after="10"/>
            </w:pPr>
            <w:r/>
            <w:r>
              <w:rPr>
                <w:b/>
                <w:sz w:val="16"/>
              </w:rPr>
              <w:t>FCF</w:t>
            </w:r>
          </w:p>
        </w:tc>
        <w:tc>
          <w:tcPr>
            <w:tcBorders>
              <w:top w:val="single" w:sz="4" w:space="0" w:color="auto"/>
              <w:bottom w:val="single" w:sz="4" w:space="0" w:color="auto"/>
            </w:tcBorders>
            <w:tcW w:w="1100" w:type="dxa"/>
          </w:tcPr>
          <w:p>
            <w:pPr>
              <w:jc w:val="center"/>
              <w:spacing w:before="10" w:after="10"/>
            </w:pPr>
            <w:r/>
            <w:r>
              <w:rPr>
                <w:b/>
                <w:sz w:val="16"/>
              </w:rPr>
              <w:t>Cum. CF</w:t>
            </w:r>
          </w:p>
        </w:tc>
      </w:tr>
      <w:tr>
        <w:tc>
          <w:tcPr>
            <w:tcW w:w="700" w:type="dxa"/>
          </w:tcPr>
          <w:p>
            <w:pPr>
              <w:spacing w:before="10" w:after="10"/>
            </w:pPr>
            <w:r/>
            <w:r>
              <w:rPr>
                <w:sz w:val="16"/>
              </w:rPr>
              <w:t>0</w:t>
            </w:r>
          </w:p>
        </w:tc>
        <w:tc>
          <w:tcPr>
            <w:tcW w:w="1400" w:type="dxa"/>
          </w:tcPr>
          <w:p>
            <w:pPr>
              <w:spacing w:before="10" w:after="10"/>
            </w:pPr>
            <w:r/>
            <w:r>
              <w:rPr>
                <w:sz w:val="16"/>
              </w:rPr>
              <w:t>313.2</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-313.2</w:t>
            </w:r>
          </w:p>
        </w:tc>
        <w:tc>
          <w:tcPr>
            <w:tcW w:w="1100" w:type="dxa"/>
          </w:tcPr>
          <w:p>
            <w:pPr>
              <w:jc w:val="right"/>
              <w:spacing w:before="10" w:after="10"/>
            </w:pPr>
            <w:r/>
            <w:r>
              <w:rPr>
                <w:sz w:val="16"/>
              </w:rPr>
              <w:t>-313.2</w:t>
            </w:r>
          </w:p>
        </w:tc>
      </w:tr>
      <w:tr>
        <w:tc>
          <w:tcPr>
            <w:tcW w:w="700" w:type="dxa"/>
          </w:tcPr>
          <w:p>
            <w:pPr>
              <w:spacing w:before="10" w:after="10"/>
            </w:pPr>
            <w:r/>
            <w:r>
              <w:rPr>
                <w:sz w:val="16"/>
              </w:rPr>
              <w:t>1</w:t>
            </w:r>
          </w:p>
        </w:tc>
        <w:tc>
          <w:tcPr>
            <w:tcW w:w="1400" w:type="dxa"/>
          </w:tcPr>
          <w:p>
            <w:pPr>
              <w:spacing w:before="10" w:after="10"/>
            </w:pPr>
            <w:r/>
            <w:r>
              <w:rPr>
                <w:sz w:val="16"/>
              </w:rPr>
              <w:t>1542.8</w:t>
            </w:r>
          </w:p>
        </w:tc>
        <w:tc>
          <w:tcPr>
            <w:tcW w:w="1400" w:type="dxa"/>
          </w:tcPr>
          <w:p>
            <w:pPr>
              <w:jc w:val="right"/>
              <w:spacing w:before="10" w:after="10"/>
            </w:pPr>
            <w:r/>
            <w:r>
              <w:rPr>
                <w:sz w:val="16"/>
              </w:rPr>
              <w:t>400.7</w:t>
            </w:r>
          </w:p>
        </w:tc>
        <w:tc>
          <w:tcPr>
            <w:tcW w:w="1400" w:type="dxa"/>
          </w:tcPr>
          <w:p>
            <w:pPr>
              <w:jc w:val="right"/>
              <w:spacing w:before="10" w:after="10"/>
            </w:pPr>
            <w:r/>
            <w:r>
              <w:rPr>
                <w:sz w:val="16"/>
              </w:rPr>
              <w:t>32.4</w:t>
            </w:r>
          </w:p>
        </w:tc>
        <w:tc>
          <w:tcPr>
            <w:tcW w:w="1400" w:type="dxa"/>
          </w:tcPr>
          <w:p>
            <w:pPr>
              <w:jc w:val="right"/>
              <w:spacing w:before="10" w:after="10"/>
            </w:pPr>
            <w:r/>
            <w:r>
              <w:rPr>
                <w:sz w:val="16"/>
              </w:rPr>
              <w:t>368.4</w:t>
            </w:r>
          </w:p>
        </w:tc>
        <w:tc>
          <w:tcPr>
            <w:tcW w:w="1400" w:type="dxa"/>
          </w:tcPr>
          <w:p>
            <w:pPr>
              <w:jc w:val="right"/>
              <w:spacing w:before="10" w:after="10"/>
            </w:pPr>
            <w:r/>
            <w:r>
              <w:rPr>
                <w:sz w:val="16"/>
              </w:rPr>
              <w:t>-1174.5</w:t>
            </w:r>
          </w:p>
        </w:tc>
        <w:tc>
          <w:tcPr>
            <w:tcW w:w="1100" w:type="dxa"/>
          </w:tcPr>
          <w:p>
            <w:pPr>
              <w:jc w:val="right"/>
              <w:spacing w:before="10" w:after="10"/>
            </w:pPr>
            <w:r/>
            <w:r>
              <w:rPr>
                <w:sz w:val="16"/>
              </w:rPr>
              <w:t>-1487.7</w:t>
            </w:r>
          </w:p>
        </w:tc>
      </w:tr>
      <w:tr>
        <w:tc>
          <w:tcPr>
            <w:tcW w:w="700" w:type="dxa"/>
          </w:tcPr>
          <w:p>
            <w:pPr>
              <w:spacing w:before="10" w:after="10"/>
            </w:pPr>
            <w:r/>
            <w:r>
              <w:rPr>
                <w:sz w:val="16"/>
              </w:rPr>
              <w:t>2</w:t>
            </w:r>
          </w:p>
        </w:tc>
        <w:tc>
          <w:tcPr>
            <w:tcW w:w="1400" w:type="dxa"/>
          </w:tcPr>
          <w:p>
            <w:pPr>
              <w:spacing w:before="10" w:after="10"/>
            </w:pPr>
            <w:r/>
            <w:r>
              <w:rPr>
                <w:sz w:val="16"/>
              </w:rPr>
              <w:t>0.0</w:t>
            </w:r>
          </w:p>
        </w:tc>
        <w:tc>
          <w:tcPr>
            <w:tcW w:w="1400" w:type="dxa"/>
          </w:tcPr>
          <w:p>
            <w:pPr>
              <w:jc w:val="right"/>
              <w:spacing w:before="10" w:after="10"/>
            </w:pPr>
            <w:r/>
            <w:r>
              <w:rPr>
                <w:sz w:val="16"/>
              </w:rPr>
              <w:t>601.1</w:t>
            </w:r>
          </w:p>
        </w:tc>
        <w:tc>
          <w:tcPr>
            <w:tcW w:w="1400" w:type="dxa"/>
          </w:tcPr>
          <w:p>
            <w:pPr>
              <w:jc w:val="right"/>
              <w:spacing w:before="10" w:after="10"/>
            </w:pPr>
            <w:r/>
            <w:r>
              <w:rPr>
                <w:sz w:val="16"/>
              </w:rPr>
              <w:t>30.3</w:t>
            </w:r>
          </w:p>
        </w:tc>
        <w:tc>
          <w:tcPr>
            <w:tcW w:w="1400" w:type="dxa"/>
          </w:tcPr>
          <w:p>
            <w:pPr>
              <w:jc w:val="right"/>
              <w:spacing w:before="10" w:after="10"/>
            </w:pPr>
            <w:r/>
            <w:r>
              <w:rPr>
                <w:sz w:val="16"/>
              </w:rPr>
              <w:t>570.8</w:t>
            </w:r>
          </w:p>
        </w:tc>
        <w:tc>
          <w:tcPr>
            <w:tcW w:w="1400" w:type="dxa"/>
          </w:tcPr>
          <w:p>
            <w:pPr>
              <w:jc w:val="right"/>
              <w:spacing w:before="10" w:after="10"/>
            </w:pPr>
            <w:r/>
            <w:r>
              <w:rPr>
                <w:sz w:val="16"/>
              </w:rPr>
              <w:t>563.4</w:t>
            </w:r>
          </w:p>
        </w:tc>
        <w:tc>
          <w:tcPr>
            <w:tcW w:w="1100" w:type="dxa"/>
          </w:tcPr>
          <w:p>
            <w:pPr>
              <w:jc w:val="right"/>
              <w:spacing w:before="10" w:after="10"/>
            </w:pPr>
            <w:r/>
            <w:r>
              <w:rPr>
                <w:sz w:val="16"/>
              </w:rPr>
              <w:t>-924.2</w:t>
            </w:r>
          </w:p>
        </w:tc>
      </w:tr>
      <w:tr>
        <w:tc>
          <w:tcPr>
            <w:tcW w:w="700" w:type="dxa"/>
          </w:tcPr>
          <w:p>
            <w:pPr>
              <w:spacing w:before="10" w:after="10"/>
            </w:pPr>
            <w:r/>
            <w:r>
              <w:rPr>
                <w:sz w:val="16"/>
              </w:rPr>
              <w:t>3</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28.2</w:t>
            </w:r>
          </w:p>
        </w:tc>
        <w:tc>
          <w:tcPr>
            <w:tcW w:w="1400" w:type="dxa"/>
          </w:tcPr>
          <w:p>
            <w:pPr>
              <w:jc w:val="right"/>
              <w:spacing w:before="10" w:after="10"/>
            </w:pPr>
            <w:r/>
            <w:r>
              <w:rPr>
                <w:sz w:val="16"/>
              </w:rPr>
              <w:t>673.1</w:t>
            </w:r>
          </w:p>
        </w:tc>
        <w:tc>
          <w:tcPr>
            <w:tcW w:w="1400" w:type="dxa"/>
          </w:tcPr>
          <w:p>
            <w:pPr>
              <w:jc w:val="right"/>
              <w:spacing w:before="10" w:after="10"/>
            </w:pPr>
            <w:r/>
            <w:r>
              <w:rPr>
                <w:sz w:val="16"/>
              </w:rPr>
              <w:t>655.5</w:t>
            </w:r>
          </w:p>
        </w:tc>
        <w:tc>
          <w:tcPr>
            <w:tcW w:w="1100" w:type="dxa"/>
          </w:tcPr>
          <w:p>
            <w:pPr>
              <w:jc w:val="right"/>
              <w:spacing w:before="10" w:after="10"/>
            </w:pPr>
            <w:r/>
            <w:r>
              <w:rPr>
                <w:sz w:val="16"/>
              </w:rPr>
              <w:t>-268.8</w:t>
            </w:r>
          </w:p>
        </w:tc>
      </w:tr>
      <w:tr>
        <w:tc>
          <w:tcPr>
            <w:tcW w:w="700" w:type="dxa"/>
          </w:tcPr>
          <w:p>
            <w:pPr>
              <w:spacing w:before="10" w:after="10"/>
            </w:pPr>
            <w:r/>
            <w:r>
              <w:rPr>
                <w:sz w:val="16"/>
              </w:rPr>
              <w:t>4</w:t>
            </w:r>
          </w:p>
        </w:tc>
        <w:tc>
          <w:tcPr>
            <w:tcW w:w="1400" w:type="dxa"/>
          </w:tcPr>
          <w:p>
            <w:pPr>
              <w:spacing w:before="10" w:after="10"/>
            </w:pPr>
            <w:r/>
            <w:r>
              <w:rPr>
                <w:sz w:val="16"/>
              </w:rPr>
              <w:t>1285.7</w:t>
            </w:r>
          </w:p>
        </w:tc>
        <w:tc>
          <w:tcPr>
            <w:tcW w:w="1400" w:type="dxa"/>
          </w:tcPr>
          <w:p>
            <w:pPr>
              <w:jc w:val="right"/>
              <w:spacing w:before="10" w:after="10"/>
            </w:pPr>
            <w:r/>
            <w:r>
              <w:rPr>
                <w:sz w:val="16"/>
              </w:rPr>
              <w:t>701.3</w:t>
            </w:r>
          </w:p>
        </w:tc>
        <w:tc>
          <w:tcPr>
            <w:tcW w:w="1400" w:type="dxa"/>
          </w:tcPr>
          <w:p>
            <w:pPr>
              <w:jc w:val="right"/>
              <w:spacing w:before="10" w:after="10"/>
            </w:pPr>
            <w:r/>
            <w:r>
              <w:rPr>
                <w:sz w:val="16"/>
              </w:rPr>
              <w:t>32.6</w:t>
            </w:r>
          </w:p>
        </w:tc>
        <w:tc>
          <w:tcPr>
            <w:tcW w:w="1400" w:type="dxa"/>
          </w:tcPr>
          <w:p>
            <w:pPr>
              <w:jc w:val="right"/>
              <w:spacing w:before="10" w:after="10"/>
            </w:pPr>
            <w:r/>
            <w:r>
              <w:rPr>
                <w:sz w:val="16"/>
              </w:rPr>
              <w:t>668.7</w:t>
            </w:r>
          </w:p>
        </w:tc>
        <w:tc>
          <w:tcPr>
            <w:tcW w:w="1400" w:type="dxa"/>
          </w:tcPr>
          <w:p>
            <w:pPr>
              <w:jc w:val="right"/>
              <w:spacing w:before="10" w:after="10"/>
            </w:pPr>
            <w:r/>
            <w:r>
              <w:rPr>
                <w:sz w:val="16"/>
              </w:rPr>
              <w:t>-638.9</w:t>
            </w:r>
          </w:p>
        </w:tc>
        <w:tc>
          <w:tcPr>
            <w:tcW w:w="1100" w:type="dxa"/>
          </w:tcPr>
          <w:p>
            <w:pPr>
              <w:jc w:val="right"/>
              <w:spacing w:before="10" w:after="10"/>
            </w:pPr>
            <w:r/>
            <w:r>
              <w:rPr>
                <w:sz w:val="16"/>
              </w:rPr>
              <w:t>-907.7</w:t>
            </w:r>
          </w:p>
        </w:tc>
      </w:tr>
      <w:tr>
        <w:tc>
          <w:tcPr>
            <w:tcW w:w="700" w:type="dxa"/>
          </w:tcPr>
          <w:p>
            <w:pPr>
              <w:spacing w:before="10" w:after="10"/>
            </w:pPr>
            <w:r/>
            <w:r>
              <w:rPr>
                <w:sz w:val="16"/>
              </w:rPr>
              <w:t>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30.8</w:t>
            </w:r>
          </w:p>
        </w:tc>
        <w:tc>
          <w:tcPr>
            <w:tcW w:w="1400" w:type="dxa"/>
          </w:tcPr>
          <w:p>
            <w:pPr>
              <w:jc w:val="right"/>
              <w:spacing w:before="10" w:after="10"/>
            </w:pPr>
            <w:r/>
            <w:r>
              <w:rPr>
                <w:sz w:val="16"/>
              </w:rPr>
              <w:t>670.5</w:t>
            </w:r>
          </w:p>
        </w:tc>
        <w:tc>
          <w:tcPr>
            <w:tcW w:w="1400" w:type="dxa"/>
          </w:tcPr>
          <w:p>
            <w:pPr>
              <w:jc w:val="right"/>
              <w:spacing w:before="10" w:after="10"/>
            </w:pPr>
            <w:r/>
            <w:r>
              <w:rPr>
                <w:sz w:val="16"/>
              </w:rPr>
              <w:t>648.4</w:t>
            </w:r>
          </w:p>
        </w:tc>
        <w:tc>
          <w:tcPr>
            <w:tcW w:w="1100" w:type="dxa"/>
          </w:tcPr>
          <w:p>
            <w:pPr>
              <w:jc w:val="right"/>
              <w:spacing w:before="10" w:after="10"/>
            </w:pPr>
            <w:r/>
            <w:r>
              <w:rPr>
                <w:sz w:val="16"/>
              </w:rPr>
              <w:t>-259.3</w:t>
            </w:r>
          </w:p>
        </w:tc>
      </w:tr>
      <w:tr>
        <w:tc>
          <w:tcPr>
            <w:tcW w:w="700" w:type="dxa"/>
          </w:tcPr>
          <w:p>
            <w:pPr>
              <w:spacing w:before="10" w:after="10"/>
            </w:pPr>
            <w:r/>
            <w:r>
              <w:rPr>
                <w:sz w:val="16"/>
              </w:rPr>
              <w:t>6</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29.0</w:t>
            </w:r>
          </w:p>
        </w:tc>
        <w:tc>
          <w:tcPr>
            <w:tcW w:w="1400" w:type="dxa"/>
          </w:tcPr>
          <w:p>
            <w:pPr>
              <w:jc w:val="right"/>
              <w:spacing w:before="10" w:after="10"/>
            </w:pPr>
            <w:r/>
            <w:r>
              <w:rPr>
                <w:sz w:val="16"/>
              </w:rPr>
              <w:t>672.3</w:t>
            </w:r>
          </w:p>
        </w:tc>
        <w:tc>
          <w:tcPr>
            <w:tcW w:w="1400" w:type="dxa"/>
          </w:tcPr>
          <w:p>
            <w:pPr>
              <w:jc w:val="right"/>
              <w:spacing w:before="10" w:after="10"/>
            </w:pPr>
            <w:r/>
            <w:r>
              <w:rPr>
                <w:sz w:val="16"/>
              </w:rPr>
              <w:t>535.7</w:t>
            </w:r>
          </w:p>
        </w:tc>
        <w:tc>
          <w:tcPr>
            <w:tcW w:w="1100" w:type="dxa"/>
          </w:tcPr>
          <w:p>
            <w:pPr>
              <w:jc w:val="right"/>
              <w:spacing w:before="10" w:after="10"/>
            </w:pPr>
            <w:r/>
            <w:r>
              <w:rPr>
                <w:sz w:val="16"/>
              </w:rPr>
              <w:t>276.4</w:t>
            </w:r>
          </w:p>
        </w:tc>
      </w:tr>
      <w:tr>
        <w:tc>
          <w:tcPr>
            <w:tcW w:w="700" w:type="dxa"/>
          </w:tcPr>
          <w:p>
            <w:pPr>
              <w:spacing w:before="10" w:after="10"/>
            </w:pPr>
            <w:r/>
            <w:r>
              <w:rPr>
                <w:sz w:val="16"/>
              </w:rPr>
              <w:t>7</w:t>
            </w:r>
          </w:p>
        </w:tc>
        <w:tc>
          <w:tcPr>
            <w:tcW w:w="1400" w:type="dxa"/>
          </w:tcPr>
          <w:p>
            <w:pPr>
              <w:spacing w:before="10" w:after="10"/>
            </w:pPr>
            <w:r/>
            <w:r>
              <w:rPr>
                <w:sz w:val="16"/>
              </w:rPr>
              <w:t>1157.1</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668.3</w:t>
            </w:r>
          </w:p>
        </w:tc>
        <w:tc>
          <w:tcPr>
            <w:tcW w:w="1400" w:type="dxa"/>
          </w:tcPr>
          <w:p>
            <w:pPr>
              <w:jc w:val="right"/>
              <w:spacing w:before="10" w:after="10"/>
            </w:pPr>
            <w:r/>
            <w:r>
              <w:rPr>
                <w:sz w:val="16"/>
              </w:rPr>
              <w:t>-515.0</w:t>
            </w:r>
          </w:p>
        </w:tc>
        <w:tc>
          <w:tcPr>
            <w:tcW w:w="1100" w:type="dxa"/>
          </w:tcPr>
          <w:p>
            <w:pPr>
              <w:jc w:val="right"/>
              <w:spacing w:before="10" w:after="10"/>
            </w:pPr>
            <w:r/>
            <w:r>
              <w:rPr>
                <w:sz w:val="16"/>
              </w:rPr>
              <w:t>-238.6</w:t>
            </w:r>
          </w:p>
        </w:tc>
      </w:tr>
      <w:tr>
        <w:tc>
          <w:tcPr>
            <w:tcW w:w="700" w:type="dxa"/>
          </w:tcPr>
          <w:p>
            <w:pPr>
              <w:spacing w:before="10" w:after="10"/>
            </w:pPr>
            <w:r/>
            <w:r>
              <w:rPr>
                <w:sz w:val="16"/>
              </w:rPr>
              <w:t>8</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31.4</w:t>
            </w:r>
          </w:p>
        </w:tc>
        <w:tc>
          <w:tcPr>
            <w:tcW w:w="1400" w:type="dxa"/>
          </w:tcPr>
          <w:p>
            <w:pPr>
              <w:jc w:val="right"/>
              <w:spacing w:before="10" w:after="10"/>
            </w:pPr>
            <w:r/>
            <w:r>
              <w:rPr>
                <w:sz w:val="16"/>
              </w:rPr>
              <w:t>669.9</w:t>
            </w:r>
          </w:p>
        </w:tc>
        <w:tc>
          <w:tcPr>
            <w:tcW w:w="1400" w:type="dxa"/>
          </w:tcPr>
          <w:p>
            <w:pPr>
              <w:jc w:val="right"/>
              <w:spacing w:before="10" w:after="10"/>
            </w:pPr>
            <w:r/>
            <w:r>
              <w:rPr>
                <w:sz w:val="16"/>
              </w:rPr>
              <w:t>643.6</w:t>
            </w:r>
          </w:p>
        </w:tc>
        <w:tc>
          <w:tcPr>
            <w:tcW w:w="1100" w:type="dxa"/>
          </w:tcPr>
          <w:p>
            <w:pPr>
              <w:jc w:val="right"/>
              <w:spacing w:before="10" w:after="10"/>
            </w:pPr>
            <w:r/>
            <w:r>
              <w:rPr>
                <w:sz w:val="16"/>
              </w:rPr>
              <w:t>405.0</w:t>
            </w:r>
          </w:p>
        </w:tc>
      </w:tr>
      <w:tr>
        <w:tc>
          <w:tcPr>
            <w:tcW w:w="700" w:type="dxa"/>
          </w:tcPr>
          <w:p>
            <w:pPr>
              <w:spacing w:before="10" w:after="10"/>
            </w:pPr>
            <w:r/>
            <w:r>
              <w:rPr>
                <w:sz w:val="16"/>
              </w:rPr>
              <w:t>9</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29.8</w:t>
            </w:r>
          </w:p>
        </w:tc>
        <w:tc>
          <w:tcPr>
            <w:tcW w:w="1400" w:type="dxa"/>
          </w:tcPr>
          <w:p>
            <w:pPr>
              <w:jc w:val="right"/>
              <w:spacing w:before="10" w:after="10"/>
            </w:pPr>
            <w:r/>
            <w:r>
              <w:rPr>
                <w:sz w:val="16"/>
              </w:rPr>
              <w:t>671.5</w:t>
            </w:r>
          </w:p>
        </w:tc>
        <w:tc>
          <w:tcPr>
            <w:tcW w:w="1400" w:type="dxa"/>
          </w:tcPr>
          <w:p>
            <w:pPr>
              <w:jc w:val="right"/>
              <w:spacing w:before="10" w:after="10"/>
            </w:pPr>
            <w:r/>
            <w:r>
              <w:rPr>
                <w:sz w:val="16"/>
              </w:rPr>
              <w:t>645.0</w:t>
            </w:r>
          </w:p>
        </w:tc>
        <w:tc>
          <w:tcPr>
            <w:tcW w:w="1100" w:type="dxa"/>
          </w:tcPr>
          <w:p>
            <w:pPr>
              <w:jc w:val="right"/>
              <w:spacing w:before="10" w:after="10"/>
            </w:pPr>
            <w:r/>
            <w:r>
              <w:rPr>
                <w:sz w:val="16"/>
              </w:rPr>
              <w:t>1050.0</w:t>
            </w:r>
          </w:p>
        </w:tc>
      </w:tr>
      <w:tr>
        <w:tc>
          <w:tcPr>
            <w:tcW w:w="700" w:type="dxa"/>
          </w:tcPr>
          <w:p>
            <w:pPr>
              <w:spacing w:before="10" w:after="10"/>
            </w:pPr>
            <w:r/>
            <w:r>
              <w:rPr>
                <w:sz w:val="16"/>
              </w:rPr>
              <w:t>10</w:t>
            </w:r>
          </w:p>
        </w:tc>
        <w:tc>
          <w:tcPr>
            <w:tcW w:w="1400" w:type="dxa"/>
          </w:tcPr>
          <w:p>
            <w:pPr>
              <w:spacing w:before="10" w:after="10"/>
            </w:pPr>
            <w:r/>
            <w:r>
              <w:rPr>
                <w:sz w:val="16"/>
              </w:rPr>
              <w:t>1041.4</w:t>
            </w:r>
          </w:p>
        </w:tc>
        <w:tc>
          <w:tcPr>
            <w:tcW w:w="1400" w:type="dxa"/>
          </w:tcPr>
          <w:p>
            <w:pPr>
              <w:jc w:val="right"/>
              <w:spacing w:before="10" w:after="10"/>
            </w:pPr>
            <w:r/>
            <w:r>
              <w:rPr>
                <w:sz w:val="16"/>
              </w:rPr>
              <w:t>701.3</w:t>
            </w:r>
          </w:p>
        </w:tc>
        <w:tc>
          <w:tcPr>
            <w:tcW w:w="1400" w:type="dxa"/>
          </w:tcPr>
          <w:p>
            <w:pPr>
              <w:jc w:val="right"/>
              <w:spacing w:before="10" w:after="10"/>
            </w:pPr>
            <w:r/>
            <w:r>
              <w:rPr>
                <w:sz w:val="16"/>
              </w:rPr>
              <w:t>33.4</w:t>
            </w:r>
          </w:p>
        </w:tc>
        <w:tc>
          <w:tcPr>
            <w:tcW w:w="1400" w:type="dxa"/>
          </w:tcPr>
          <w:p>
            <w:pPr>
              <w:jc w:val="right"/>
              <w:spacing w:before="10" w:after="10"/>
            </w:pPr>
            <w:r/>
            <w:r>
              <w:rPr>
                <w:sz w:val="16"/>
              </w:rPr>
              <w:t>667.9</w:t>
            </w:r>
          </w:p>
        </w:tc>
        <w:tc>
          <w:tcPr>
            <w:tcW w:w="1400" w:type="dxa"/>
          </w:tcPr>
          <w:p>
            <w:pPr>
              <w:jc w:val="right"/>
              <w:spacing w:before="10" w:after="10"/>
            </w:pPr>
            <w:r/>
            <w:r>
              <w:rPr>
                <w:sz w:val="16"/>
              </w:rPr>
              <w:t>-403.5</w:t>
            </w:r>
          </w:p>
        </w:tc>
        <w:tc>
          <w:tcPr>
            <w:tcW w:w="1100" w:type="dxa"/>
          </w:tcPr>
          <w:p>
            <w:pPr>
              <w:jc w:val="right"/>
              <w:spacing w:before="10" w:after="10"/>
            </w:pPr>
            <w:r/>
            <w:r>
              <w:rPr>
                <w:sz w:val="16"/>
              </w:rPr>
              <w:t>646.5</w:t>
            </w:r>
          </w:p>
        </w:tc>
      </w:tr>
      <w:tr>
        <w:tc>
          <w:tcPr>
            <w:tcW w:w="700" w:type="dxa"/>
          </w:tcPr>
          <w:p>
            <w:pPr>
              <w:spacing w:before="10" w:after="10"/>
            </w:pPr>
            <w:r/>
            <w:r>
              <w:rPr>
                <w:sz w:val="16"/>
              </w:rPr>
              <w:t>11</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32.0</w:t>
            </w:r>
          </w:p>
        </w:tc>
        <w:tc>
          <w:tcPr>
            <w:tcW w:w="1400" w:type="dxa"/>
          </w:tcPr>
          <w:p>
            <w:pPr>
              <w:jc w:val="right"/>
              <w:spacing w:before="10" w:after="10"/>
            </w:pPr>
            <w:r/>
            <w:r>
              <w:rPr>
                <w:sz w:val="16"/>
              </w:rPr>
              <w:t>669.2</w:t>
            </w:r>
          </w:p>
        </w:tc>
        <w:tc>
          <w:tcPr>
            <w:tcW w:w="1400" w:type="dxa"/>
          </w:tcPr>
          <w:p>
            <w:pPr>
              <w:jc w:val="right"/>
              <w:spacing w:before="10" w:after="10"/>
            </w:pPr>
            <w:r/>
            <w:r>
              <w:rPr>
                <w:sz w:val="16"/>
              </w:rPr>
              <w:t>524.8</w:t>
            </w:r>
          </w:p>
        </w:tc>
        <w:tc>
          <w:tcPr>
            <w:tcW w:w="1100" w:type="dxa"/>
          </w:tcPr>
          <w:p>
            <w:pPr>
              <w:jc w:val="right"/>
              <w:spacing w:before="10" w:after="10"/>
            </w:pPr>
            <w:r/>
            <w:r>
              <w:rPr>
                <w:sz w:val="16"/>
              </w:rPr>
              <w:t>1171.3</w:t>
            </w:r>
          </w:p>
        </w:tc>
      </w:tr>
      <w:tr>
        <w:tc>
          <w:tcPr>
            <w:tcW w:w="700" w:type="dxa"/>
          </w:tcPr>
          <w:p>
            <w:pPr>
              <w:spacing w:before="10" w:after="10"/>
            </w:pPr>
            <w:r/>
            <w:r>
              <w:rPr>
                <w:sz w:val="16"/>
              </w:rPr>
              <w:t>12</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30.7</w:t>
            </w:r>
          </w:p>
        </w:tc>
        <w:tc>
          <w:tcPr>
            <w:tcW w:w="1400" w:type="dxa"/>
          </w:tcPr>
          <w:p>
            <w:pPr>
              <w:jc w:val="right"/>
              <w:spacing w:before="10" w:after="10"/>
            </w:pPr>
            <w:r/>
            <w:r>
              <w:rPr>
                <w:sz w:val="16"/>
              </w:rPr>
              <w:t>670.6</w:t>
            </w:r>
          </w:p>
        </w:tc>
        <w:tc>
          <w:tcPr>
            <w:tcW w:w="1400" w:type="dxa"/>
          </w:tcPr>
          <w:p>
            <w:pPr>
              <w:jc w:val="right"/>
              <w:spacing w:before="10" w:after="10"/>
            </w:pPr>
            <w:r/>
            <w:r>
              <w:rPr>
                <w:sz w:val="16"/>
              </w:rPr>
              <w:t>640.3</w:t>
            </w:r>
          </w:p>
        </w:tc>
        <w:tc>
          <w:tcPr>
            <w:tcW w:w="1100" w:type="dxa"/>
          </w:tcPr>
          <w:p>
            <w:pPr>
              <w:jc w:val="right"/>
              <w:spacing w:before="10" w:after="10"/>
            </w:pPr>
            <w:r/>
            <w:r>
              <w:rPr>
                <w:sz w:val="16"/>
              </w:rPr>
              <w:t>1811.6</w:t>
            </w:r>
          </w:p>
        </w:tc>
      </w:tr>
      <w:tr>
        <w:tc>
          <w:tcPr>
            <w:tcW w:w="700" w:type="dxa"/>
          </w:tcPr>
          <w:p>
            <w:pPr>
              <w:spacing w:before="10" w:after="10"/>
            </w:pPr>
            <w:r/>
            <w:r>
              <w:rPr>
                <w:sz w:val="16"/>
              </w:rPr>
              <w:t>13</w:t>
            </w:r>
          </w:p>
        </w:tc>
        <w:tc>
          <w:tcPr>
            <w:tcW w:w="1400" w:type="dxa"/>
          </w:tcPr>
          <w:p>
            <w:pPr>
              <w:spacing w:before="10" w:after="10"/>
            </w:pPr>
            <w:r/>
            <w:r>
              <w:rPr>
                <w:sz w:val="16"/>
              </w:rPr>
              <w:t>937.3</w:t>
            </w:r>
          </w:p>
        </w:tc>
        <w:tc>
          <w:tcPr>
            <w:tcW w:w="1400" w:type="dxa"/>
          </w:tcPr>
          <w:p>
            <w:pPr>
              <w:jc w:val="right"/>
              <w:spacing w:before="10" w:after="10"/>
            </w:pPr>
            <w:r/>
            <w:r>
              <w:rPr>
                <w:sz w:val="16"/>
              </w:rPr>
              <w:t>701.3</w:t>
            </w:r>
          </w:p>
        </w:tc>
        <w:tc>
          <w:tcPr>
            <w:tcW w:w="1400" w:type="dxa"/>
          </w:tcPr>
          <w:p>
            <w:pPr>
              <w:jc w:val="right"/>
              <w:spacing w:before="10" w:after="10"/>
            </w:pPr>
            <w:r/>
            <w:r>
              <w:rPr>
                <w:sz w:val="16"/>
              </w:rPr>
              <w:t>34.0</w:t>
            </w:r>
          </w:p>
        </w:tc>
        <w:tc>
          <w:tcPr>
            <w:tcW w:w="1400" w:type="dxa"/>
          </w:tcPr>
          <w:p>
            <w:pPr>
              <w:jc w:val="right"/>
              <w:spacing w:before="10" w:after="10"/>
            </w:pPr>
            <w:r/>
            <w:r>
              <w:rPr>
                <w:sz w:val="16"/>
              </w:rPr>
              <w:t>667.2</w:t>
            </w:r>
          </w:p>
        </w:tc>
        <w:tc>
          <w:tcPr>
            <w:tcW w:w="1400" w:type="dxa"/>
          </w:tcPr>
          <w:p>
            <w:pPr>
              <w:jc w:val="right"/>
              <w:spacing w:before="10" w:after="10"/>
            </w:pPr>
            <w:r/>
            <w:r>
              <w:rPr>
                <w:sz w:val="16"/>
              </w:rPr>
              <w:t>-303.4</w:t>
            </w:r>
          </w:p>
        </w:tc>
        <w:tc>
          <w:tcPr>
            <w:tcW w:w="1100" w:type="dxa"/>
          </w:tcPr>
          <w:p>
            <w:pPr>
              <w:jc w:val="right"/>
              <w:spacing w:before="10" w:after="10"/>
            </w:pPr>
            <w:r/>
            <w:r>
              <w:rPr>
                <w:sz w:val="16"/>
              </w:rPr>
              <w:t>1508.2</w:t>
            </w:r>
          </w:p>
        </w:tc>
      </w:tr>
      <w:tr>
        <w:tc>
          <w:tcPr>
            <w:tcW w:w="700" w:type="dxa"/>
          </w:tcPr>
          <w:p>
            <w:pPr>
              <w:spacing w:before="10" w:after="10"/>
            </w:pPr>
            <w:r/>
            <w:r>
              <w:rPr>
                <w:sz w:val="16"/>
              </w:rPr>
              <w:t>14</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668.4</w:t>
            </w:r>
          </w:p>
        </w:tc>
        <w:tc>
          <w:tcPr>
            <w:tcW w:w="1400" w:type="dxa"/>
          </w:tcPr>
          <w:p>
            <w:pPr>
              <w:jc w:val="right"/>
              <w:spacing w:before="10" w:after="10"/>
            </w:pPr>
            <w:r/>
            <w:r>
              <w:rPr>
                <w:sz w:val="16"/>
              </w:rPr>
              <w:t>634.9</w:t>
            </w:r>
          </w:p>
        </w:tc>
        <w:tc>
          <w:tcPr>
            <w:tcW w:w="1100" w:type="dxa"/>
          </w:tcPr>
          <w:p>
            <w:pPr>
              <w:jc w:val="right"/>
              <w:spacing w:before="10" w:after="10"/>
            </w:pPr>
            <w:r/>
            <w:r>
              <w:rPr>
                <w:sz w:val="16"/>
              </w:rPr>
              <w:t>2143.1</w:t>
            </w:r>
          </w:p>
        </w:tc>
      </w:tr>
      <w:tr>
        <w:tc>
          <w:tcPr>
            <w:tcW w:w="700" w:type="dxa"/>
          </w:tcPr>
          <w:p>
            <w:pPr>
              <w:spacing w:before="10" w:after="10"/>
            </w:pPr>
            <w:r/>
            <w:r>
              <w:rPr>
                <w:sz w:val="16"/>
              </w:rPr>
              <w:t>15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31.7</w:t>
            </w:r>
          </w:p>
        </w:tc>
        <w:tc>
          <w:tcPr>
            <w:tcW w:w="1400" w:type="dxa"/>
          </w:tcPr>
          <w:p>
            <w:pPr>
              <w:jc w:val="right"/>
              <w:spacing w:before="10" w:after="10"/>
            </w:pPr>
            <w:r/>
            <w:r>
              <w:rPr>
                <w:sz w:val="16"/>
              </w:rPr>
              <w:t>669.6</w:t>
            </w:r>
          </w:p>
        </w:tc>
        <w:tc>
          <w:tcPr>
            <w:tcW w:w="1400" w:type="dxa"/>
          </w:tcPr>
          <w:p>
            <w:pPr>
              <w:jc w:val="right"/>
              <w:spacing w:before="10" w:after="10"/>
            </w:pPr>
            <w:r/>
            <w:r>
              <w:rPr>
                <w:sz w:val="16"/>
              </w:rPr>
              <w:t>636.0</w:t>
            </w:r>
          </w:p>
        </w:tc>
        <w:tc>
          <w:tcPr>
            <w:tcW w:w="1100" w:type="dxa"/>
          </w:tcPr>
          <w:p>
            <w:pPr>
              <w:jc w:val="right"/>
              <w:spacing w:before="10" w:after="10"/>
            </w:pPr>
            <w:r/>
            <w:r>
              <w:rPr>
                <w:sz w:val="16"/>
              </w:rPr>
              <w:t>2779.1</w:t>
            </w:r>
          </w:p>
        </w:tc>
      </w:tr>
      <w:tr>
        <w:tc>
          <w:tcPr>
            <w:tcBorders>
              <w:bottom w:val="double" w:sz="4" w:space="0" w:color="auto"/>
            </w:tcBorders>
            <w:tcW w:w="700" w:type="dxa"/>
          </w:tcPr>
          <w:p>
            <w:pPr>
              <w:spacing w:before="10" w:after="10"/>
            </w:pPr>
            <w:r/>
            <w:r>
              <w:rPr>
                <w:sz w:val="16"/>
              </w:rPr>
              <w:t>Total</w:t>
            </w:r>
          </w:p>
        </w:tc>
        <w:tc>
          <w:tcPr>
            <w:tcBorders>
              <w:bottom w:val="double" w:sz="4" w:space="0" w:color="auto"/>
            </w:tcBorders>
            <w:tcW w:w="1400" w:type="dxa"/>
          </w:tcPr>
          <w:p>
            <w:pPr>
              <w:spacing w:before="10" w:after="10"/>
            </w:pPr>
            <w:r/>
            <w:r>
              <w:rPr>
                <w:sz w:val="16"/>
              </w:rPr>
              <w:t>6506.1</w:t>
            </w:r>
          </w:p>
        </w:tc>
        <w:tc>
          <w:tcPr>
            <w:tcBorders>
              <w:bottom w:val="double" w:sz="4" w:space="0" w:color="auto"/>
            </w:tcBorders>
            <w:tcW w:w="1400" w:type="dxa"/>
          </w:tcPr>
          <w:p>
            <w:pPr>
              <w:jc w:val="right"/>
              <w:spacing w:before="10" w:after="10"/>
            </w:pPr>
            <w:r/>
            <w:r>
              <w:rPr>
                <w:sz w:val="16"/>
              </w:rPr>
              <w:t>10118.3</w:t>
            </w:r>
          </w:p>
        </w:tc>
        <w:tc>
          <w:tcPr>
            <w:tcBorders>
              <w:bottom w:val="double" w:sz="4" w:space="0" w:color="auto"/>
            </w:tcBorders>
            <w:tcW w:w="1400" w:type="dxa"/>
          </w:tcPr>
          <w:p>
            <w:pPr>
              <w:jc w:val="right"/>
              <w:spacing w:before="10" w:after="10"/>
            </w:pPr>
            <w:r/>
            <w:r>
              <w:rPr>
                <w:sz w:val="16"/>
              </w:rPr>
              <w:t>472.0</w:t>
            </w:r>
          </w:p>
        </w:tc>
        <w:tc>
          <w:tcPr>
            <w:tcBorders>
              <w:bottom w:val="double" w:sz="4" w:space="0" w:color="auto"/>
            </w:tcBorders>
            <w:tcW w:w="1400" w:type="dxa"/>
          </w:tcPr>
          <w:p>
            <w:pPr>
              <w:jc w:val="right"/>
              <w:spacing w:before="10" w:after="10"/>
            </w:pPr>
            <w:r/>
            <w:r>
              <w:rPr>
                <w:sz w:val="16"/>
              </w:rPr>
              <w:t>9646.4</w:t>
            </w:r>
          </w:p>
        </w:tc>
        <w:tc>
          <w:tcPr>
            <w:tcBorders>
              <w:bottom w:val="double" w:sz="4" w:space="0" w:color="auto"/>
            </w:tcBorders>
            <w:tcW w:w="1400" w:type="dxa"/>
          </w:tcPr>
          <w:p>
            <w:pPr>
              <w:jc w:val="right"/>
              <w:spacing w:before="10" w:after="10"/>
            </w:pPr>
            <w:r/>
            <w:r>
              <w:rPr>
                <w:sz w:val="16"/>
              </w:rPr>
              <w:t>2779.1</w:t>
            </w:r>
          </w:p>
        </w:tc>
        <w:tc>
          <w:tcPr>
            <w:tcBorders>
              <w:bottom w:val="double" w:sz="4" w:space="0" w:color="auto"/>
            </w:tcBorders>
            <w:tcW w:w="1100" w:type="dxa"/>
          </w:tcPr>
          <w:p>
            <w:pPr>
              <w:jc w:val="right"/>
              <w:spacing w:before="10" w:after="10"/>
            </w:pPr>
            <w:r/>
            <w:r>
              <w:rPr>
                <w:sz w:val="16"/>
              </w:rPr>
            </w:r>
          </w:p>
        </w:tc>
      </w:tr>
    </w:tbl>
    <w:p>
      <w:pPr>
        <w:spacing w:before="0" w:after="80"/>
        <w:ind w:firstLine="0"/>
        <w:jc w:val="both"/>
      </w:pPr>
      <w:r>
        <w:t>The project yields an NPV of $353M at a 12.6% WACC, an IRR of 17.6%, and a simple payback in year 6. GPU hardware accounts for $5850M of the $6506M total CAPEX (90%), and electricity represents 53% of operating costs.</w:t>
      </w:r>
    </w:p>
    <w:p>
      <w:pPr>
        <w:spacing w:before="0" w:after="0"/>
      </w:pPr>
      <w:r>
        <w:br w:type="page"/>
      </w:r>
    </w:p>
    <w:p>
      <w:pPr>
        <w:spacing w:before="0" w:after="60"/>
        <w:ind w:firstLine="0"/>
        <w:jc w:val="both"/>
      </w:pPr>
      <w:bookmarkStart w:id="148" w:name="TableA6"/>
      <w:hyperlink w:anchor="TableA6txt" w:history="1">
        <w:r>
          <w:rPr>
            <w:b/>
            <w:sz w:val="20"/>
            <w:color w:val="1F3864"/>
            <w:u w:val="single"/>
          </w:rPr>
          <w:t>Table A6</w:t>
        </w:r>
      </w:hyperlink>
      <w:bookmarkEnd w:id="148"/>
      <w:r>
        <w:rPr>
          <w:b/>
          <w:sz w:val="20"/>
        </w:rPr>
        <w:t>. Sensitivity of investment returns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800" w:type="dxa"/>
          </w:tcPr>
          <w:p>
            <w:pPr>
              <w:jc w:val="center"/>
              <w:spacing w:before="10" w:after="10"/>
            </w:pPr>
            <w:r/>
            <w:r>
              <w:rPr>
                <w:b/>
                <w:sz w:val="16"/>
              </w:rPr>
              <w:t>Scenario</w:t>
            </w:r>
          </w:p>
        </w:tc>
        <w:tc>
          <w:tcPr>
            <w:tcBorders>
              <w:top w:val="single" w:sz="4" w:space="0" w:color="auto"/>
              <w:bottom w:val="single" w:sz="4" w:space="0" w:color="auto"/>
            </w:tcBorders>
            <w:tcW w:w="2400" w:type="dxa"/>
          </w:tcPr>
          <w:p>
            <w:pPr>
              <w:jc w:val="center"/>
              <w:spacing w:before="10" w:after="10"/>
            </w:pPr>
            <w:r/>
            <w:r>
              <w:rPr>
                <w:b/>
                <w:sz w:val="16"/>
              </w:rPr>
              <w:t>NPV ($M)</w:t>
            </w:r>
          </w:p>
        </w:tc>
        <w:tc>
          <w:tcPr>
            <w:tcBorders>
              <w:top w:val="single" w:sz="4" w:space="0" w:color="auto"/>
              <w:bottom w:val="single" w:sz="4" w:space="0" w:color="auto"/>
            </w:tcBorders>
            <w:tcW w:w="2600" w:type="dxa"/>
          </w:tcPr>
          <w:p>
            <w:pPr>
              <w:jc w:val="center"/>
              <w:spacing w:before="10" w:after="10"/>
            </w:pPr>
            <w:r/>
            <w:r>
              <w:rPr>
                <w:b/>
                <w:sz w:val="16"/>
              </w:rPr>
              <w:t>IRR</w:t>
            </w:r>
          </w:p>
        </w:tc>
      </w:tr>
      <w:tr>
        <w:tc>
          <w:tcPr>
            <w:tcW w:w="3800" w:type="dxa"/>
          </w:tcPr>
          <w:p>
            <w:pPr>
              <w:spacing w:before="10" w:after="10"/>
            </w:pPr>
            <w:r/>
            <w:r>
              <w:rPr>
                <w:sz w:val="16"/>
              </w:rPr>
              <w:t>Base case</w:t>
            </w:r>
          </w:p>
        </w:tc>
        <w:tc>
          <w:tcPr>
            <w:tcW w:w="2400" w:type="dxa"/>
          </w:tcPr>
          <w:p>
            <w:pPr>
              <w:jc w:val="center"/>
              <w:spacing w:before="10" w:after="10"/>
            </w:pPr>
            <w:r/>
            <w:r>
              <w:rPr>
                <w:sz w:val="16"/>
              </w:rPr>
              <w:t>$353</w:t>
            </w:r>
          </w:p>
        </w:tc>
        <w:tc>
          <w:tcPr>
            <w:tcW w:w="2600" w:type="dxa"/>
          </w:tcPr>
          <w:p>
            <w:pPr>
              <w:jc w:val="center"/>
              <w:spacing w:before="10" w:after="10"/>
            </w:pPr>
            <w:r/>
            <w:r>
              <w:rPr>
                <w:sz w:val="16"/>
              </w:rPr>
              <w:t>17.6%</w:t>
            </w:r>
          </w:p>
        </w:tc>
      </w:tr>
      <w:tr>
        <w:tc>
          <w:tcPr>
            <w:tcW w:w="3800" w:type="dxa"/>
          </w:tcPr>
          <w:p>
            <w:pPr>
              <w:spacing w:before="10" w:after="10"/>
            </w:pPr>
            <w:r/>
            <w:r>
              <w:rPr>
                <w:sz w:val="16"/>
              </w:rPr>
              <w:t>GPU price −20%</w:t>
            </w:r>
          </w:p>
        </w:tc>
        <w:tc>
          <w:tcPr>
            <w:tcW w:w="2400" w:type="dxa"/>
          </w:tcPr>
          <w:p>
            <w:pPr>
              <w:jc w:val="center"/>
              <w:spacing w:before="10" w:after="10"/>
            </w:pPr>
            <w:r/>
            <w:r>
              <w:rPr>
                <w:sz w:val="16"/>
              </w:rPr>
              <w:t>$930</w:t>
            </w:r>
          </w:p>
        </w:tc>
        <w:tc>
          <w:tcPr>
            <w:tcW w:w="2600" w:type="dxa"/>
          </w:tcPr>
          <w:p>
            <w:pPr>
              <w:jc w:val="center"/>
              <w:spacing w:before="10" w:after="10"/>
            </w:pPr>
            <w:r/>
            <w:r>
              <w:rPr>
                <w:sz w:val="16"/>
              </w:rPr>
              <w:t>27.6%</w:t>
            </w:r>
          </w:p>
        </w:tc>
      </w:tr>
      <w:tr>
        <w:tc>
          <w:tcPr>
            <w:tcW w:w="3800" w:type="dxa"/>
          </w:tcPr>
          <w:p>
            <w:pPr>
              <w:spacing w:before="10" w:after="10"/>
            </w:pPr>
            <w:r/>
            <w:r>
              <w:rPr>
                <w:sz w:val="16"/>
              </w:rPr>
              <w:t>GPU price +20%</w:t>
            </w:r>
          </w:p>
        </w:tc>
        <w:tc>
          <w:tcPr>
            <w:tcW w:w="2400" w:type="dxa"/>
          </w:tcPr>
          <w:p>
            <w:pPr>
              <w:jc w:val="center"/>
              <w:spacing w:before="10" w:after="10"/>
            </w:pPr>
            <w:r/>
            <w:r>
              <w:rPr>
                <w:sz w:val="16"/>
              </w:rPr>
              <w:t>$-225</w:t>
            </w:r>
          </w:p>
        </w:tc>
        <w:tc>
          <w:tcPr>
            <w:tcW w:w="2600" w:type="dxa"/>
          </w:tcPr>
          <w:p>
            <w:pPr>
              <w:jc w:val="center"/>
              <w:spacing w:before="10" w:after="10"/>
            </w:pPr>
            <w:r/>
            <w:r>
              <w:rPr>
                <w:sz w:val="16"/>
              </w:rPr>
              <w:t>9.7%</w:t>
            </w:r>
          </w:p>
        </w:tc>
      </w:tr>
      <w:tr>
        <w:tc>
          <w:tcPr>
            <w:tcW w:w="3800" w:type="dxa"/>
          </w:tcPr>
          <w:p>
            <w:pPr>
              <w:spacing w:before="10" w:after="10"/>
            </w:pPr>
            <w:r/>
            <w:r>
              <w:rPr>
                <w:sz w:val="16"/>
              </w:rPr>
              <w:t>Electricity +50%</w:t>
            </w:r>
          </w:p>
        </w:tc>
        <w:tc>
          <w:tcPr>
            <w:tcW w:w="2400" w:type="dxa"/>
          </w:tcPr>
          <w:p>
            <w:pPr>
              <w:jc w:val="center"/>
              <w:spacing w:before="10" w:after="10"/>
            </w:pPr>
            <w:r/>
            <w:r>
              <w:rPr>
                <w:sz w:val="16"/>
              </w:rPr>
              <w:t>$305</w:t>
            </w:r>
          </w:p>
        </w:tc>
        <w:tc>
          <w:tcPr>
            <w:tcW w:w="2600" w:type="dxa"/>
          </w:tcPr>
          <w:p>
            <w:pPr>
              <w:jc w:val="center"/>
              <w:spacing w:before="10" w:after="10"/>
            </w:pPr>
            <w:r/>
            <w:r>
              <w:rPr>
                <w:sz w:val="16"/>
              </w:rPr>
              <w:t>16.9%</w:t>
            </w:r>
          </w:p>
        </w:tc>
      </w:tr>
      <w:tr>
        <w:tc>
          <w:tcPr>
            <w:tcW w:w="3800" w:type="dxa"/>
          </w:tcPr>
          <w:p>
            <w:pPr>
              <w:spacing w:before="10" w:after="10"/>
            </w:pPr>
            <w:r/>
            <w:r>
              <w:rPr>
                <w:sz w:val="16"/>
              </w:rPr>
              <w:t>Electricity −25%</w:t>
            </w:r>
          </w:p>
        </w:tc>
        <w:tc>
          <w:tcPr>
            <w:tcW w:w="2400" w:type="dxa"/>
          </w:tcPr>
          <w:p>
            <w:pPr>
              <w:jc w:val="center"/>
              <w:spacing w:before="10" w:after="10"/>
            </w:pPr>
            <w:r/>
            <w:r>
              <w:rPr>
                <w:sz w:val="16"/>
              </w:rPr>
              <w:t>$377</w:t>
            </w:r>
          </w:p>
        </w:tc>
        <w:tc>
          <w:tcPr>
            <w:tcW w:w="2600" w:type="dxa"/>
          </w:tcPr>
          <w:p>
            <w:pPr>
              <w:jc w:val="center"/>
              <w:spacing w:before="10" w:after="10"/>
            </w:pPr>
            <w:r/>
            <w:r>
              <w:rPr>
                <w:sz w:val="16"/>
              </w:rPr>
              <w:t>17.9%</w:t>
            </w:r>
          </w:p>
        </w:tc>
      </w:tr>
      <w:tr>
        <w:tc>
          <w:tcPr>
            <w:tcW w:w="3800" w:type="dxa"/>
          </w:tcPr>
          <w:p>
            <w:pPr>
              <w:spacing w:before="10" w:after="10"/>
            </w:pPr>
            <w:r/>
            <w:r>
              <w:rPr>
                <w:sz w:val="16"/>
              </w:rPr>
              <w:t>Revenue +5%</w:t>
            </w:r>
          </w:p>
        </w:tc>
        <w:tc>
          <w:tcPr>
            <w:tcW w:w="2400" w:type="dxa"/>
          </w:tcPr>
          <w:p>
            <w:pPr>
              <w:jc w:val="center"/>
              <w:spacing w:before="10" w:after="10"/>
            </w:pPr>
            <w:r/>
            <w:r>
              <w:rPr>
                <w:sz w:val="16"/>
              </w:rPr>
              <w:t>$509</w:t>
            </w:r>
          </w:p>
        </w:tc>
        <w:tc>
          <w:tcPr>
            <w:tcW w:w="2600" w:type="dxa"/>
          </w:tcPr>
          <w:p>
            <w:pPr>
              <w:jc w:val="center"/>
              <w:spacing w:before="10" w:after="10"/>
            </w:pPr>
            <w:r/>
            <w:r>
              <w:rPr>
                <w:sz w:val="16"/>
              </w:rPr>
              <w:t>19.8%</w:t>
            </w:r>
          </w:p>
        </w:tc>
      </w:tr>
      <w:tr>
        <w:tc>
          <w:tcPr>
            <w:tcW w:w="3800" w:type="dxa"/>
          </w:tcPr>
          <w:p>
            <w:pPr>
              <w:spacing w:before="10" w:after="10"/>
            </w:pPr>
            <w:r/>
            <w:r>
              <w:rPr>
                <w:sz w:val="16"/>
              </w:rPr>
              <w:t>Revenue −5%</w:t>
            </w:r>
          </w:p>
        </w:tc>
        <w:tc>
          <w:tcPr>
            <w:tcW w:w="2400" w:type="dxa"/>
          </w:tcPr>
          <w:p>
            <w:pPr>
              <w:jc w:val="center"/>
              <w:spacing w:before="10" w:after="10"/>
            </w:pPr>
            <w:r/>
            <w:r>
              <w:rPr>
                <w:sz w:val="16"/>
              </w:rPr>
              <w:t>$198</w:t>
            </w:r>
          </w:p>
        </w:tc>
        <w:tc>
          <w:tcPr>
            <w:tcW w:w="2600" w:type="dxa"/>
          </w:tcPr>
          <w:p>
            <w:pPr>
              <w:jc w:val="center"/>
              <w:spacing w:before="10" w:after="10"/>
            </w:pPr>
            <w:r/>
            <w:r>
              <w:rPr>
                <w:sz w:val="16"/>
              </w:rPr>
              <w:t>15.4%</w:t>
            </w:r>
          </w:p>
        </w:tc>
      </w:tr>
      <w:tr>
        <w:tc>
          <w:tcPr>
            <w:tcW w:w="3800" w:type="dxa"/>
          </w:tcPr>
          <w:p>
            <w:pPr>
              <w:spacing w:before="10" w:after="10"/>
            </w:pPr>
            <w:r/>
            <w:r>
              <w:rPr>
                <w:sz w:val="16"/>
              </w:rPr>
              <w:t>Utilization 80%</w:t>
            </w:r>
          </w:p>
        </w:tc>
        <w:tc>
          <w:tcPr>
            <w:tcW w:w="2400" w:type="dxa"/>
          </w:tcPr>
          <w:p>
            <w:pPr>
              <w:jc w:val="center"/>
              <w:spacing w:before="10" w:after="10"/>
            </w:pPr>
            <w:r/>
            <w:r>
              <w:rPr>
                <w:sz w:val="16"/>
              </w:rPr>
              <w:t>$957</w:t>
            </w:r>
          </w:p>
        </w:tc>
        <w:tc>
          <w:tcPr>
            <w:tcW w:w="2600" w:type="dxa"/>
          </w:tcPr>
          <w:p>
            <w:pPr>
              <w:jc w:val="center"/>
              <w:spacing w:before="10" w:after="10"/>
            </w:pPr>
            <w:r/>
            <w:r>
              <w:rPr>
                <w:sz w:val="16"/>
              </w:rPr>
              <w:t>26.4%</w:t>
            </w:r>
          </w:p>
        </w:tc>
      </w:tr>
      <w:tr>
        <w:tc>
          <w:tcPr>
            <w:tcW w:w="3800" w:type="dxa"/>
          </w:tcPr>
          <w:p>
            <w:pPr>
              <w:spacing w:before="10" w:after="10"/>
            </w:pPr>
            <w:r/>
            <w:r>
              <w:rPr>
                <w:sz w:val="16"/>
              </w:rPr>
              <w:t>Utilization 60%</w:t>
            </w:r>
          </w:p>
        </w:tc>
        <w:tc>
          <w:tcPr>
            <w:tcW w:w="2400" w:type="dxa"/>
          </w:tcPr>
          <w:p>
            <w:pPr>
              <w:jc w:val="center"/>
              <w:spacing w:before="10" w:after="10"/>
            </w:pPr>
            <w:r/>
            <w:r>
              <w:rPr>
                <w:sz w:val="16"/>
              </w:rPr>
              <w:t>$-253</w:t>
            </w:r>
          </w:p>
        </w:tc>
        <w:tc>
          <w:tcPr>
            <w:tcW w:w="2600" w:type="dxa"/>
          </w:tcPr>
          <w:p>
            <w:pPr>
              <w:jc w:val="center"/>
              <w:spacing w:before="10" w:after="10"/>
            </w:pPr>
            <w:r/>
            <w:r>
              <w:rPr>
                <w:sz w:val="16"/>
              </w:rPr>
              <w:t>9.0%</w:t>
            </w:r>
          </w:p>
        </w:tc>
      </w:tr>
      <w:tr>
        <w:tc>
          <w:tcPr>
            <w:tcW w:w="3800" w:type="dxa"/>
          </w:tcPr>
          <w:p>
            <w:pPr>
              <w:spacing w:before="10" w:after="10"/>
            </w:pPr>
            <w:r/>
            <w:r>
              <w:rPr>
                <w:sz w:val="16"/>
              </w:rPr>
              <w:t>WACC 10%</w:t>
            </w:r>
          </w:p>
        </w:tc>
        <w:tc>
          <w:tcPr>
            <w:tcW w:w="2400" w:type="dxa"/>
          </w:tcPr>
          <w:p>
            <w:pPr>
              <w:jc w:val="center"/>
              <w:spacing w:before="10" w:after="10"/>
            </w:pPr>
            <w:r/>
            <w:r>
              <w:rPr>
                <w:sz w:val="16"/>
              </w:rPr>
              <w:t>$619</w:t>
            </w:r>
          </w:p>
        </w:tc>
        <w:tc>
          <w:tcPr>
            <w:tcW w:w="2600" w:type="dxa"/>
          </w:tcPr>
          <w:p>
            <w:pPr>
              <w:jc w:val="center"/>
              <w:spacing w:before="10" w:after="10"/>
            </w:pPr>
            <w:r/>
            <w:r>
              <w:rPr>
                <w:sz w:val="16"/>
              </w:rPr>
              <w:t>17.6%</w:t>
            </w:r>
          </w:p>
        </w:tc>
      </w:tr>
      <w:tr>
        <w:tc>
          <w:tcPr>
            <w:tcBorders>
              <w:bottom w:val="double" w:sz="4" w:space="0" w:color="auto"/>
            </w:tcBorders>
            <w:tcW w:w="3800" w:type="dxa"/>
          </w:tcPr>
          <w:p>
            <w:pPr>
              <w:spacing w:before="10" w:after="10"/>
            </w:pPr>
            <w:r/>
            <w:r>
              <w:rPr>
                <w:sz w:val="16"/>
              </w:rPr>
              <w:t>WACC 16%</w:t>
            </w:r>
          </w:p>
        </w:tc>
        <w:tc>
          <w:tcPr>
            <w:tcBorders>
              <w:bottom w:val="double" w:sz="4" w:space="0" w:color="auto"/>
            </w:tcBorders>
            <w:tcW w:w="2400" w:type="dxa"/>
          </w:tcPr>
          <w:p>
            <w:pPr>
              <w:jc w:val="center"/>
              <w:spacing w:before="10" w:after="10"/>
            </w:pPr>
            <w:r/>
            <w:r>
              <w:rPr>
                <w:sz w:val="16"/>
              </w:rPr>
              <w:t>$95</w:t>
            </w:r>
          </w:p>
        </w:tc>
        <w:tc>
          <w:tcPr>
            <w:tcBorders>
              <w:bottom w:val="double" w:sz="4" w:space="0" w:color="auto"/>
            </w:tcBorders>
            <w:tcW w:w="2600" w:type="dxa"/>
          </w:tcPr>
          <w:p>
            <w:pPr>
              <w:jc w:val="center"/>
              <w:spacing w:before="10" w:after="10"/>
            </w:pPr>
            <w:r/>
            <w:r>
              <w:rPr>
                <w:sz w:val="16"/>
              </w:rPr>
              <w:t>17.6%</w:t>
            </w:r>
          </w:p>
        </w:tc>
      </w:tr>
    </w:tbl>
    <w:p>
      <w:pPr>
        <w:spacing w:before="0" w:after="80"/>
        <w:ind w:firstLine="0"/>
        <w:jc w:val="both"/>
      </w:pPr>
      <w:r>
        <w:rPr>
          <w:b/>
        </w:rPr>
        <w:t xml:space="preserve">Risks. </w:t>
      </w:r>
      <w:r>
        <w:t>Kyrgyzstan depends on the Toktogul reservoir for over 80% of electricity; seasonal drawdowns and drought years create acute power shortages. GPU procurement faces US export-control uncertainty. The production-efficiency index assigns Kyrgyzstan a governance score of 0.50, reflecting underdeveloped contract enforcement and regulatory frameworks. Despite these risks, the engineering economics are clear: electricity at $0.038/kWh and a PUE of 1.08 yield production costs well below the global median, and the positive NPV survives eight of ten perturbations in Table A6. The share of this surplus retained in Kyrgyzstan depends on the ownership and fiscal structure: if the facility is owned by a foreign hyperscaler, most operating surplus flows abroad as repatriated profits, and the host country retains only the electricity payment and construction-phase employment unless the government captures rent through taxation, equity participation, or resource royalties.</w:t>
      </w:r>
    </w:p>
    <w:p>
      <w:pPr>
        <w:spacing w:before="0" w:after="0"/>
      </w:pPr>
      <w:r>
        <w:br w:type="page"/>
      </w:r>
    </w:p>
    <w:p>
      <w:pPr>
        <w:pStyle w:val="Heading1"/>
      </w:pPr>
      <w:r>
        <w:rPr>
          <w:rFonts w:ascii="Times New Roman" w:hAnsi="Times New Roman"/>
          <w:b/>
          <w:color w:val="2F5496"/>
          <w:sz w:val="28"/>
        </w:rPr>
        <w:t>Appendix E: Construction Cost Regression</w:t>
      </w:r>
    </w:p>
    <w:p>
      <w:pPr>
        <w:spacing w:before="0" w:after="160"/>
        <w:ind w:firstLine="0"/>
        <w:jc w:val="both"/>
      </w:pPr>
      <w:bookmarkStart w:id="151" w:name="TableA7txt"/>
      <w:bookmarkEnd w:id="151"/>
      <w:r>
        <w:t xml:space="preserve">Data center construction costs per watt of IT capacity are observed for 37 countries from the Turner &amp; Townsend Data Centre Construction Cost Index 2025 (52 markets). For the remaining countries, construction costs are predicted using the log-linear regression reported in </w:t>
      </w:r>
      <w:hyperlink w:anchor="TableA7" w:history="1">
        <w:r>
          <w:rPr>
            <w:color w:val="1F3864"/>
            <w:u w:val="single"/>
          </w:rPr>
          <w:t xml:space="preserve">Table A7</w:t>
        </w:r>
      </w:hyperlink>
      <w:r>
        <w:t>. The dependent variable is ln($/W). Since construction accounts for only 3–6% of total per-GPU-hour costs, imputation error has limited impact on cost rankings.</w:t>
      </w:r>
    </w:p>
    <w:p>
      <w:pPr>
        <w:spacing w:before="0" w:after="60"/>
        <w:ind w:firstLine="0"/>
        <w:jc w:val="both"/>
      </w:pPr>
      <w:bookmarkStart w:id="150" w:name="TableA7"/>
      <w:hyperlink w:anchor="TableA7txt" w:history="1">
        <w:r>
          <w:rPr>
            <w:b/>
            <w:sz w:val="20"/>
            <w:color w:val="1F3864"/>
            <w:u w:val="single"/>
          </w:rPr>
          <w:t>Table A7</w:t>
        </w:r>
      </w:hyperlink>
      <w:bookmarkEnd w:id="150"/>
      <w:r>
        <w:rPr>
          <w:b/>
          <w:sz w:val="20"/>
        </w:rPr>
        <w:t>. Construction cost regression: ln($/W)</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600" w:type="dxa"/>
          </w:tcPr>
          <w:p>
            <w:pPr>
              <w:jc w:val="center"/>
              <w:spacing w:before="10" w:after="10"/>
            </w:pPr>
            <w:r/>
            <w:r>
              <w:rPr>
                <w:b/>
                <w:sz w:val="16"/>
              </w:rPr>
              <w:t>Variable</w:t>
            </w:r>
          </w:p>
        </w:tc>
        <w:tc>
          <w:tcPr>
            <w:tcBorders>
              <w:top w:val="single" w:sz="4" w:space="0" w:color="auto"/>
              <w:bottom w:val="single" w:sz="4" w:space="0" w:color="auto"/>
            </w:tcBorders>
            <w:tcW w:w="2200" w:type="dxa"/>
          </w:tcPr>
          <w:p>
            <w:pPr>
              <w:jc w:val="center"/>
              <w:spacing w:before="10" w:after="10"/>
            </w:pPr>
            <w:r/>
            <w:r>
              <w:rPr>
                <w:b/>
                <w:sz w:val="16"/>
              </w:rPr>
              <w:t>Coefficient</w:t>
            </w:r>
          </w:p>
        </w:tc>
        <w:tc>
          <w:tcPr>
            <w:tcBorders>
              <w:top w:val="single" w:sz="4" w:space="0" w:color="auto"/>
              <w:bottom w:val="single" w:sz="4" w:space="0" w:color="auto"/>
            </w:tcBorders>
            <w:tcW w:w="2200" w:type="dxa"/>
          </w:tcPr>
          <w:p>
            <w:pPr>
              <w:jc w:val="center"/>
              <w:spacing w:before="10" w:after="10"/>
            </w:pPr>
            <w:r/>
            <w:r>
              <w:rPr>
                <w:b/>
                <w:sz w:val="16"/>
              </w:rPr>
              <w:t>Std. Error</w:t>
            </w:r>
          </w:p>
        </w:tc>
      </w:tr>
      <w:tr>
        <w:tc>
          <w:tcPr>
            <w:tcW w:w="3600" w:type="dxa"/>
          </w:tcPr>
          <w:p>
            <w:pPr>
              <w:spacing w:before="10" w:after="10"/>
            </w:pPr>
            <w:r/>
            <w:r>
              <w:rPr>
                <w:sz w:val="16"/>
              </w:rPr>
              <w:t>Intercept</w:t>
            </w:r>
          </w:p>
        </w:tc>
        <w:tc>
          <w:tcPr>
            <w:tcW w:w="2200" w:type="dxa"/>
          </w:tcPr>
          <w:p>
            <w:pPr>
              <w:jc w:val="center"/>
              <w:spacing w:before="10" w:after="10"/>
            </w:pPr>
            <w:r/>
            <w:r>
              <w:rPr>
                <w:sz w:val="16"/>
              </w:rPr>
              <w:t>1.753</w:t>
            </w:r>
          </w:p>
        </w:tc>
        <w:tc>
          <w:tcPr>
            <w:tcW w:w="2200" w:type="dxa"/>
          </w:tcPr>
          <w:p>
            <w:pPr>
              <w:jc w:val="center"/>
              <w:spacing w:before="10" w:after="10"/>
            </w:pPr>
            <w:r>
              <w:rPr>
                <w:i/>
              </w:rPr>
            </w:r>
            <w:r>
              <w:rPr>
                <w:sz w:val="16"/>
                <w:i/>
              </w:rPr>
              <w:t>(1.467)</w:t>
            </w:r>
          </w:p>
        </w:tc>
      </w:tr>
      <w:tr>
        <w:tc>
          <w:tcPr>
            <w:tcW w:w="3600" w:type="dxa"/>
          </w:tcPr>
          <w:p>
            <w:pPr>
              <w:spacing w:before="10" w:after="10"/>
            </w:pPr>
            <w:r/>
            <w:r>
              <w:rPr>
                <w:sz w:val="16"/>
              </w:rPr>
              <w:t>ln(GDP per capita)</w:t>
            </w:r>
          </w:p>
        </w:tc>
        <w:tc>
          <w:tcPr>
            <w:tcW w:w="2200" w:type="dxa"/>
          </w:tcPr>
          <w:p>
            <w:pPr>
              <w:jc w:val="center"/>
              <w:spacing w:before="10" w:after="10"/>
            </w:pPr>
            <w:r/>
            <w:r>
              <w:rPr>
                <w:sz w:val="16"/>
              </w:rPr>
              <w:t>0.056</w:t>
            </w:r>
          </w:p>
        </w:tc>
        <w:tc>
          <w:tcPr>
            <w:tcW w:w="2200" w:type="dxa"/>
          </w:tcPr>
          <w:p>
            <w:pPr>
              <w:jc w:val="center"/>
              <w:spacing w:before="10" w:after="10"/>
            </w:pPr>
            <w:r>
              <w:rPr>
                <w:i/>
              </w:rPr>
            </w:r>
            <w:r>
              <w:rPr>
                <w:sz w:val="16"/>
                <w:i/>
              </w:rPr>
              <w:t>(0.114)</w:t>
            </w:r>
          </w:p>
        </w:tc>
      </w:tr>
      <w:tr>
        <w:tc>
          <w:tcPr>
            <w:tcW w:w="3600" w:type="dxa"/>
          </w:tcPr>
          <w:p>
            <w:pPr>
              <w:spacing w:before="10" w:after="10"/>
            </w:pPr>
            <w:r/>
            <w:r>
              <w:rPr>
                <w:sz w:val="16"/>
              </w:rPr>
              <w:t>ln(Population)</w:t>
            </w:r>
          </w:p>
        </w:tc>
        <w:tc>
          <w:tcPr>
            <w:tcW w:w="2200" w:type="dxa"/>
          </w:tcPr>
          <w:p>
            <w:pPr>
              <w:jc w:val="center"/>
              <w:spacing w:before="10" w:after="10"/>
            </w:pPr>
            <w:r/>
            <w:r>
              <w:rPr>
                <w:sz w:val="16"/>
              </w:rPr>
              <w:t>-0.020</w:t>
            </w:r>
          </w:p>
        </w:tc>
        <w:tc>
          <w:tcPr>
            <w:tcW w:w="2200" w:type="dxa"/>
          </w:tcPr>
          <w:p>
            <w:pPr>
              <w:jc w:val="center"/>
              <w:spacing w:before="10" w:after="10"/>
            </w:pPr>
            <w:r>
              <w:rPr>
                <w:i/>
              </w:rPr>
            </w:r>
            <w:r>
              <w:rPr>
                <w:sz w:val="16"/>
                <w:i/>
              </w:rPr>
              <w:t>(0.027)</w:t>
            </w:r>
          </w:p>
        </w:tc>
      </w:tr>
      <w:tr>
        <w:tc>
          <w:tcPr>
            <w:tcW w:w="3600" w:type="dxa"/>
          </w:tcPr>
          <w:p>
            <w:pPr>
              <w:spacing w:before="10" w:after="10"/>
            </w:pPr>
            <w:r/>
            <w:r>
              <w:rPr>
                <w:sz w:val="16"/>
              </w:rPr>
              <w:t>Urban population share</w:t>
            </w:r>
          </w:p>
        </w:tc>
        <w:tc>
          <w:tcPr>
            <w:tcW w:w="2200" w:type="dxa"/>
          </w:tcPr>
          <w:p>
            <w:pPr>
              <w:jc w:val="center"/>
              <w:spacing w:before="10" w:after="10"/>
            </w:pPr>
            <w:r/>
            <w:r>
              <w:rPr>
                <w:sz w:val="16"/>
              </w:rPr>
              <w:t>0.459</w:t>
            </w:r>
          </w:p>
        </w:tc>
        <w:tc>
          <w:tcPr>
            <w:tcW w:w="2200" w:type="dxa"/>
          </w:tcPr>
          <w:p>
            <w:pPr>
              <w:jc w:val="center"/>
              <w:spacing w:before="10" w:after="10"/>
            </w:pPr>
            <w:r>
              <w:rPr>
                <w:i/>
              </w:rPr>
            </w:r>
            <w:r>
              <w:rPr>
                <w:sz w:val="16"/>
                <w:i/>
              </w:rPr>
              <w:t>(0.355)</w:t>
            </w:r>
          </w:p>
        </w:tc>
      </w:tr>
      <w:tr>
        <w:tc>
          <w:tcPr>
            <w:tcW w:w="3600" w:type="dxa"/>
          </w:tcPr>
          <w:p>
            <w:pPr>
              <w:spacing w:before="10" w:after="10"/>
            </w:pPr>
            <w:r/>
            <w:r>
              <w:rPr>
                <w:sz w:val="16"/>
              </w:rPr>
              <w:t>Seismic zone indicator</w:t>
            </w:r>
          </w:p>
        </w:tc>
        <w:tc>
          <w:tcPr>
            <w:tcW w:w="2200" w:type="dxa"/>
          </w:tcPr>
          <w:p>
            <w:pPr>
              <w:jc w:val="center"/>
              <w:spacing w:before="10" w:after="10"/>
            </w:pPr>
            <w:r/>
            <w:r>
              <w:rPr>
                <w:sz w:val="16"/>
              </w:rPr>
              <w:t>-0.053</w:t>
            </w:r>
          </w:p>
        </w:tc>
        <w:tc>
          <w:tcPr>
            <w:tcW w:w="2200" w:type="dxa"/>
          </w:tcPr>
          <w:p>
            <w:pPr>
              <w:jc w:val="center"/>
              <w:spacing w:before="10" w:after="10"/>
            </w:pPr>
            <w:r>
              <w:rPr>
                <w:i/>
              </w:rPr>
            </w:r>
            <w:r>
              <w:rPr>
                <w:sz w:val="16"/>
                <w:i/>
              </w:rPr>
              <w:t>(0.077)</w:t>
            </w:r>
          </w:p>
        </w:tc>
      </w:tr>
      <w:tr>
        <w:tc>
          <w:tcPr>
            <w:tcW w:w="3600" w:type="dxa"/>
          </w:tcPr>
          <w:p>
            <w:pPr>
              <w:spacing w:before="10" w:after="10"/>
            </w:pPr>
            <w:r/>
            <w:r>
              <w:rPr>
                <w:sz w:val="16"/>
              </w:rPr>
              <w:t>East Asia &amp; Pacific</w:t>
            </w:r>
          </w:p>
        </w:tc>
        <w:tc>
          <w:tcPr>
            <w:tcW w:w="2200" w:type="dxa"/>
          </w:tcPr>
          <w:p>
            <w:pPr>
              <w:jc w:val="center"/>
              <w:spacing w:before="10" w:after="10"/>
            </w:pPr>
            <w:r/>
            <w:r>
              <w:rPr>
                <w:sz w:val="16"/>
              </w:rPr>
              <w:t>0.054</w:t>
            </w:r>
          </w:p>
        </w:tc>
        <w:tc>
          <w:tcPr>
            <w:tcW w:w="2200" w:type="dxa"/>
          </w:tcPr>
          <w:p>
            <w:pPr>
              <w:jc w:val="center"/>
              <w:spacing w:before="10" w:after="10"/>
            </w:pPr>
            <w:r>
              <w:rPr>
                <w:i/>
              </w:rPr>
            </w:r>
            <w:r>
              <w:rPr>
                <w:sz w:val="16"/>
                <w:i/>
              </w:rPr>
              <w:t>(0.084)</w:t>
            </w:r>
          </w:p>
        </w:tc>
      </w:tr>
      <w:tr>
        <w:tc>
          <w:tcPr>
            <w:tcW w:w="3600" w:type="dxa"/>
          </w:tcPr>
          <w:p>
            <w:pPr>
              <w:spacing w:before="10" w:after="10"/>
            </w:pPr>
            <w:r/>
            <w:r>
              <w:rPr>
                <w:sz w:val="16"/>
              </w:rPr>
              <w:t>Latin America &amp; Caribbean</w:t>
            </w:r>
          </w:p>
        </w:tc>
        <w:tc>
          <w:tcPr>
            <w:tcW w:w="2200" w:type="dxa"/>
          </w:tcPr>
          <w:p>
            <w:pPr>
              <w:jc w:val="center"/>
              <w:spacing w:before="10" w:after="10"/>
            </w:pPr>
            <w:r/>
            <w:r>
              <w:rPr>
                <w:sz w:val="16"/>
              </w:rPr>
              <w:t>-0.106</w:t>
            </w:r>
          </w:p>
        </w:tc>
        <w:tc>
          <w:tcPr>
            <w:tcW w:w="2200" w:type="dxa"/>
          </w:tcPr>
          <w:p>
            <w:pPr>
              <w:jc w:val="center"/>
              <w:spacing w:before="10" w:after="10"/>
            </w:pPr>
            <w:r>
              <w:rPr>
                <w:i/>
              </w:rPr>
            </w:r>
            <w:r>
              <w:rPr>
                <w:sz w:val="16"/>
                <w:i/>
              </w:rPr>
              <w:t>(0.141)</w:t>
            </w:r>
          </w:p>
        </w:tc>
      </w:tr>
      <w:tr>
        <w:tc>
          <w:tcPr>
            <w:tcW w:w="3600" w:type="dxa"/>
          </w:tcPr>
          <w:p>
            <w:pPr>
              <w:spacing w:before="10" w:after="10"/>
            </w:pPr>
            <w:r/>
            <w:r>
              <w:rPr>
                <w:sz w:val="16"/>
              </w:rPr>
              <w:t>Middle East</w:t>
            </w:r>
          </w:p>
        </w:tc>
        <w:tc>
          <w:tcPr>
            <w:tcW w:w="2200" w:type="dxa"/>
          </w:tcPr>
          <w:p>
            <w:pPr>
              <w:jc w:val="center"/>
              <w:spacing w:before="10" w:after="10"/>
            </w:pPr>
            <w:r/>
            <w:r>
              <w:rPr>
                <w:sz w:val="16"/>
              </w:rPr>
              <w:t>-0.114</w:t>
            </w:r>
          </w:p>
        </w:tc>
        <w:tc>
          <w:tcPr>
            <w:tcW w:w="2200" w:type="dxa"/>
          </w:tcPr>
          <w:p>
            <w:pPr>
              <w:jc w:val="center"/>
              <w:spacing w:before="10" w:after="10"/>
            </w:pPr>
            <w:r>
              <w:rPr>
                <w:i/>
              </w:rPr>
            </w:r>
            <w:r>
              <w:rPr>
                <w:sz w:val="16"/>
                <w:i/>
              </w:rPr>
              <w:t>(0.122)</w:t>
            </w:r>
          </w:p>
        </w:tc>
      </w:tr>
      <w:tr>
        <w:tc>
          <w:tcPr>
            <w:tcW w:w="3600" w:type="dxa"/>
          </w:tcPr>
          <w:p>
            <w:pPr>
              <w:spacing w:before="10" w:after="10"/>
            </w:pPr>
            <w:r/>
            <w:r>
              <w:rPr>
                <w:sz w:val="16"/>
              </w:rPr>
              <w:t>North America</w:t>
            </w:r>
          </w:p>
        </w:tc>
        <w:tc>
          <w:tcPr>
            <w:tcW w:w="2200" w:type="dxa"/>
          </w:tcPr>
          <w:p>
            <w:pPr>
              <w:jc w:val="center"/>
              <w:spacing w:before="10" w:after="10"/>
            </w:pPr>
            <w:r/>
            <w:r>
              <w:rPr>
                <w:sz w:val="16"/>
              </w:rPr>
              <w:t>-0.024</w:t>
            </w:r>
          </w:p>
        </w:tc>
        <w:tc>
          <w:tcPr>
            <w:tcW w:w="2200" w:type="dxa"/>
          </w:tcPr>
          <w:p>
            <w:pPr>
              <w:jc w:val="center"/>
              <w:spacing w:before="10" w:after="10"/>
            </w:pPr>
            <w:r>
              <w:rPr>
                <w:i/>
              </w:rPr>
            </w:r>
            <w:r>
              <w:rPr>
                <w:sz w:val="16"/>
                <w:i/>
              </w:rPr>
              <w:t>(0.151)</w:t>
            </w:r>
          </w:p>
        </w:tc>
      </w:tr>
      <w:tr>
        <w:tc>
          <w:tcPr>
            <w:tcW w:w="3600" w:type="dxa"/>
          </w:tcPr>
          <w:p>
            <w:pPr>
              <w:spacing w:before="10" w:after="10"/>
            </w:pPr>
            <w:r/>
            <w:r>
              <w:rPr>
                <w:sz w:val="16"/>
              </w:rPr>
              <w:t>South Asia</w:t>
            </w:r>
          </w:p>
        </w:tc>
        <w:tc>
          <w:tcPr>
            <w:tcW w:w="2200" w:type="dxa"/>
          </w:tcPr>
          <w:p>
            <w:pPr>
              <w:jc w:val="center"/>
              <w:spacing w:before="10" w:after="10"/>
            </w:pPr>
            <w:r/>
            <w:r>
              <w:rPr>
                <w:sz w:val="16"/>
              </w:rPr>
              <w:t>-0.070</w:t>
            </w:r>
          </w:p>
        </w:tc>
        <w:tc>
          <w:tcPr>
            <w:tcW w:w="2200" w:type="dxa"/>
          </w:tcPr>
          <w:p>
            <w:pPr>
              <w:jc w:val="center"/>
              <w:spacing w:before="10" w:after="10"/>
            </w:pPr>
            <w:r>
              <w:rPr>
                <w:i/>
              </w:rPr>
            </w:r>
            <w:r>
              <w:rPr>
                <w:sz w:val="16"/>
                <w:i/>
              </w:rPr>
              <w:t>(0.218)</w:t>
            </w:r>
          </w:p>
        </w:tc>
      </w:tr>
      <w:tr>
        <w:tc>
          <w:tcPr>
            <w:tcBorders>
              <w:bottom w:val="double" w:sz="4" w:space="0" w:color="auto"/>
            </w:tcBorders>
            <w:tcW w:w="3600" w:type="dxa"/>
          </w:tcPr>
          <w:p>
            <w:pPr>
              <w:spacing w:before="10" w:after="10"/>
            </w:pPr>
            <w:r/>
            <w:r>
              <w:rPr>
                <w:sz w:val="16"/>
              </w:rPr>
              <w:t>Sub-Saharan Africa</w:t>
            </w:r>
          </w:p>
        </w:tc>
        <w:tc>
          <w:tcPr>
            <w:tcBorders>
              <w:bottom w:val="double" w:sz="4" w:space="0" w:color="auto"/>
            </w:tcBorders>
            <w:tcW w:w="2200" w:type="dxa"/>
          </w:tcPr>
          <w:p>
            <w:pPr>
              <w:jc w:val="center"/>
              <w:spacing w:before="10" w:after="10"/>
            </w:pPr>
            <w:r/>
            <w:r>
              <w:rPr>
                <w:sz w:val="16"/>
              </w:rPr>
              <w:t>0.190</w:t>
            </w:r>
          </w:p>
        </w:tc>
        <w:tc>
          <w:tcPr>
            <w:tcBorders>
              <w:bottom w:val="double" w:sz="4" w:space="0" w:color="auto"/>
            </w:tcBorders>
            <w:tcW w:w="2200" w:type="dxa"/>
          </w:tcPr>
          <w:p>
            <w:pPr>
              <w:jc w:val="center"/>
              <w:spacing w:before="10" w:after="10"/>
            </w:pPr>
            <w:r>
              <w:rPr>
                <w:i/>
              </w:rPr>
            </w:r>
            <w:r>
              <w:rPr>
                <w:sz w:val="16"/>
                <w:i/>
              </w:rPr>
              <w:t>(0.200)</w:t>
            </w:r>
          </w:p>
        </w:tc>
      </w:tr>
    </w:tbl>
    <w:p>
      <w:pPr>
        <w:spacing w:before="0" w:after="80" w:line="240" w:lineRule="auto"/>
        <w:ind w:firstLine="0"/>
        <w:jc w:val="left"/>
      </w:pPr>
      <w:r>
        <w:rPr>
          <w:sz w:val="20"/>
        </w:rPr>
        <w:t>Notes: OLS regression on 37 countries from the Turner &amp; Townsend DCCI 2025. Dependent variable: ln(construction cost in $/W). R² = 0.48, adjusted R² = 0.29, RMSE = 0.160. Reference region: Europe &amp; Central Asia. *** p &lt; 0.01, ** p &lt; 0.05, * p &lt; 0.10.</w:t>
      </w:r>
    </w:p>
    <w:p>
      <w:pPr>
        <w:spacing w:before="0" w:after="0"/>
      </w:pPr>
      <w:r>
        <w:br w:type="page"/>
      </w:r>
    </w:p>
    <w:p>
      <w:pPr>
        <w:pStyle w:val="Heading1"/>
      </w:pPr>
      <w:r>
        <w:rPr>
          <w:rFonts w:ascii="Times New Roman" w:hAnsi="Times New Roman"/>
          <w:b/>
          <w:color w:val="2F5496"/>
          <w:sz w:val="28"/>
        </w:rPr>
        <w:t>Appendix F: Workload Classification</w:t>
      </w:r>
    </w:p>
    <w:p>
      <w:pPr>
        <w:spacing w:before="0" w:after="160"/>
        <w:ind w:firstLine="0"/>
        <w:jc w:val="both"/>
      </w:pPr>
      <w:bookmarkStart w:id="153" w:name="TableA8txt"/>
      <w:hyperlink w:anchor="TableA8" w:history="1">
        <w:r>
          <w:rPr>
            <w:color w:val="1F3864"/>
            <w:u w:val="single"/>
          </w:rPr>
          <w:t xml:space="preserve">Table A8</w:t>
        </w:r>
      </w:hyperlink>
      <w:bookmarkEnd w:id="153"/>
      <w:r>
        <w:t xml:space="preserve"> summarizes the latency sensitivity and offshorability of major AI workload types. The model collapses these into two categories — training (τ = 0) and inference (τ &gt; 0) — but the intermediate workloads noted in footnote 7 occupy a middle ground that may narrow the effective offshorable share.</w:t>
      </w:r>
    </w:p>
    <w:p>
      <w:pPr>
        <w:spacing w:before="0" w:after="60"/>
        <w:ind w:firstLine="0"/>
        <w:jc w:val="both"/>
      </w:pPr>
      <w:bookmarkStart w:id="154" w:name="TableA8"/>
      <w:hyperlink w:anchor="TableA8txt" w:history="1">
        <w:r>
          <w:rPr>
            <w:b/>
            <w:sz w:val="20"/>
            <w:color w:val="1F3864"/>
            <w:u w:val="single"/>
          </w:rPr>
          <w:t>Table A8</w:t>
        </w:r>
      </w:hyperlink>
      <w:bookmarkEnd w:id="154"/>
      <w:r>
        <w:rPr>
          <w:b/>
          <w:sz w:val="20"/>
        </w:rPr>
        <w:t>. Workload classification and offshorability</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28"/>
        <w:gridCol w:w="1728"/>
        <w:gridCol w:w="1728"/>
        <w:gridCol w:w="1728"/>
        <w:gridCol w:w="1728"/>
      </w:tblGrid>
      <w:tr>
        <w:tc>
          <w:tcPr>
            <w:tcBorders>
              <w:top w:val="single" w:sz="4" w:space="0" w:color="auto"/>
              <w:bottom w:val="single" w:sz="4" w:space="0" w:color="auto"/>
            </w:tcBorders>
            <w:tcW w:w="2000" w:type="dxa"/>
          </w:tcPr>
          <w:p>
            <w:pPr>
              <w:jc w:val="center"/>
              <w:spacing w:before="10" w:after="10"/>
            </w:pPr>
            <w:r/>
            <w:r>
              <w:rPr>
                <w:b/>
                <w:sz w:val="16"/>
              </w:rPr>
              <w:t>Workload</w:t>
            </w:r>
          </w:p>
        </w:tc>
        <w:tc>
          <w:tcPr>
            <w:tcBorders>
              <w:top w:val="single" w:sz="4" w:space="0" w:color="auto"/>
              <w:bottom w:val="single" w:sz="4" w:space="0" w:color="auto"/>
            </w:tcBorders>
            <w:tcW w:w="2800" w:type="dxa"/>
          </w:tcPr>
          <w:p>
            <w:pPr>
              <w:jc w:val="center"/>
              <w:spacing w:before="10" w:after="10"/>
            </w:pPr>
            <w:r/>
            <w:r>
              <w:rPr>
                <w:b/>
                <w:sz w:val="16"/>
              </w:rPr>
              <w:t>Example</w:t>
            </w:r>
          </w:p>
        </w:tc>
        <w:tc>
          <w:tcPr>
            <w:tcBorders>
              <w:top w:val="single" w:sz="4" w:space="0" w:color="auto"/>
              <w:bottom w:val="single" w:sz="4" w:space="0" w:color="auto"/>
            </w:tcBorders>
            <w:tcW w:w="1500" w:type="dxa"/>
          </w:tcPr>
          <w:p>
            <w:pPr>
              <w:jc w:val="center"/>
              <w:spacing w:before="10" w:after="10"/>
            </w:pPr>
            <w:r/>
            <w:r>
              <w:rPr>
                <w:b/>
                <w:sz w:val="16"/>
              </w:rPr>
              <w:t>Latency tolerance</w:t>
            </w:r>
          </w:p>
        </w:tc>
        <w:tc>
          <w:tcPr>
            <w:tcBorders>
              <w:top w:val="single" w:sz="4" w:space="0" w:color="auto"/>
              <w:bottom w:val="single" w:sz="4" w:space="0" w:color="auto"/>
            </w:tcBorders>
            <w:tcW w:w="1200" w:type="dxa"/>
          </w:tcPr>
          <w:p>
            <w:pPr>
              <w:jc w:val="center"/>
              <w:spacing w:before="10" w:after="10"/>
            </w:pPr>
            <w:r/>
            <w:r>
              <w:rPr>
                <w:b/>
                <w:sz w:val="16"/>
              </w:rPr>
              <w:t>Offshorable?</w:t>
            </w:r>
          </w:p>
        </w:tc>
        <w:tc>
          <w:tcPr>
            <w:tcBorders>
              <w:top w:val="single" w:sz="4" w:space="0" w:color="auto"/>
              <w:bottom w:val="single" w:sz="4" w:space="0" w:color="auto"/>
            </w:tcBorders>
            <w:tcW w:w="1860" w:type="dxa"/>
          </w:tcPr>
          <w:p>
            <w:pPr>
              <w:jc w:val="center"/>
              <w:spacing w:before="10" w:after="10"/>
            </w:pPr>
            <w:r/>
            <w:r>
              <w:rPr>
                <w:b/>
                <w:sz w:val="16"/>
              </w:rPr>
              <w:t>Model treatment</w:t>
            </w:r>
          </w:p>
        </w:tc>
      </w:tr>
      <w:tr>
        <w:tc>
          <w:tcPr>
            <w:tcW w:w="2000" w:type="dxa"/>
          </w:tcPr>
          <w:p>
            <w:pPr>
              <w:spacing w:before="10" w:after="10"/>
            </w:pPr>
            <w:r/>
            <w:r>
              <w:rPr>
                <w:sz w:val="16"/>
              </w:rPr>
              <w:t>Large-scale training</w:t>
            </w:r>
          </w:p>
        </w:tc>
        <w:tc>
          <w:tcPr>
            <w:tcW w:w="2800" w:type="dxa"/>
          </w:tcPr>
          <w:p>
            <w:pPr>
              <w:spacing w:before="10" w:after="10"/>
            </w:pPr>
            <w:r/>
            <w:r>
              <w:rPr>
                <w:sz w:val="16"/>
              </w:rPr>
              <w:t>Foundation model pre-training</w:t>
            </w:r>
          </w:p>
        </w:tc>
        <w:tc>
          <w:tcPr>
            <w:tcW w:w="1500" w:type="dxa"/>
          </w:tcPr>
          <w:p>
            <w:pPr>
              <w:jc w:val="right"/>
              <w:spacing w:before="10" w:after="10"/>
            </w:pPr>
            <w:r/>
            <w:r>
              <w:rPr>
                <w:sz w:val="16"/>
              </w:rPr>
              <w:t>Days–weeks</w:t>
            </w:r>
          </w:p>
        </w:tc>
        <w:tc>
          <w:tcPr>
            <w:tcW w:w="1200" w:type="dxa"/>
          </w:tcPr>
          <w:p>
            <w:pPr>
              <w:jc w:val="right"/>
              <w:spacing w:before="10" w:after="10"/>
            </w:pPr>
            <w:r/>
            <w:r>
              <w:rPr>
                <w:sz w:val="16"/>
              </w:rPr>
              <w:t>Fully</w:t>
            </w:r>
          </w:p>
        </w:tc>
        <w:tc>
          <w:tcPr>
            <w:tcW w:w="1860" w:type="dxa"/>
          </w:tcPr>
          <w:p>
            <w:pPr>
              <w:jc w:val="right"/>
              <w:spacing w:before="10" w:after="10"/>
            </w:pPr>
            <w:r/>
            <w:r>
              <w:rPr>
                <w:sz w:val="16"/>
              </w:rPr>
              <w:t>τᴛ = 0</w:t>
            </w:r>
          </w:p>
        </w:tc>
      </w:tr>
      <w:tr>
        <w:tc>
          <w:tcPr>
            <w:tcW w:w="2000" w:type="dxa"/>
          </w:tcPr>
          <w:p>
            <w:pPr>
              <w:spacing w:before="10" w:after="10"/>
            </w:pPr>
            <w:r/>
            <w:r>
              <w:rPr>
                <w:sz w:val="16"/>
              </w:rPr>
              <w:t>Fine-tuning</w:t>
            </w:r>
          </w:p>
        </w:tc>
        <w:tc>
          <w:tcPr>
            <w:tcW w:w="2800" w:type="dxa"/>
          </w:tcPr>
          <w:p>
            <w:pPr>
              <w:spacing w:before="10" w:after="10"/>
            </w:pPr>
            <w:r/>
            <w:r>
              <w:rPr>
                <w:sz w:val="16"/>
              </w:rPr>
              <w:t>Domain adaptation on proprietary data</w:t>
            </w:r>
          </w:p>
        </w:tc>
        <w:tc>
          <w:tcPr>
            <w:tcW w:w="1500" w:type="dxa"/>
          </w:tcPr>
          <w:p>
            <w:pPr>
              <w:jc w:val="right"/>
              <w:spacing w:before="10" w:after="10"/>
            </w:pPr>
            <w:r/>
            <w:r>
              <w:rPr>
                <w:sz w:val="16"/>
              </w:rPr>
              <w:t>Hours</w:t>
            </w:r>
          </w:p>
        </w:tc>
        <w:tc>
          <w:tcPr>
            <w:tcW w:w="1200" w:type="dxa"/>
          </w:tcPr>
          <w:p>
            <w:pPr>
              <w:jc w:val="right"/>
              <w:spacing w:before="10" w:after="10"/>
            </w:pPr>
            <w:r/>
            <w:r>
              <w:rPr>
                <w:sz w:val="16"/>
              </w:rPr>
              <w:t>Mostly</w:t>
            </w:r>
          </w:p>
        </w:tc>
        <w:tc>
          <w:tcPr>
            <w:tcW w:w="1860" w:type="dxa"/>
          </w:tcPr>
          <w:p>
            <w:pPr>
              <w:jc w:val="right"/>
              <w:spacing w:before="10" w:after="10"/>
            </w:pPr>
            <w:r/>
            <w:r>
              <w:rPr>
                <w:sz w:val="16"/>
              </w:rPr>
              <w:t>Treated as training</w:t>
            </w:r>
          </w:p>
        </w:tc>
      </w:tr>
      <w:tr>
        <w:tc>
          <w:tcPr>
            <w:tcW w:w="2000" w:type="dxa"/>
          </w:tcPr>
          <w:p>
            <w:pPr>
              <w:spacing w:before="10" w:after="10"/>
            </w:pPr>
            <w:r/>
            <w:r>
              <w:rPr>
                <w:sz w:val="16"/>
              </w:rPr>
              <w:t>Agentic inference</w:t>
            </w:r>
          </w:p>
        </w:tc>
        <w:tc>
          <w:tcPr>
            <w:tcW w:w="2800" w:type="dxa"/>
          </w:tcPr>
          <w:p>
            <w:pPr>
              <w:spacing w:before="10" w:after="10"/>
            </w:pPr>
            <w:r/>
            <w:r>
              <w:rPr>
                <w:sz w:val="16"/>
              </w:rPr>
              <w:t>Multi-step reasoning, tool use</w:t>
            </w:r>
          </w:p>
        </w:tc>
        <w:tc>
          <w:tcPr>
            <w:tcW w:w="1500" w:type="dxa"/>
          </w:tcPr>
          <w:p>
            <w:pPr>
              <w:jc w:val="right"/>
              <w:spacing w:before="10" w:after="10"/>
            </w:pPr>
            <w:r/>
            <w:r>
              <w:rPr>
                <w:sz w:val="16"/>
              </w:rPr>
              <w:t>500–2,000 ms</w:t>
            </w:r>
          </w:p>
        </w:tc>
        <w:tc>
          <w:tcPr>
            <w:tcW w:w="1200" w:type="dxa"/>
          </w:tcPr>
          <w:p>
            <w:pPr>
              <w:jc w:val="right"/>
              <w:spacing w:before="10" w:after="10"/>
            </w:pPr>
            <w:r/>
            <w:r>
              <w:rPr>
                <w:sz w:val="16"/>
              </w:rPr>
              <w:t>Regionally</w:t>
            </w:r>
          </w:p>
        </w:tc>
        <w:tc>
          <w:tcPr>
            <w:tcW w:w="1860" w:type="dxa"/>
          </w:tcPr>
          <w:p>
            <w:pPr>
              <w:jc w:val="right"/>
              <w:spacing w:before="10" w:after="10"/>
            </w:pPr>
            <w:r/>
            <w:r>
              <w:rPr>
                <w:sz w:val="16"/>
              </w:rPr>
              <w:t>Intermediate (fn. 7)</w:t>
            </w:r>
          </w:p>
        </w:tc>
      </w:tr>
      <w:tr>
        <w:tc>
          <w:tcPr>
            <w:tcW w:w="2000" w:type="dxa"/>
          </w:tcPr>
          <w:p>
            <w:pPr>
              <w:spacing w:before="10" w:after="10"/>
            </w:pPr>
            <w:r/>
            <w:r>
              <w:rPr>
                <w:sz w:val="16"/>
              </w:rPr>
              <w:t>Interactive inference</w:t>
            </w:r>
          </w:p>
        </w:tc>
        <w:tc>
          <w:tcPr>
            <w:tcW w:w="2800" w:type="dxa"/>
          </w:tcPr>
          <w:p>
            <w:pPr>
              <w:spacing w:before="10" w:after="10"/>
            </w:pPr>
            <w:r/>
            <w:r>
              <w:rPr>
                <w:sz w:val="16"/>
              </w:rPr>
              <w:t>Chatbot, search, recommendation</w:t>
            </w:r>
          </w:p>
        </w:tc>
        <w:tc>
          <w:tcPr>
            <w:tcW w:w="1500" w:type="dxa"/>
          </w:tcPr>
          <w:p>
            <w:pPr>
              <w:jc w:val="right"/>
              <w:spacing w:before="10" w:after="10"/>
            </w:pPr>
            <w:r/>
            <w:r>
              <w:rPr>
                <w:sz w:val="16"/>
              </w:rPr>
              <w:t>50–200 ms</w:t>
            </w:r>
          </w:p>
        </w:tc>
        <w:tc>
          <w:tcPr>
            <w:tcW w:w="1200" w:type="dxa"/>
          </w:tcPr>
          <w:p>
            <w:pPr>
              <w:jc w:val="right"/>
              <w:spacing w:before="10" w:after="10"/>
            </w:pPr>
            <w:r/>
            <w:r>
              <w:rPr>
                <w:sz w:val="16"/>
              </w:rPr>
              <w:t>Limited</w:t>
            </w:r>
          </w:p>
        </w:tc>
        <w:tc>
          <w:tcPr>
            <w:tcW w:w="1860" w:type="dxa"/>
          </w:tcPr>
          <w:p>
            <w:pPr>
              <w:jc w:val="right"/>
              <w:spacing w:before="10" w:after="10"/>
            </w:pPr>
            <w:r/>
            <w:r>
              <w:rPr>
                <w:sz w:val="16"/>
              </w:rPr>
              <w:t>τᵢ &gt; 0, threshold l̄</w:t>
            </w:r>
          </w:p>
        </w:tc>
      </w:tr>
      <w:tr>
        <w:tc>
          <w:tcPr>
            <w:tcBorders>
              <w:bottom w:val="double" w:sz="4" w:space="0" w:color="auto"/>
            </w:tcBorders>
            <w:tcW w:w="2000" w:type="dxa"/>
          </w:tcPr>
          <w:p>
            <w:pPr>
              <w:spacing w:before="10" w:after="10"/>
            </w:pPr>
            <w:r/>
            <w:r>
              <w:rPr>
                <w:sz w:val="16"/>
              </w:rPr>
              <w:t>Real-time control</w:t>
            </w:r>
          </w:p>
        </w:tc>
        <w:tc>
          <w:tcPr>
            <w:tcBorders>
              <w:bottom w:val="double" w:sz="4" w:space="0" w:color="auto"/>
            </w:tcBorders>
            <w:tcW w:w="2800" w:type="dxa"/>
          </w:tcPr>
          <w:p>
            <w:pPr>
              <w:spacing w:before="10" w:after="10"/>
            </w:pPr>
            <w:r/>
            <w:r>
              <w:rPr>
                <w:sz w:val="16"/>
              </w:rPr>
              <w:t>Autonomous vehicles, robotics</w:t>
            </w:r>
          </w:p>
        </w:tc>
        <w:tc>
          <w:tcPr>
            <w:tcBorders>
              <w:bottom w:val="double" w:sz="4" w:space="0" w:color="auto"/>
            </w:tcBorders>
            <w:tcW w:w="1500" w:type="dxa"/>
          </w:tcPr>
          <w:p>
            <w:pPr>
              <w:jc w:val="right"/>
              <w:spacing w:before="10" w:after="10"/>
            </w:pPr>
            <w:r/>
            <w:r>
              <w:rPr>
                <w:sz w:val="16"/>
              </w:rPr>
              <w:t>&lt; 20 ms</w:t>
            </w:r>
          </w:p>
        </w:tc>
        <w:tc>
          <w:tcPr>
            <w:tcBorders>
              <w:bottom w:val="double" w:sz="4" w:space="0" w:color="auto"/>
            </w:tcBorders>
            <w:tcW w:w="1200" w:type="dxa"/>
          </w:tcPr>
          <w:p>
            <w:pPr>
              <w:jc w:val="right"/>
              <w:spacing w:before="10" w:after="10"/>
            </w:pPr>
            <w:r/>
            <w:r>
              <w:rPr>
                <w:sz w:val="16"/>
              </w:rPr>
              <w:t>No</w:t>
            </w:r>
          </w:p>
        </w:tc>
        <w:tc>
          <w:tcPr>
            <w:tcBorders>
              <w:bottom w:val="double" w:sz="4" w:space="0" w:color="auto"/>
            </w:tcBorders>
            <w:tcW w:w="1860" w:type="dxa"/>
          </w:tcPr>
          <w:p>
            <w:pPr>
              <w:jc w:val="right"/>
              <w:spacing w:before="10" w:after="10"/>
            </w:pPr>
            <w:r/>
            <w:r>
              <w:rPr>
                <w:sz w:val="16"/>
              </w:rPr>
              <w:t>Domestic only</w:t>
            </w:r>
          </w:p>
        </w:tc>
      </w:tr>
    </w:tbl>
    <w:p>
      <w:pPr>
        <w:spacing w:before="0" w:after="80" w:line="240" w:lineRule="auto"/>
        <w:ind w:firstLine="0"/>
        <w:jc w:val="left"/>
      </w:pPr>
      <w:r>
        <w:rPr>
          <w:sz w:val="20"/>
        </w:rPr>
        <w:t>Notes: Latency tolerance is approximate round-trip time. “Offshorable” refers to whether the workload can be processed in a different country from the end user without significant quality degradation. The model treats fine-tuning and agentic inference as part of the training share α; footnote 7 notes this simplification.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w:t>
      </w:r>
    </w:p>
  </w:footnote>
  <w:footnote w:id="5">
    <w:p>
      <w:pPr>
        <w:pStyle w:val="FootnoteText"/>
      </w:pPr>
      <w:r>
        <w:rPr>
          <w:rStyle w:val="FootnoteReference"/>
        </w:rPr>
        <w:footnoteRef/>
      </w:r>
      <w:r>
        <w:t xml:space="preserve"> At $0.038/kWh electricity, a 40 MW facility houses approximately 53,000 GPUs with production costs of $453 million per year. A Kyrgyz operator would most likely sell at wholesale or long-term contract rates of roughly $0.80–1.20/GPU-hour, yielding gross revenue of $630–950 million. Hyperscaler retail rates ($2.00–2.50/GPU-hour) represent an upper bound that is unlikely for a new market entrant. Even at the wholesale lower bound, this exceeds 15% of Kyrgyzstan’s $3.8 billion in goods exports (2024).</w:t>
      </w:r>
    </w:p>
  </w:footnote>
  <w:footnote w:id="7">
    <w:p>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6 confirms that the results are insensitive to this specification. Google (2024) reports a fleet-wide trailing twelve-month PUE of 1.10.</w:t>
      </w:r>
    </w:p>
  </w:footnote>
  <w:footnote w:id="9">
    <w:p>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10">
    <w:p>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23">
    <w:p>
      <w:pPr>
        <w:pStyle w:val="FootnoteText"/>
      </w:pPr>
      <w:r>
        <w:rPr>
          <w:rStyle w:val="FootnoteReference"/>
        </w:rPr>
        <w:footnoteRef/>
      </w:r>
      <w:r>
        <w:t xml:space="preserve"> The Rule of Law percentile is a country-level composite capturing perceptions of contract enforcement, property rights, courts, and police across the entire economy. The governance relevant to a data center investment is narrower: credibility of long-term power purchase agreements, stability of the tax regime, and enforceability of international arbitration clauses. Sector-specific measures such as bilateral investment treaty coverage or ICSID arbitration caseload would be preferable if available across all 85 countries.</w:t>
      </w:r>
    </w:p>
  </w:footnote>
  <w:footnote w:id="20">
    <w:p>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while large economies like India and Brazil account for modest shares of global data center power.</w:t>
      </w:r>
    </w:p>
  </w:footnote>
  <w:footnote w:id="21">
    <w:p>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22">
    <w:p>
      <w:pPr>
        <w:pStyle w:val="FootnoteText"/>
      </w:pPr>
      <w:r>
        <w:rPr>
          <w:rStyle w:val="FootnoteReference"/>
        </w:rPr>
        <w:footnoteRef/>
      </w:r>
      <w:r>
        <w:t xml:space="preserve"> For large-demand countries (e.g., the United States with 43% of global compute demand), the observed domestic production may partly reflect scale economies rather than sovereignty preferences. The switching threshold λₖ* conflates the home market effect with the sovereignty premium; disentangling the two would require a model with increasing returns, which lies outside the present framework.</w:t>
      </w:r>
    </w:p>
  </w:footnote>
  <w:footnote w:id="24">
    <w:p>
      <w:pPr>
        <w:pStyle w:val="FootnoteText"/>
      </w:pPr>
      <w:r>
        <w:rPr>
          <w:rStyle w:val="FootnoteReference"/>
        </w:rPr>
        <w:footnoteRef/>
      </w:r>
      <w:r>
        <w:t xml:space="preserve"> Korea Electric Power Corporation (KEPCO), Electricity Rate Table, accessed January 2025.</w:t>
      </w:r>
    </w:p>
  </w:footnote>
  <w:footnote w:id="25">
    <w:p>
      <w:pPr>
        <w:pStyle w:val="FootnoteText"/>
      </w:pPr>
      <w:r>
        <w:rPr>
          <w:rStyle w:val="FootnoteReference"/>
        </w:rPr>
        <w:footnoteRef/>
      </w:r>
      <w:r>
        <w:t xml:space="preserve"> Synergy Research Group, Global Data Center Market Share (Q4 2024); Cushman &amp; Wakefield, Global Data Center Market Comparison (2024); CBRE, Global Data Center Trends (2025); Mordor Intelligence, Data Center Market Forecast (2025).</w:t>
      </w:r>
    </w:p>
  </w:footnote>
  <w:footnote w:id="13">
    <w:p>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5">
    <w:p>
      <w:pPr>
        <w:pStyle w:val="FootnoteText"/>
      </w:pPr>
      <w:r>
        <w:rPr>
          <w:rStyle w:val="FootnoteReference"/>
        </w:rPr>
        <w:footnoteRef/>
      </w:r>
      <w:r>
        <w:t xml:space="preserve"> The bilateral sovereignty coefficients are calibrated to match observed patterns of data localization policy. Survey evidence suggests enterprises pay 15–30% more for guaranteed domestic data residency (UNCTAD 2025). The uniform 10% premium serves as a robustness benchmark.</w:t>
      </w:r>
    </w:p>
  </w:footnote>
  <w:footnote w:id="16">
    <w:p>
      <w:pPr>
        <w:pStyle w:val="FootnoteText"/>
      </w:pPr>
      <w:r>
        <w:rPr>
          <w:rStyle w:val="FootnoteReference"/>
        </w:rPr>
        <w:footnoteRef/>
      </w:r>
      <w:r>
        <w:t xml:space="preserve"> For gas exporters (Iran, Turkmenistan, Algeria, Qatar), the calibration uses combined-cycle gas generation at export-parity fuel prices ($0.065–$0.100/kWh). For the Gulf states, it uses the opportunity cost of domestic gas combustion relative to LNG exports. For coal-dependent producers (Kazakhstan, South Africa), the calibration uses the Eskom-style cost-recovery tariff. For Ethiopia, it uses the IMF’s hydro cost-recovery target ($0.050/kWh). The IMF estimates global fossil fuel subsidies at $6.7 trillion in 2024. Explicit subsidies (below-cost pricing) account for 8%; the remainder reflects unpriced environmental costs. The calibration uses only the explicit component.</w:t>
      </w:r>
    </w:p>
  </w:footnote>
  <w:footnote w:id="17">
    <w:p>
      <w:pPr>
        <w:pStyle w:val="FootnoteText"/>
      </w:pPr>
      <w:r>
        <w:rPr>
          <w:rStyle w:val="FootnoteReference"/>
        </w:rPr>
        <w:footnoteRef/>
      </w:r>
      <w:r>
        <w:t xml:space="preserve"> The tier shares (10/20/70) are assumptions calibrated to match the approximate composition of government, regulated-industry, and commercial AI workloads (Deloitte 2025). Results are robust to moderate variation in these shares.</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imes New Roman" w:hAnsi="Times New Roman"/>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after="0" w:line="240" w:lineRule="auto"/>
    </w:pPr>
    <w:rPr>
      <w:sz w:val="20"/>
      <w:szCs w:val="20"/>
    </w:rPr>
  </w:style>
  <w:style w:type="character"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footnotes" Target="footnotes.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footer" Target="footer1.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
  <cp:revision>1</cp:revision>
  <dcterms:created xsi:type="dcterms:W3CDTF">2013-12-23T23:15:00Z</dcterms:created>
  <dcterms:modified xsi:type="dcterms:W3CDTF">2013-12-23T23:15:00Z</dcterms:modified>
  <cp:category/>
</cp:coreProperties>
</file>