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27, 2026  17:32</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trade model of compute services, distinguishing latency-insensitive training (offshored to lowest-cost producers) from latency-sensitive inference (favoring proximity to users) and incorporating a bilateral sovereignty premium. Calibration across 85 countries shows that several developing countries rank among the cheapest producers under cost-recovery pricing, but bilateral trust deficits eliminate all developing-country exports. When a hyperscaler intermediates the transaction, the buyer’s trust attaches to the operator rather than the host country: four developing economies re-enter as potential exporters. Because hardware dominates unit cost, the cross-country cost spread is only 12–20 percent, making compute both the easiest sector for developing countries to enter on cost grounds and the most vulnerable to small policy-induced frictions. The binding constraint is not electricity cost but the institutional credibility needed to attract hyperscaler investment.</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 and that share is projected to more than double by 2030 (</w:t>
      </w:r>
      <w:bookmarkStart w:id="246" w:name="IEA2025txt"/>
      <w:hyperlink w:anchor="IEA2025" w:history="1">
        <w:r>
          <w:rPr>
            <w:color w:val="1F3864"/>
            <w:u w:val="single"/>
          </w:rPr>
          <w:t xml:space="preserve">IEA 2025</w:t>
        </w:r>
      </w:hyperlink>
      <w:bookmarkEnd w:id="246"/>
      <w:r>
        <w:t xml:space="preserve">), driven largely by AI-oriented facilities whose power densities are 5–10 times those of conventional data centers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ind w:firstLine="0"/>
        <w:jc w:val="both"/>
      </w:pPr>
      <w:r>
        <w:t xml:space="preserve">Several megaprojects confirm that FLOP exporting is technically and commercially feasible. Armenia is deploying 50,000 GPUs in a $4 billion investment (</w:t>
      </w:r>
      <w:bookmarkStart w:id="235" w:name="Firebird2026txt"/>
      <w:hyperlink w:anchor="Firebird2026" w:history="1">
        <w:r>
          <w:rPr>
            <w:color w:val="1F3864"/>
            <w:u w:val="single"/>
          </w:rPr>
          <w:t xml:space="preserve">Firebird 2026</w:t>
        </w:r>
      </w:hyperlink>
      <w:bookmarkEnd w:id="235"/>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6" w:name="WorldBank2024txt"/>
      <w:hyperlink w:anchor="WorldBank2024" w:history="1">
        <w:r>
          <w:rPr>
            <w:color w:val="1F3864"/>
            <w:u w:val="single"/>
          </w:rPr>
          <w:t xml:space="preserve">World Bank 2024</w:t>
        </w:r>
      </w:hyperlink>
      <w:bookmarkEnd w:id="236"/>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7" w:name="Sastry2024txt"/>
      <w:hyperlink w:anchor="Sastry2024" w:history="1">
        <w:r>
          <w:rPr>
            <w:color w:val="1F3864"/>
            <w:u w:val="single"/>
          </w:rPr>
          <w:t xml:space="preserve">Sastry et al. 2024</w:t>
        </w:r>
      </w:hyperlink>
      <w:bookmarkEnd w:id="237"/>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8" w:name="Pilz2025txt"/>
      <w:hyperlink w:anchor="Pilz2025" w:history="1">
        <w:r>
          <w:rPr>
            <w:color w:val="1F3864"/>
            <w:u w:val="single"/>
          </w:rPr>
          <w:t xml:space="preserve">Pilz et al. 2025</w:t>
        </w:r>
      </w:hyperlink>
      <w:bookmarkEnd w:id="238"/>
      <w:r>
        <w:t xml:space="preserve">), but no formal trade model of compute exists. We offer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the paper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quantify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When a hyperscaler operates the facility, the buyer’s trust attaches to the operator rather than the host country, and several developing economies re-enter as potential exporters. For energy-rich developing countries, the binding constraint is not electricity cost but the institutional environment needed to attract FDI.</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countries with data, human capital, and institutional capacity. Our model shows that comparative advantage in compute </w:t>
      </w:r>
      <w:r>
        <w:rPr>
          <w:i/>
        </w:rPr>
        <w:t>production</w:t>
      </w:r>
      <w:r>
        <w:t xml:space="preserve"> depends on electricity costs, climate, and institutional quality, so resource-rich countries could become compute exporters without domestic AI research industries. </w:t>
      </w:r>
      <w:bookmarkStart w:id="204" w:name="Korinek2021txt"/>
      <w:hyperlink w:anchor="Korinek2021" w:history="1">
        <w:r>
          <w:rPr>
            <w:color w:val="1F3864"/>
            <w:u w:val="single"/>
          </w:rPr>
          <w:t xml:space="preserve">Korinek and Stiglitz (2021)</w:t>
        </w:r>
      </w:hyperlink>
      <w:bookmarkEnd w:id="204"/>
      <w:r>
        <w:t xml:space="preserve"> suggest that developing countries could be left behind in the AI revolution. FLOP exporting would allow energy-rich developing countries to participate in that revolution. The concept of FLOP exporting as value chain upgrading connects to </w:t>
      </w:r>
      <w:bookmarkStart w:id="247" w:name="Hausmann2007txt"/>
      <w:hyperlink w:anchor="Hausmann2007" w:history="1">
        <w:r>
          <w:rPr>
            <w:color w:val="1F3864"/>
            <w:u w:val="single"/>
          </w:rPr>
          <w:t xml:space="preserve">Hausmann et al. (2007)</w:t>
        </w:r>
      </w:hyperlink>
      <w:bookmarkEnd w:id="247"/>
      <w:r>
        <w:t xml:space="preserve">, who show that what a country exports matters for growth. </w:t>
      </w:r>
      <w:bookmarkStart w:id="239" w:name="Limao2001txt"/>
      <w:hyperlink w:anchor="Limao2001" w:history="1">
        <w:r>
          <w:rPr>
            <w:color w:val="1F3864"/>
            <w:u w:val="single"/>
          </w:rPr>
          <w:t xml:space="preserve">Limão and Venables (2001)</w:t>
        </w:r>
      </w:hyperlink>
      <w:bookmarkEnd w:id="239"/>
      <w:r>
        <w:t xml:space="preserve"> demonstrate that infrastructure quality determines trade costs. In our model, network infrastructure plays the analogous role for digital trade.</w:t>
      </w:r>
    </w:p>
    <w:p>
      <w:pPr>
        <w:spacing w:before="0" w:after="160"/>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48" w:name="Liu2023txt"/>
      <w:hyperlink w:anchor="Liu2023" w:history="1">
        <w:r>
          <w:rPr>
            <w:color w:val="1F3864"/>
            <w:u w:val="single"/>
          </w:rPr>
          <w:t xml:space="preserve">Liu et al. (2023)</w:t>
        </w:r>
      </w:hyperlink>
      <w:bookmarkEnd w:id="248"/>
      <w:r>
        <w:t xml:space="preserve"> study data center placement under renewable energy constraints. In international trade theory, </w:t>
      </w:r>
      <w:bookmarkStart w:id="251" w:name="Brainard1997txt"/>
      <w:hyperlink w:anchor="Brainard1997" w:history="1">
        <w:r>
          <w:rPr>
            <w:color w:val="1F3864"/>
            <w:u w:val="single"/>
          </w:rPr>
          <w:t xml:space="preserve">Brainard (1997)</w:t>
        </w:r>
      </w:hyperlink>
      <w:bookmarkEnd w:id="251"/>
      <w:r>
        <w:t xml:space="preserve"> formalizes the proximity-concentration trade-off between serving a market locally and concentrating production abroad, and </w:t>
      </w:r>
      <w:bookmarkStart w:id="240" w:name="HMY2004txt"/>
      <w:hyperlink w:anchor="HMY2004" w:history="1">
        <w:r>
          <w:rPr>
            <w:color w:val="1F3864"/>
            <w:u w:val="single"/>
          </w:rPr>
          <w:t xml:space="preserve">Helpman et al. (2004)</w:t>
        </w:r>
      </w:hyperlink>
      <w:bookmarkEnd w:id="240"/>
      <w:r>
        <w:t xml:space="preserve"> extend this to heterogeneous firms choosing between exporting and FDI.</w:t>
      </w:r>
    </w:p>
    <w:p>
      <w:pPr>
        <w:spacing w:before="0" w:after="160"/>
        <w:ind w:firstLine="0"/>
        <w:jc w:val="both"/>
      </w:pPr>
      <w:r>
        <w:t xml:space="preserve">On the governance side, </w:t>
      </w:r>
      <w:bookmarkStart w:id="241" w:name="Sastry2024txt"/>
      <w:hyperlink w:anchor="Sastry2024" w:history="1">
        <w:r>
          <w:rPr>
            <w:color w:val="1F3864"/>
            <w:u w:val="single"/>
          </w:rPr>
          <w:t xml:space="preserve">Sastry et al. (2024)</w:t>
        </w:r>
      </w:hyperlink>
      <w:bookmarkEnd w:id="241"/>
      <w:r>
        <w:t xml:space="preserve"> argue that compute is well-suited for regulation because governments can track the number of chips in circulation, restrict who can buy them, and measure how much computation they perform. </w:t>
      </w:r>
      <w:bookmarkStart w:id="207" w:name="Lehdonvirta2024txt"/>
      <w:hyperlink w:anchor="Lehdonvirta2024" w:history="1">
        <w:r>
          <w:rPr>
            <w:color w:val="1F3864"/>
            <w:u w:val="single"/>
          </w:rPr>
          <w:t xml:space="preserve">Lehdonvirta et al. (2024)</w:t>
        </w:r>
      </w:hyperlink>
      <w:bookmarkEnd w:id="207"/>
      <w:r>
        <w:t xml:space="preserve"> map the global geography of cloud GPU infrastructure, distinguishing a “Compute North” with training-capable hardware from a “Compute South” limited to inference-grade chips. </w:t>
      </w:r>
      <w:bookmarkStart w:id="252" w:name="Pilz2025txt"/>
      <w:hyperlink w:anchor="Pilz2025" w:history="1">
        <w:r>
          <w:rPr>
            <w:color w:val="1F3864"/>
            <w:u w:val="single"/>
          </w:rPr>
          <w:t xml:space="preserve">Pilz et al. (2025)</w:t>
        </w:r>
      </w:hyperlink>
      <w:bookmarkEnd w:id="252"/>
      <w:r>
        <w:t xml:space="preserve"> project that AI data center power demand could reach 327 GW by 2030 and that domestic power shortages may push compute infrastructure abroad. The </w:t>
      </w:r>
      <w:bookmarkStart w:id="253" w:name="WorldBank2025txt"/>
      <w:hyperlink w:anchor="WorldBank2025" w:history="1">
        <w:r>
          <w:rPr>
            <w:color w:val="1F3864"/>
            <w:u w:val="single"/>
          </w:rPr>
          <w:t xml:space="preserve">World Bank (2025)</w:t>
        </w:r>
      </w:hyperlink>
      <w:bookmarkEnd w:id="253"/>
      <w:r>
        <w:t xml:space="preserve"> documents the resulting global compute divide: high-income countries hold 77% of colocation data center capacity and account for 87% of cloud computing exports (</w:t>
      </w:r>
      <w:bookmarkStart w:id="249" w:name="Stojkoski2024txt"/>
      <w:hyperlink w:anchor="Stojkoski2024" w:history="1">
        <w:r>
          <w:rPr>
            <w:color w:val="1F3864"/>
            <w:u w:val="single"/>
          </w:rPr>
          <w:t xml:space="preserve">Stojkoski et al. 2024</w:t>
        </w:r>
      </w:hyperlink>
      <w:bookmarkEnd w:id="249"/>
      <w:r>
        <w:t xml:space="preserve">), but the report offers descriptive evidence without a formal framework linking production costs to trade patterns. On the industrial organization side, </w:t>
      </w:r>
      <w:bookmarkStart w:id="242" w:name="Biglaiser2024txt"/>
      <w:hyperlink w:anchor="Biglaiser2024" w:history="1">
        <w:r>
          <w:rPr>
            <w:color w:val="1F3864"/>
            <w:u w:val="single"/>
          </w:rPr>
          <w:t xml:space="preserve">Biglaiser et al. (2024)</w:t>
        </w:r>
      </w:hyperlink>
      <w:bookmarkEnd w:id="242"/>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w:t>
      </w:r>
      <w:bookmarkStart w:id="250" w:name="Stojkoski2024txt"/>
      <w:hyperlink w:anchor="Stojkoski2024" w:history="1">
        <w:r>
          <w:rPr>
            <w:color w:val="1F3864"/>
            <w:u w:val="single"/>
          </w:rPr>
          <w:t xml:space="preserve">Stojkoski et al. (2024)</w:t>
        </w:r>
      </w:hyperlink>
      <w:bookmarkEnd w:id="250"/>
      <w:r>
        <w:t xml:space="preserve"> document the geography of cloud exports but treat cloud services as homogeneous; the present model adds supply-side cost structure and a training–inference distinction that generates location-specific comparative advantage. </w:t>
      </w:r>
    </w:p>
    <w:p>
      <w:pPr>
        <w:pStyle w:val="Heading1"/>
      </w:pPr>
      <w:r>
        <w:rPr>
          <w:rFonts w:ascii="Times New Roman" w:hAnsi="Times New Roman"/>
          <w:b/>
          <w:color w:val="2F5496"/>
          <w:sz w:val="28"/>
        </w:rPr>
        <w:t>3. Model of Compute Production and Trade</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Graphic Processing Units (GPU)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8" w:name="Ohlin1933txt"/>
      <w:hyperlink w:anchor="Ohlin1933" w:history="1">
        <w:r>
          <w:rPr>
            <w:color w:val="1F3864"/>
            <w:u w:val="single"/>
          </w:rPr>
          <w:t xml:space="preserve">Ohlin 1933</w:t>
        </w:r>
      </w:hyperlink>
      <w:bookmarkEnd w:id="208"/>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from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0" w:name="Krugman1991txt"/>
      <w:hyperlink w:anchor="Krugman1991" w:history="1">
        <w:r>
          <w:rPr>
            <w:color w:val="1F3864"/>
            <w:u w:val="single"/>
          </w:rPr>
          <w:t xml:space="preserve">Krugman 1991</w:t>
        </w:r>
      </w:hyperlink>
      <w:bookmarkEnd w:id="210"/>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are shown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1" w:name="Eurostat2025txt"/>
      <w:hyperlink w:anchor="Eurostat2025" w:history="1">
        <w:r>
          <w:rPr>
            <w:color w:val="1F3864"/>
            <w:u w:val="single"/>
          </w:rPr>
          <w:t xml:space="preserve">Eurostat 2025</w:t>
        </w:r>
      </w:hyperlink>
      <w:bookmarkEnd w:id="211"/>
      <w:r>
        <w:t xml:space="preserve">). For non-European countries, the prices are obtained from national regulator tariff sheets and secondary sources, including the U.S. Energy Information Administration (</w:t>
      </w:r>
      <w:bookmarkStart w:id="243" w:name="EIA2025txt"/>
      <w:hyperlink w:anchor="EIA2025" w:history="1">
        <w:r>
          <w:rPr>
            <w:color w:val="1F3864"/>
            <w:u w:val="single"/>
          </w:rPr>
          <w:t xml:space="preserve">EIA 2025</w:t>
        </w:r>
      </w:hyperlink>
      <w:bookmarkEnd w:id="243"/>
      <w:r>
        <w:t xml:space="preserve">) for the United States, KEPCO for South Korea,</w:t>
      </w:r>
      <w:r>
        <w:rPr>
          <w:rStyle w:val="FootnoteReference"/>
        </w:rPr>
        <w:footnoteReference w:id="24"/>
      </w:r>
      <w:r>
        <w:t xml:space="preserve">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0" w:name="Barroso2018txt"/>
      <w:hyperlink w:anchor="Barroso2018" w:history="1">
        <w:r>
          <w:rPr>
            <w:color w:val="1F3864"/>
            <w:u w:val="single"/>
          </w:rPr>
          <w:t xml:space="preserve">Barroso et al. 2018</w:t>
        </w:r>
      </w:hyperlink>
      <w:bookmarkEnd w:id="220"/>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2" w:name="Deloitte2020txt"/>
      <w:hyperlink w:anchor="Deloitte2020" w:history="1">
        <w:r>
          <w:rPr>
            <w:color w:val="1F3864"/>
            <w:u w:val="single"/>
          </w:rPr>
          <w:t xml:space="preserve">Deloitte (2020)</w:t>
        </w:r>
      </w:hyperlink>
      <w:bookmarkEnd w:id="222"/>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 Construction costs are amortized over 15 years.</w:t>
      </w:r>
    </w:p>
    <w:p>
      <w:pPr>
        <w:spacing w:before="0" w:after="160"/>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applying trade frictions, and introducing hyperscaler FDI as a trust channel.</w:t>
      </w:r>
    </w:p>
    <w:p>
      <w:pPr>
        <w:spacing w:before="0" w:after="160"/>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4" w:name="Lazard2025txt"/>
      <w:hyperlink w:anchor="Lazard2025" w:history="1">
        <w:r>
          <w:rPr>
            <w:color w:val="1F3864"/>
            <w:u w:val="single"/>
          </w:rPr>
          <w:t xml:space="preserve">Lazard 2025</w:t>
        </w:r>
      </w:hyperlink>
      <w:bookmarkEnd w:id="224"/>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21st. 28 countries change their trade regimes.</w:t>
      </w:r>
    </w:p>
    <w:p>
      <w:pPr>
        <w:spacing w:before="0" w:after="160"/>
        <w:ind w:firstLine="0"/>
        <w:jc w:val="both"/>
      </w:pPr>
      <w:r>
        <w:t>The Δ column shows the rank change from raw tariffs to cost-recovery pricing (column 1 to column 2): Turkmenistan drops 16 places, Tajikistan drops 6.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ind w:firstLine="0"/>
        <w:jc w:val="both"/>
      </w:pPr>
      <w:r>
        <w:t xml:space="preserve">The gap between cost-based comparative advantage and actual investment is wide. Among the twenty cheapest producers under cost-recovery pricing, eight have less than 100 MW of installed data center capacity: Kyrgyzstan (rank 1, 5 MW), Ethiopia (rank 2, 10 MW), Kosovo (rank 4, 5 MW), Tajikistan (rank 6, 5 MW), Montenegro (rank 7, 5 MW), Azerbaijan (rank 11, 10 MW), Algeria (rank 12, 25 MW), Turkmenistan (rank 18, 5 MW). Meanwhile, several countries outside the top twenty host large data center clusters: the Netherlands (rank 60, 1,800 MW), Ireland (rank 84, 1,260 MW), and Singapore (rank 80,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The threshold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−1.3%</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−9.0%</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−1.7%</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−9.2%</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ind w:firstLine="0"/>
        <w:jc w:val="both"/>
      </w:pPr>
      <w:r>
        <w:t xml:space="preserve">Inference exports are more dispersed, with the top five exporters being Canada (43%), Kyrgyzstan (26%), Kosovo (6%), the United Kingdom (1%), and Indonesia (0.9%), collectively accounting for 77% of cross-border inference demand (HHI = 0.26). </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40"/>
        <w:ind w:firstLine="0"/>
        <w:jc w:val="both"/>
      </w:pPr>
      <w:r>
        <w:rPr>
          <w:rFonts w:ascii="Times New Roman" w:hAnsi="Times New Roman"/>
          <w:b w:val="0"/>
          <w:i/>
          <w:sz w:val="24"/>
        </w:rPr>
        <w:t xml:space="preserve">Hyperscaler FDI and the trust channel. </w:t>
      </w:r>
      <w:r>
        <w:t xml:space="preserve">The bilateral specification assumes that buyers evaluate the host country’s trustworthiness directly. In practice, the dominant delivery channel is hyperscaler FDI: AWS, Azure, or Google Cloud builds and operates the facility, and the buyer’s contract is with the hyperscaler, not the host government. Under this arrangement, the effective sovereignty premium reflects the buyer–operator relationship rather than the buyer–host-country relationship. For a facility in host country </w:t>
      </w:r>
      <m:oMath>
        <m:r>
          <m:rPr>
            <m:sty m:val="i"/>
          </m:rPr>
          <w:rPr>
            <w:rFonts w:ascii="Cambria Math" w:hAnsi="Cambria Math"/>
          </w:rPr>
          <m:t xml:space="preserve">j</m:t>
        </m:r>
      </m:oMath>
      <w:r>
        <w:t xml:space="preserve"> operated by a hyperscaler headquartered in country </w:t>
      </w:r>
      <m:oMath>
        <m:r>
          <m:rPr>
            <m:sty m:val="i"/>
          </m:rPr>
          <w:rPr>
            <w:rFonts w:ascii="Cambria Math" w:hAnsi="Cambria Math"/>
          </w:rPr>
          <m:t xml:space="preserve">h</m:t>
        </m:r>
      </m:oMath>
      <w:r>
        <w:t>, the effective premium becomes: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λ</m:t>
                  </m:r>
                </m:e>
                <m:sub>
                  <m:r>
                    <m:rPr>
                      <m:sty m:val="i"/>
                    </m:rPr>
                    <w:rPr>
                      <w:rFonts w:ascii="Cambria Math" w:hAnsi="Cambria Math"/>
                    </w:rPr>
                    <m:t xml:space="preserve">jk</m:t>
                  </m:r>
                </m:sub>
                <m:sup>
                  <m:r>
                    <m:rPr>
                      <m:sty m:val="i"/>
                    </m:rPr>
                    <w:rPr>
                      <w:rFonts w:ascii="Cambria Math" w:hAnsi="Cambria Math"/>
                    </w:rPr>
                    <m:t xml:space="preserve">FDI</m:t>
                  </m:r>
                </m:sup>
              </m:sSubSup>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29" w:name="Eq2′"/>
            <w:r>
              <w:t>(2′)</w:t>
            </w:r>
            <w:bookmarkEnd w:id="829"/>
          </w:p>
        </w:tc>
      </w:tr>
    </w:tbl>
    <w:p>
      <w:pPr>
        <w:spacing w:before="0" w:after="160"/>
        <w:ind w:firstLine="0"/>
        <w:jc w:val="both"/>
      </w:pPr>
      <w:r>
        <w:t xml:space="preserve">Equation (2′) nests </w:t>
      </w:r>
      <w:bookmarkStart w:id="904" w:name="Eq2txt904"/>
      <w:hyperlink w:anchor="Eq2" w:history="1">
        <w:r>
          <w:rPr>
            <w:color w:val="1F3864"/>
            <w:u w:val="single"/>
          </w:rPr>
          <w:t xml:space="preserve">equation (2)</w:t>
        </w:r>
      </w:hyperlink>
      <w:bookmarkEnd w:id="904"/>
      <w:r>
        <w:t xml:space="preserve">: when </w:t>
      </w:r>
      <m:oMath>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j</m:t>
        </m:r>
      </m:oMath>
      <w:r>
        <w:t xml:space="preserve"> (domestically owned facility), the two coincide. For the three US-headquartered hyperscalers that control roughly 65 percent of the global cloud market, </w:t>
      </w:r>
      <m:oMath>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0</m:t>
        </m:r>
      </m:oMath>
      <w:r>
        <w:t xml:space="preserve"> and </w:t>
      </w:r>
      <m:oMath>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m:t>
        </m:r>
      </m:oMath>
      <w:r>
        <w:t xml:space="preserve"> for allied buyers, so the premium collapses to the sanctions indicator alone. Sanctions still bind on the host country because GPUs cannot be shipped to Iran, Russia, Belarus, or Turkmenistan regardless of who operates the facility. GPU export controls partially restrict China’s access to training-grade hardware.</w:t>
      </w:r>
    </w:p>
    <w:p>
      <w:pPr>
        <w:spacing w:before="0" w:after="160"/>
        <w:ind w:firstLine="0"/>
        <w:jc w:val="both"/>
      </w:pPr>
      <w:r>
        <w:t xml:space="preserve">Column (6) of </w:t>
      </w:r>
      <w:hyperlink w:anchor="Table3b" w:history="1">
        <w:r>
          <w:rPr>
            <w:color w:val="1F3864"/>
            <w:u w:val="single"/>
          </w:rPr>
          <w:t xml:space="preserve">Table 3b</w:t>
        </w:r>
      </w:hyperlink>
      <w:r>
        <w:t xml:space="preserve"> reports regime assignments under the FDI specification. Under bilateral sovereignty (column 3), only Canada exports; all other countries either produce domestically or import. Under hyperscaler FDI (column 6), 6 countries become exporters, 4 of them developing economies: Ethiopia, Kosovo, Kyrgyzstan, and Tajikistan. The developing-country export opportunity identified in the cost rankings (column 2) is not eliminated by sovereignty — it is blocked by the absence of a trust intermediary and restored when one is present.</w:t>
      </w:r>
    </w:p>
    <w:p>
      <w:pPr>
        <w:spacing w:before="0" w:after="160"/>
        <w:ind w:firstLine="0"/>
        <w:jc w:val="both"/>
      </w:pPr>
      <w:r>
        <w:t xml:space="preserve">This result aligns with observed investment patterns. Countries actively attracting hyperscaler data center investment, such as India ($15 billion AdaniConneX/Google campus), Indonesia (120 MW Jakarta), Malaysia (300 MW Johor), Kenya ($1 billion Microsoft/G42 geothermal campus), and Armenia ($4 billion Firebird project), are developing economies that the bilateral specification assigns to DD or II but that the FDI specification identifies as potential exporters. The gap between columns (3) and (6) in </w:t>
      </w:r>
      <w:hyperlink w:anchor="Table3b" w:history="1">
        <w:r>
          <w:rPr>
            <w:color w:val="1F3864"/>
            <w:u w:val="single"/>
          </w:rPr>
          <w:t xml:space="preserve">Table 3b</w:t>
        </w:r>
      </w:hyperlink>
      <w:r>
        <w:t xml:space="preserve"> measures the value of hyperscaler intermediation as a trust mechanism.</w:t>
      </w:r>
    </w:p>
    <w:p>
      <w:pPr>
        <w:spacing w:before="0" w:after="160"/>
        <w:ind w:firstLine="0"/>
        <w:jc w:val="both"/>
      </w:pPr>
      <w:r>
        <w:t>Two caveats apply. First, the FDI specification assumes the hyperscaler absorbs all bilateral trust. In practice, data still physically resides in the host country’s jurisdiction, and some buyers, particularly governments and regulated industries, may retain a residual sovereignty premium even when a trusted operator is present. Second, whether a hyperscaler chooses to build in a given country depends on agglomeration economies, network infrastructure, and market size that the cost ranking does not capture. The FDI column identifies the cost-feasible set of host countries; which ones actually attract investment is a separate question.</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1.7%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5" w:name="ACR2012txt"/>
      <w:hyperlink w:anchor="ACR2012" w:history="1">
        <w:r>
          <w:rPr>
            <w:color w:val="1F3864"/>
            <w:u w:val="single"/>
          </w:rPr>
          <w:t xml:space="preserve">Arkolakis et al. 2012</w:t>
        </w:r>
      </w:hyperlink>
      <w:bookmarkEnd w:id="245"/>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6" w:name="WorldBank2025txt"/>
      <w:hyperlink w:anchor="WorldBank2025" w:history="1">
        <w:r>
          <w:rPr>
            <w:color w:val="1F3864"/>
            <w:u w:val="single"/>
          </w:rPr>
          <w:t xml:space="preserve">World Bank (2025)</w:t>
        </w:r>
      </w:hyperlink>
      <w:bookmarkEnd w:id="226"/>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7" w:name="Calcaterra2024txt"/>
      <w:hyperlink w:anchor="Calcaterra2024" w:history="1">
        <w:r>
          <w:rPr>
            <w:color w:val="1F3864"/>
            <w:u w:val="single"/>
          </w:rPr>
          <w:t xml:space="preserve">Calcaterra et al. 2024</w:t>
        </w:r>
      </w:hyperlink>
      <w:bookmarkEnd w:id="227"/>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five robustness specifications, varying the governance weight,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160"/>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Column (5)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(3) and (4)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to incorporate carbon pricing (“green premia”), demand segmentation by latency tolerance, and stochastic disruptions that create incentives for supply diversification.</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standard bilateral specification, only Canada exports; sovereignty premia shift every other country toward domestic production or importing, at a demand-weighted welfare cost of 1.7% of compute spending. The resolution lies in the hyperscaler FDI channel: when a trusted cloud provider operates the facility, the buyer’s sovereignty concern attaches to the operator, not the host country. Under this specification, four developing countries re-enter as exporters, and the model’s predictions align with observed hyperscaler investment in India, Kenya, Malaysia, and Southeast Asia.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 and restored only when a hyperscaler intermediates the transaction.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gap between columns (3) and (6) of Table 3b measures what institutional reform is worth.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28" w:name="vanderPloeg2011txt"/>
      <w:hyperlink w:anchor="vanderPloeg2011" w:history="1">
        <w:r>
          <w:rPr>
            <w:color w:val="1F3864"/>
            <w:u w:val="single"/>
          </w:rPr>
          <w:t xml:space="preserve">van der Ploeg 2011</w:t>
        </w:r>
      </w:hyperlink>
      <w:bookmarkEnd w:id="228"/>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four-column progression in Table 3b makes the policy challenge concrete: cheap energy gets a country into the cost-feasible set (column 2), but bilateral trust eliminates the opportunity (column 3), and only hyperscaler intermediation restores it (column 6).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bookmarkStart w:id="229" w:name="WorldBank2024txt"/>
      <w:hyperlink w:anchor="WorldBank2024" w:history="1">
        <w:r>
          <w:rPr>
            <w:color w:val="1F3864"/>
            <w:u w:val="single"/>
          </w:rPr>
          <w:t xml:space="preserve">World Bank</w:t>
        </w:r>
      </w:hyperlink>
      <w:bookmarkEnd w:id="229"/>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0" w:name="WorldBank2024txt"/>
      <w:hyperlink w:anchor="WorldBank2024" w:history="1">
        <w:r>
          <w:rPr>
            <w:i/>
            <w:color w:val="1F3864"/>
            <w:u w:val="single"/>
          </w:rPr>
          <w:t xml:space="preserve">World Bank</w:t>
        </w:r>
      </w:hyperlink>
      <w:bookmarkEnd w:id="230"/>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31" w:name="WorldBank2024txt"/>
      <w:hyperlink w:anchor="WorldBank2024" w:history="1">
        <w:r>
          <w:rPr>
            <w:color w:val="1F3864"/>
            <w:u w:val="single"/>
          </w:rPr>
          <w:t xml:space="preserve">World Bank</w:t>
        </w:r>
      </w:hyperlink>
      <w:bookmarkEnd w:id="231"/>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6"/>
    </w:p>
    <w:p>
      <w:pPr>
        <w:spacing w:before="0" w:after="80" w:line="240" w:lineRule="exact"/>
        <w:ind w:hanging="720" w:left="720"/>
        <w:jc w:val="both"/>
      </w:pPr>
      <w:bookmarkStart w:id="547" w:name="WBES2025"/>
      <w:r>
        <w:rPr>
          <w:color w:val="1F3864"/>
          <w:u w:val="single"/>
        </w:rPr>
        <w:t xml:space="preserve">World Bank. </w:t>
      </w:r>
      <w:r>
        <w:t xml:space="preserve">(2025). </w:t>
      </w:r>
      <w:r>
        <w:rPr>
          <w:i/>
        </w:rPr>
        <w:t>Enterprise Surveys</w:t>
      </w:r>
      <w:r>
        <w:t xml:space="preserve">. Washington, DC: </w:t>
      </w:r>
      <w:bookmarkStart w:id="233" w:name="WorldBank2024txt"/>
      <w:hyperlink w:anchor="WorldBank2024" w:history="1">
        <w:r>
          <w:rPr>
            <w:color w:val="1F3864"/>
            <w:u w:val="single"/>
          </w:rPr>
          <w:t xml:space="preserve">World Bank</w:t>
        </w:r>
      </w:hyperlink>
      <w:bookmarkEnd w:id="233"/>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calibration_strategy_v28_slide2.png"/>
                    <pic:cNvPicPr/>
                  </pic:nvPicPr>
                  <pic:blipFill>
                    <a:blip r:embed="rId10"/>
                    <a:stretch>
                      <a:fillRect/>
                    </a:stretch>
                  </pic:blipFill>
                  <pic:spPr>
                    <a:xfrm>
                      <a:off x="0" y="0"/>
                      <a:ext cx="5029200" cy="2828925"/>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 with a uniform premium (λ = 0.10) as robustness check. Step 3 replaces host-country trust with hyperscaler-intermediated FDI.</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5"/>
        <w:gridCol w:w="785"/>
        <w:gridCol w:w="785"/>
        <w:gridCol w:w="785"/>
        <w:gridCol w:w="785"/>
        <w:gridCol w:w="785"/>
        <w:gridCol w:w="785"/>
        <w:gridCol w:w="785"/>
        <w:gridCol w:w="785"/>
        <w:gridCol w:w="785"/>
        <w:gridCol w:w="785"/>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(3)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+5</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Azerbaijan</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Algeria</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-10</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Turkmenistan</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Brazil</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Indonesia</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Kazakhstan</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Borders>
              <w:bottom w:val="double" w:sz="4" w:space="0" w:color="auto"/>
            </w:tcBorders>
            <w:tcW w:w="1800" w:type="dxa"/>
          </w:tcPr>
          <w:p>
            <w:pPr>
              <w:jc w:val="left"/>
              <w:spacing w:before="10" w:after="10"/>
            </w:pPr>
            <w:r/>
            <w:r>
              <w:rPr>
                <w:rFonts w:ascii="Times New Roman" w:hAnsi="Times New Roman"/>
                <w:sz w:val="16"/>
              </w:rPr>
              <w:t>Uzbekistan</w:t>
            </w:r>
          </w:p>
        </w:tc>
        <w:tc>
          <w:tcPr>
            <w:tcBorders>
              <w:bottom w:val="double" w:sz="4" w:space="0" w:color="auto"/>
            </w:tcBorders>
            <w:tcW w:w="900" w:type="dxa"/>
          </w:tcPr>
          <w:p>
            <w:pPr>
              <w:jc w:val="center"/>
              <w:spacing w:before="10" w:after="10"/>
            </w:pPr>
            <w:r/>
            <w:r>
              <w:rPr>
                <w:rFonts w:ascii="Times New Roman" w:hAnsi="Times New Roman"/>
                <w:sz w:val="16"/>
              </w:rPr>
              <w:t>$1.64</w:t>
            </w:r>
          </w:p>
        </w:tc>
        <w:tc>
          <w:tcPr>
            <w:tcBorders>
              <w:bottom w:val="double" w:sz="4" w:space="0" w:color="auto"/>
            </w:tcBorders>
            <w:tcW w:w="540" w:type="dxa"/>
          </w:tcPr>
          <w:p>
            <w:pPr>
              <w:jc w:val="center"/>
              <w:spacing w:before="10" w:after="10"/>
            </w:pPr>
            <w:r/>
            <w:r>
              <w:rPr>
                <w:rFonts w:ascii="Times New Roman" w:hAnsi="Times New Roman"/>
                <w:sz w:val="16"/>
              </w:rPr>
              <w:t>20</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$1.65</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$1.65</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-5</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Bilateral: cost-recovery cost with bilateral sovereignty premium λᵢⱼ from </w:t>
      </w:r>
      <w:bookmarkStart w:id="905" w:name="Eq2txt905"/>
      <w:hyperlink w:anchor="Eq2" w:history="1">
        <w:r>
          <w:rPr>
            <w:rFonts w:ascii="Times New Roman" w:hAnsi="Times New Roman"/>
            <w:sz w:val="20"/>
            <w:color w:val="1F3864"/>
            <w:u w:val="single"/>
          </w:rPr>
          <w:t xml:space="preserve">equation (2)</w:t>
        </w:r>
      </w:hyperlink>
      <w:bookmarkEnd w:id="905"/>
      <w:r>
        <w:rPr>
          <w:rFonts w:ascii="Times New Roman" w:hAnsi="Times New Roman"/>
          <w:sz w:val="20"/>
        </w:rPr>
        <w:t xml:space="preserve">. Ranks in columns (2) and (3) are the same, because the sovereignty premium does not affect production costs or cost rankings; it reshapes regime assignments. Δ = rank change from (1) to (2);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0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900" w:type="dxa"/>
          </w:tcPr>
          <w:p>
            <w:pPr>
              <w:jc w:val="center"/>
              <w:spacing w:before="10" w:after="10"/>
              <w:spacing w:before="10" w:after="10"/>
            </w:pPr>
            <w:r/>
            <w:r>
              <w:rPr>
                <w:rFonts w:ascii="Times New Roman" w:hAnsi="Times New Roman"/>
                <w:b/>
                <w:sz w:val="16"/>
              </w:rPr>
              <w:t>(3)/(4) Bilateral</w:t>
            </w:r>
          </w:p>
        </w:tc>
        <w:tc>
          <w:tcPr>
            <w:gridSpan w:val="2"/>
            <w:tcBorders>
              <w:top w:val="single" w:sz="4" w:space="0" w:color="auto"/>
              <w:bottom w:val="single" w:sz="4" w:space="0" w:color="auto"/>
            </w:tcBorders>
            <w:tcBorders>
              <w:top w:val="single" w:sz="4" w:space="0" w:color="auto"/>
              <w:bottom w:val="single" w:sz="4" w:space="0" w:color="auto"/>
            </w:tcBorders>
            <w:tcW w:w="800" w:type="dxa"/>
          </w:tcPr>
          <w:p>
            <w:pPr>
              <w:jc w:val="center"/>
              <w:spacing w:before="10" w:after="10"/>
              <w:spacing w:before="10" w:after="10"/>
            </w:pPr>
            <w:r/>
            <w:r>
              <w:rPr>
                <w:rFonts w:ascii="Times New Roman" w:hAnsi="Times New Roman"/>
                <w:b/>
                <w:sz w:val="16"/>
              </w:rPr>
              <w:t>(5) Uniform (λ = 10%)</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(6) FDI</w:t>
            </w:r>
          </w:p>
        </w:tc>
        <w:tc>
          <w:tcPr>
            <w:tcBorders>
              <w:top w:val="single" w:sz="4" w:space="0" w:color="auto"/>
              <w:bottom w:val="single" w:sz="4" w:space="0" w:color="auto"/>
            </w:tcBorders>
            <w:tcW w:w="110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20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800" w:type="dxa"/>
          </w:tcPr>
          <w:p>
            <w:pPr>
              <w:jc w:val="center"/>
              <w:spacing w:before="10" w:after="10"/>
            </w:pPr>
            <w:r/>
            <w:r>
              <w:rPr>
                <w:rFonts w:ascii="Times New Roman" w:hAnsi="Times New Roman"/>
                <w:b/>
                <w:sz w:val="16"/>
              </w:rPr>
              <w:t>Rank₅</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000" w:type="dxa"/>
          </w:tcPr>
          <w:p>
            <w:pPr>
              <w:jc w:val="left"/>
              <w:spacing w:before="10" w:after="10"/>
            </w:pPr>
            <w:r/>
            <w:r>
              <w:rPr>
                <w:rFonts w:ascii="Times New Roman" w:hAnsi="Times New Roman"/>
                <w:sz w:val="16"/>
              </w:rPr>
              <w:t>Kyrgyzstan</w:t>
            </w:r>
          </w:p>
        </w:tc>
        <w:tc>
          <w:tcPr>
            <w:tcW w:w="1100" w:type="dxa"/>
          </w:tcPr>
          <w:p>
            <w:pPr>
              <w:jc w:val="center"/>
              <w:spacing w:before="10" w:after="10"/>
            </w:pPr>
            <w:r/>
            <w:r>
              <w:rPr>
                <w:rFonts w:ascii="Times New Roman" w:hAnsi="Times New Roman"/>
                <w:sz w:val="16"/>
              </w:rPr>
              <w:t>$1.60</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1</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0.3%</w:t>
            </w:r>
          </w:p>
        </w:tc>
      </w:tr>
      <w:tr>
        <w:tc>
          <w:tcPr>
            <w:tcW w:w="2000" w:type="dxa"/>
          </w:tcPr>
          <w:p>
            <w:pPr>
              <w:jc w:val="left"/>
              <w:spacing w:before="10" w:after="10"/>
            </w:pPr>
            <w:r/>
            <w:r>
              <w:rPr>
                <w:rFonts w:ascii="Times New Roman" w:hAnsi="Times New Roman"/>
                <w:sz w:val="16"/>
              </w:rPr>
              <w:t>Ethiopia</w:t>
            </w:r>
          </w:p>
        </w:tc>
        <w:tc>
          <w:tcPr>
            <w:tcW w:w="1100" w:type="dxa"/>
          </w:tcPr>
          <w:p>
            <w:pPr>
              <w:jc w:val="center"/>
              <w:spacing w:before="10" w:after="10"/>
            </w:pPr>
            <w:r/>
            <w:r>
              <w:rPr>
                <w:rFonts w:ascii="Times New Roman" w:hAnsi="Times New Roman"/>
                <w:sz w:val="16"/>
              </w:rPr>
              <w:t>$1.61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2</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1.3%</w:t>
            </w:r>
          </w:p>
        </w:tc>
      </w:tr>
      <w:tr>
        <w:tc>
          <w:tcPr>
            <w:tcW w:w="2000" w:type="dxa"/>
          </w:tcPr>
          <w:p>
            <w:pPr>
              <w:jc w:val="left"/>
              <w:spacing w:before="10" w:after="10"/>
            </w:pPr>
            <w:r/>
            <w:r>
              <w:rPr>
                <w:rFonts w:ascii="Times New Roman" w:hAnsi="Times New Roman"/>
                <w:sz w:val="16"/>
              </w:rPr>
              <w:t>Canada</w:t>
            </w:r>
          </w:p>
        </w:tc>
        <w:tc>
          <w:tcPr>
            <w:tcW w:w="1100" w:type="dxa"/>
          </w:tcPr>
          <w:p>
            <w:pPr>
              <w:jc w:val="center"/>
              <w:spacing w:before="10" w:after="10"/>
            </w:pPr>
            <w:r/>
            <w:r>
              <w:rPr>
                <w:rFonts w:ascii="Times New Roman" w:hAnsi="Times New Roman"/>
                <w:sz w:val="16"/>
              </w:rPr>
              <w:t>$1.61</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3</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1.3%</w:t>
            </w:r>
          </w:p>
        </w:tc>
      </w:tr>
      <w:tr>
        <w:tc>
          <w:tcPr>
            <w:tcW w:w="2000" w:type="dxa"/>
          </w:tcPr>
          <w:p>
            <w:pPr>
              <w:jc w:val="left"/>
              <w:spacing w:before="10" w:after="10"/>
            </w:pPr>
            <w:r/>
            <w:r>
              <w:rPr>
                <w:rFonts w:ascii="Times New Roman" w:hAnsi="Times New Roman"/>
                <w:sz w:val="16"/>
              </w:rPr>
              <w:t>Kosovo</w:t>
            </w:r>
          </w:p>
        </w:tc>
        <w:tc>
          <w:tcPr>
            <w:tcW w:w="1100" w:type="dxa"/>
          </w:tcPr>
          <w:p>
            <w:pPr>
              <w:jc w:val="center"/>
              <w:spacing w:before="10" w:after="10"/>
            </w:pPr>
            <w:r/>
            <w:r>
              <w:rPr>
                <w:rFonts w:ascii="Times New Roman" w:hAnsi="Times New Roman"/>
                <w:sz w:val="16"/>
              </w:rPr>
              <w:t>$1.62</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4</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1.7%</w:t>
            </w:r>
          </w:p>
        </w:tc>
      </w:tr>
      <w:tr>
        <w:tc>
          <w:tcPr>
            <w:tcW w:w="2000" w:type="dxa"/>
          </w:tcPr>
          <w:p>
            <w:pPr>
              <w:jc w:val="left"/>
              <w:spacing w:before="10" w:after="10"/>
            </w:pPr>
            <w:r/>
            <w:r>
              <w:rPr>
                <w:rFonts w:ascii="Times New Roman" w:hAnsi="Times New Roman"/>
                <w:sz w:val="16"/>
              </w:rPr>
              <w:t>China</w:t>
            </w:r>
          </w:p>
        </w:tc>
        <w:tc>
          <w:tcPr>
            <w:tcW w:w="1100" w:type="dxa"/>
          </w:tcPr>
          <w:p>
            <w:pPr>
              <w:jc w:val="center"/>
              <w:spacing w:before="10" w:after="10"/>
            </w:pPr>
            <w:r/>
            <w:r>
              <w:rPr>
                <w:rFonts w:ascii="Times New Roman" w:hAnsi="Times New Roman"/>
                <w:sz w:val="16"/>
              </w:rPr>
              <w:t>$1.62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5</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1.7%</w:t>
            </w:r>
          </w:p>
        </w:tc>
      </w:tr>
      <w:tr>
        <w:tc>
          <w:tcPr>
            <w:tcW w:w="2000" w:type="dxa"/>
          </w:tcPr>
          <w:p>
            <w:pPr>
              <w:jc w:val="left"/>
              <w:spacing w:before="10" w:after="10"/>
            </w:pPr>
            <w:r/>
            <w:r>
              <w:rPr>
                <w:rFonts w:ascii="Times New Roman" w:hAnsi="Times New Roman"/>
                <w:sz w:val="16"/>
              </w:rPr>
              <w:t>Tajikistan</w:t>
            </w:r>
          </w:p>
        </w:tc>
        <w:tc>
          <w:tcPr>
            <w:tcW w:w="1100" w:type="dxa"/>
          </w:tcPr>
          <w:p>
            <w:pPr>
              <w:jc w:val="center"/>
              <w:spacing w:before="10" w:after="10"/>
            </w:pPr>
            <w:r/>
            <w:r>
              <w:rPr>
                <w:rFonts w:ascii="Times New Roman" w:hAnsi="Times New Roman"/>
                <w:sz w:val="16"/>
              </w:rPr>
              <w:t>$1.62</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6</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1.8%</w:t>
            </w:r>
          </w:p>
        </w:tc>
      </w:tr>
      <w:tr>
        <w:tc>
          <w:tcPr>
            <w:tcW w:w="2000" w:type="dxa"/>
          </w:tcPr>
          <w:p>
            <w:pPr>
              <w:jc w:val="left"/>
              <w:spacing w:before="10" w:after="10"/>
            </w:pPr>
            <w:r/>
            <w:r>
              <w:rPr>
                <w:rFonts w:ascii="Times New Roman" w:hAnsi="Times New Roman"/>
                <w:sz w:val="16"/>
              </w:rPr>
              <w:t>Montenegro</w:t>
            </w:r>
          </w:p>
        </w:tc>
        <w:tc>
          <w:tcPr>
            <w:tcW w:w="1100" w:type="dxa"/>
          </w:tcPr>
          <w:p>
            <w:pPr>
              <w:jc w:val="center"/>
              <w:spacing w:before="10" w:after="10"/>
            </w:pPr>
            <w:r/>
            <w:r>
              <w:rPr>
                <w:rFonts w:ascii="Times New Roman" w:hAnsi="Times New Roman"/>
                <w:sz w:val="16"/>
              </w:rPr>
              <w:t>$1.63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7</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2.3%</w:t>
            </w:r>
          </w:p>
        </w:tc>
      </w:tr>
      <w:tr>
        <w:tc>
          <w:tcPr>
            <w:tcW w:w="2000" w:type="dxa"/>
          </w:tcPr>
          <w:p>
            <w:pPr>
              <w:jc w:val="left"/>
              <w:spacing w:before="10" w:after="10"/>
            </w:pPr>
            <w:r/>
            <w:r>
              <w:rPr>
                <w:rFonts w:ascii="Times New Roman" w:hAnsi="Times New Roman"/>
                <w:sz w:val="16"/>
              </w:rPr>
              <w:t>Colombia</w:t>
            </w:r>
          </w:p>
        </w:tc>
        <w:tc>
          <w:tcPr>
            <w:tcW w:w="1100" w:type="dxa"/>
          </w:tcPr>
          <w:p>
            <w:pPr>
              <w:jc w:val="center"/>
              <w:spacing w:before="10" w:after="10"/>
            </w:pPr>
            <w:r/>
            <w:r>
              <w:rPr>
                <w:rFonts w:ascii="Times New Roman" w:hAnsi="Times New Roman"/>
                <w:sz w:val="16"/>
              </w:rPr>
              <w:t>$1.63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8</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2.4%</w:t>
            </w:r>
          </w:p>
        </w:tc>
      </w:tr>
      <w:tr>
        <w:tc>
          <w:tcPr>
            <w:tcW w:w="2000" w:type="dxa"/>
          </w:tcPr>
          <w:p>
            <w:pPr>
              <w:jc w:val="left"/>
              <w:spacing w:before="10" w:after="10"/>
            </w:pPr>
            <w:r/>
            <w:r>
              <w:rPr>
                <w:rFonts w:ascii="Times New Roman" w:hAnsi="Times New Roman"/>
                <w:sz w:val="16"/>
              </w:rPr>
              <w:t>Ukraine</w:t>
            </w:r>
          </w:p>
        </w:tc>
        <w:tc>
          <w:tcPr>
            <w:tcW w:w="1100" w:type="dxa"/>
          </w:tcPr>
          <w:p>
            <w:pPr>
              <w:jc w:val="center"/>
              <w:spacing w:before="10" w:after="10"/>
            </w:pPr>
            <w:r/>
            <w:r>
              <w:rPr>
                <w:rFonts w:ascii="Times New Roman" w:hAnsi="Times New Roman"/>
                <w:sz w:val="16"/>
              </w:rPr>
              <w:t>$1.63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9</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2.4%</w:t>
            </w:r>
          </w:p>
        </w:tc>
      </w:tr>
      <w:tr>
        <w:tc>
          <w:tcPr>
            <w:tcW w:w="2000" w:type="dxa"/>
          </w:tcPr>
          <w:p>
            <w:pPr>
              <w:jc w:val="left"/>
              <w:spacing w:before="10" w:after="10"/>
            </w:pPr>
            <w:r/>
            <w:r>
              <w:rPr>
                <w:rFonts w:ascii="Times New Roman" w:hAnsi="Times New Roman"/>
                <w:sz w:val="16"/>
              </w:rPr>
              <w:t>Argentina</w:t>
            </w:r>
          </w:p>
        </w:tc>
        <w:tc>
          <w:tcPr>
            <w:tcW w:w="1100" w:type="dxa"/>
          </w:tcPr>
          <w:p>
            <w:pPr>
              <w:jc w:val="center"/>
              <w:spacing w:before="10" w:after="10"/>
            </w:pPr>
            <w:r/>
            <w:r>
              <w:rPr>
                <w:rFonts w:ascii="Times New Roman" w:hAnsi="Times New Roman"/>
                <w:sz w:val="16"/>
              </w:rPr>
              <w:t>$1.63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10</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2.7%</w:t>
            </w:r>
          </w:p>
        </w:tc>
      </w:tr>
      <w:tr>
        <w:tc>
          <w:tcPr>
            <w:tcW w:w="2000" w:type="dxa"/>
          </w:tcPr>
          <w:p>
            <w:pPr>
              <w:jc w:val="left"/>
              <w:spacing w:before="10" w:after="10"/>
            </w:pPr>
            <w:r/>
            <w:r>
              <w:rPr>
                <w:rFonts w:ascii="Times New Roman" w:hAnsi="Times New Roman"/>
                <w:sz w:val="16"/>
              </w:rPr>
              <w:t>Azerbaijan</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11</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2.7%</w:t>
            </w:r>
          </w:p>
        </w:tc>
      </w:tr>
      <w:tr>
        <w:tc>
          <w:tcPr>
            <w:tcW w:w="2000" w:type="dxa"/>
          </w:tcPr>
          <w:p>
            <w:pPr>
              <w:jc w:val="left"/>
              <w:spacing w:before="10" w:after="10"/>
            </w:pPr>
            <w:r/>
            <w:r>
              <w:rPr>
                <w:rFonts w:ascii="Times New Roman" w:hAnsi="Times New Roman"/>
                <w:sz w:val="16"/>
              </w:rPr>
              <w:t>Algeria</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12</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2.7%</w:t>
            </w:r>
          </w:p>
        </w:tc>
      </w:tr>
      <w:tr>
        <w:tc>
          <w:tcPr>
            <w:tcW w:w="2000" w:type="dxa"/>
          </w:tcPr>
          <w:p>
            <w:pPr>
              <w:jc w:val="left"/>
              <w:spacing w:before="10" w:after="10"/>
            </w:pPr>
            <w:r/>
            <w:r>
              <w:rPr>
                <w:rFonts w:ascii="Times New Roman" w:hAnsi="Times New Roman"/>
                <w:sz w:val="16"/>
              </w:rPr>
              <w:t>Russia</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13</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2.8%</w:t>
            </w:r>
          </w:p>
        </w:tc>
      </w:tr>
      <w:tr>
        <w:tc>
          <w:tcPr>
            <w:tcW w:w="2000" w:type="dxa"/>
          </w:tcPr>
          <w:p>
            <w:pPr>
              <w:jc w:val="left"/>
              <w:spacing w:before="10" w:after="10"/>
            </w:pPr>
            <w:r/>
            <w:r>
              <w:rPr>
                <w:rFonts w:ascii="Times New Roman" w:hAnsi="Times New Roman"/>
                <w:sz w:val="16"/>
              </w:rPr>
              <w:t>Vietnam</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14</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3.0%</w:t>
            </w:r>
          </w:p>
        </w:tc>
      </w:tr>
      <w:tr>
        <w:tc>
          <w:tcPr>
            <w:tcW w:w="2000" w:type="dxa"/>
          </w:tcPr>
          <w:p>
            <w:pPr>
              <w:jc w:val="left"/>
              <w:spacing w:before="10" w:after="10"/>
            </w:pPr>
            <w:r/>
            <w:r>
              <w:rPr>
                <w:rFonts w:ascii="Times New Roman" w:hAnsi="Times New Roman"/>
                <w:sz w:val="16"/>
              </w:rPr>
              <w:t>Egypt</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15</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3.0%</w:t>
            </w:r>
          </w:p>
        </w:tc>
      </w:tr>
      <w:tr>
        <w:tc>
          <w:tcPr>
            <w:tcW w:w="2000" w:type="dxa"/>
          </w:tcPr>
          <w:p>
            <w:pPr>
              <w:jc w:val="left"/>
              <w:spacing w:before="10" w:after="10"/>
            </w:pPr>
            <w:r/>
            <w:r>
              <w:rPr>
                <w:rFonts w:ascii="Times New Roman" w:hAnsi="Times New Roman"/>
                <w:sz w:val="16"/>
              </w:rPr>
              <w:t>India</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16</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3.1%</w:t>
            </w:r>
          </w:p>
        </w:tc>
      </w:tr>
      <w:tr>
        <w:tc>
          <w:tcPr>
            <w:tcW w:w="2000" w:type="dxa"/>
          </w:tcPr>
          <w:p>
            <w:pPr>
              <w:jc w:val="left"/>
              <w:spacing w:before="10" w:after="10"/>
            </w:pPr>
            <w:r/>
            <w:r>
              <w:rPr>
                <w:rFonts w:ascii="Times New Roman" w:hAnsi="Times New Roman"/>
                <w:sz w:val="16"/>
              </w:rPr>
              <w:t>Norway</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17</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3.2%</w:t>
            </w:r>
          </w:p>
        </w:tc>
      </w:tr>
      <w:tr>
        <w:tc>
          <w:tcPr>
            <w:tcW w:w="2000" w:type="dxa"/>
          </w:tcPr>
          <w:p>
            <w:pPr>
              <w:jc w:val="left"/>
              <w:spacing w:before="10" w:after="10"/>
            </w:pPr>
            <w:r/>
            <w:r>
              <w:rPr>
                <w:rFonts w:ascii="Times New Roman" w:hAnsi="Times New Roman"/>
                <w:sz w:val="16"/>
              </w:rPr>
              <w:t>Turkmenistan</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18</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3.3%</w:t>
            </w:r>
          </w:p>
        </w:tc>
      </w:tr>
      <w:tr>
        <w:tc>
          <w:tcPr>
            <w:tcW w:w="2000" w:type="dxa"/>
          </w:tcPr>
          <w:p>
            <w:pPr>
              <w:jc w:val="left"/>
              <w:spacing w:before="10" w:after="10"/>
            </w:pPr>
            <w:r/>
            <w:r>
              <w:rPr>
                <w:rFonts w:ascii="Times New Roman" w:hAnsi="Times New Roman"/>
                <w:sz w:val="16"/>
              </w:rPr>
              <w:t>Finland</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19</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3.4%</w:t>
            </w:r>
          </w:p>
        </w:tc>
      </w:tr>
      <w:tr>
        <w:tc>
          <w:tcPr>
            <w:tcW w:w="2000" w:type="dxa"/>
          </w:tcPr>
          <w:p>
            <w:pPr>
              <w:jc w:val="left"/>
              <w:spacing w:before="10" w:after="10"/>
            </w:pPr>
            <w:r/>
            <w:r>
              <w:rPr>
                <w:rFonts w:ascii="Times New Roman" w:hAnsi="Times New Roman"/>
                <w:sz w:val="16"/>
              </w:rPr>
              <w:t>Brazil</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20</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3.4%</w:t>
            </w:r>
          </w:p>
        </w:tc>
      </w:tr>
      <w:tr>
        <w:tc>
          <w:tcPr>
            <w:tcW w:w="2000" w:type="dxa"/>
          </w:tcPr>
          <w:p>
            <w:pPr>
              <w:jc w:val="left"/>
              <w:spacing w:before="10" w:after="10"/>
            </w:pPr>
            <w:r/>
            <w:r>
              <w:rPr>
                <w:rFonts w:ascii="Times New Roman" w:hAnsi="Times New Roman"/>
                <w:sz w:val="16"/>
              </w:rPr>
              <w:t>Iran</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21</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3.7%</w:t>
            </w:r>
          </w:p>
        </w:tc>
      </w:tr>
      <w:tr>
        <w:tc>
          <w:tcPr>
            <w:tcW w:w="2000" w:type="dxa"/>
          </w:tcPr>
          <w:p>
            <w:pPr>
              <w:jc w:val="left"/>
              <w:spacing w:before="10" w:after="10"/>
            </w:pPr>
            <w:r/>
            <w:r>
              <w:rPr>
                <w:rFonts w:ascii="Times New Roman" w:hAnsi="Times New Roman"/>
                <w:sz w:val="16"/>
              </w:rPr>
              <w:t>Indonesia</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22</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3.8%</w:t>
            </w:r>
          </w:p>
        </w:tc>
      </w:tr>
      <w:tr>
        <w:tc>
          <w:tcPr>
            <w:tcW w:w="2000" w:type="dxa"/>
          </w:tcPr>
          <w:p>
            <w:pPr>
              <w:jc w:val="left"/>
              <w:spacing w:before="10" w:after="10"/>
            </w:pPr>
            <w:r/>
            <w:r>
              <w:rPr>
                <w:rFonts w:ascii="Times New Roman" w:hAnsi="Times New Roman"/>
                <w:sz w:val="16"/>
              </w:rPr>
              <w:t>Sweden</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23</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3.8%</w:t>
            </w:r>
          </w:p>
        </w:tc>
      </w:tr>
      <w:tr>
        <w:tc>
          <w:tcPr>
            <w:tcW w:w="2000" w:type="dxa"/>
          </w:tcPr>
          <w:p>
            <w:pPr>
              <w:jc w:val="left"/>
              <w:spacing w:before="10" w:after="10"/>
            </w:pPr>
            <w:r/>
            <w:r>
              <w:rPr>
                <w:rFonts w:ascii="Times New Roman" w:hAnsi="Times New Roman"/>
                <w:sz w:val="16"/>
              </w:rPr>
              <w:t>Kazakhstan</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24</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3.9%</w:t>
            </w:r>
          </w:p>
        </w:tc>
      </w:tr>
      <w:tr>
        <w:tc>
          <w:tcPr>
            <w:tcBorders>
              <w:bottom w:val="double" w:sz="4" w:space="0" w:color="auto"/>
            </w:tcBorders>
            <w:tcW w:w="2000" w:type="dxa"/>
          </w:tcPr>
          <w:p>
            <w:pPr>
              <w:jc w:val="left"/>
              <w:spacing w:before="10" w:after="10"/>
            </w:pPr>
            <w:r/>
            <w:r>
              <w:rPr>
                <w:rFonts w:ascii="Times New Roman" w:hAnsi="Times New Roman"/>
                <w:sz w:val="16"/>
              </w:rPr>
              <w:t>Uzbekistan</w:t>
            </w:r>
          </w:p>
        </w:tc>
        <w:tc>
          <w:tcPr>
            <w:tcBorders>
              <w:bottom w:val="double" w:sz="4" w:space="0" w:color="auto"/>
            </w:tcBorders>
            <w:tcW w:w="1100" w:type="dxa"/>
          </w:tcPr>
          <w:p>
            <w:pPr>
              <w:jc w:val="center"/>
              <w:spacing w:before="10" w:after="10"/>
            </w:pPr>
            <w:r/>
            <w:r>
              <w:rPr>
                <w:rFonts w:ascii="Times New Roman" w:hAnsi="Times New Roman"/>
                <w:sz w:val="16"/>
              </w:rPr>
              <w:t>$1.65</w:t>
            </w:r>
          </w:p>
        </w:tc>
        <w:tc>
          <w:tcPr>
            <w:tcBorders>
              <w:bottom w:val="double" w:sz="4" w:space="0" w:color="auto"/>
            </w:tcBorders>
            <w:tcW w:w="9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800" w:type="dxa"/>
          </w:tcPr>
          <w:p>
            <w:pPr>
              <w:jc w:val="center"/>
              <w:spacing w:before="10" w:after="10"/>
            </w:pPr>
            <w:r/>
            <w:r>
              <w:rPr>
                <w:rFonts w:ascii="Times New Roman" w:hAnsi="Times New Roman"/>
                <w:sz w:val="16"/>
              </w:rPr>
              <w:t>25</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center"/>
              <w:spacing w:before="10" w:after="10"/>
            </w:pPr>
            <w:r/>
            <w:r>
              <w:rPr>
                <w:rFonts w:ascii="Times New Roman" w:hAnsi="Times New Roman"/>
                <w:sz w:val="16"/>
              </w:rPr>
              <w:t>3.9%</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(3)/(4) Bilateral: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(5) Uniform: uniform λ = 10% premium (robustness check). (6) Hyperscaler FDI: bilateral premium replaced by λᶠᵈᵉ from equation (2′), where h is the hyperscaler’s home country (assumed US). Trust premium reflects buyer–operator relationship. Sanctions on host still apply. * = sanctioned/GPU-blocked. † = developing-country exporter.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7" w:name="Eq4txt907"/>
      <w:hyperlink w:anchor="Eq4" w:history="1">
        <w:r>
          <w:rPr>
            <w:sz w:val="20"/>
            <w:color w:val="1F3864"/>
            <w:u w:val="single"/>
          </w:rPr>
          <w:t xml:space="preserve">equation (4)</w:t>
        </w:r>
      </w:hyperlink>
      <w:bookmarkEnd w:id="907"/>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5"/>
        <w:gridCol w:w="785"/>
        <w:gridCol w:w="785"/>
        <w:gridCol w:w="785"/>
        <w:gridCol w:w="785"/>
        <w:gridCol w:w="785"/>
        <w:gridCol w:w="785"/>
        <w:gridCol w:w="785"/>
        <w:gridCol w:w="785"/>
        <w:gridCol w:w="785"/>
        <w:gridCol w:w="785"/>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(3)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DD</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900" w:type="dxa"/>
          </w:tcPr>
          <w:p>
            <w:pPr>
              <w:jc w:val="center"/>
              <w:spacing w:before="5" w:after="5"/>
            </w:pPr>
            <w:r/>
            <w:r>
              <w:rPr>
                <w:rFonts w:ascii="Times New Roman" w:hAnsi="Times New Roman"/>
                <w:sz w:val="14"/>
              </w:rPr>
              <w:t>$1.79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$1.79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$1.79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0</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(2) rank (ascending). Column (3) uses bilateral sovereignty premium λᵢⱼ from </w:t>
      </w:r>
      <w:bookmarkStart w:id="908" w:name="Eq2txt908"/>
      <w:hyperlink w:anchor="Eq2" w:history="1">
        <w:r>
          <w:rPr>
            <w:sz w:val="20"/>
            <w:color w:val="1F3864"/>
            <w:u w:val="single"/>
          </w:rPr>
          <w:t xml:space="preserve">equation (2)</w:t>
        </w:r>
      </w:hyperlink>
      <w:bookmarkEnd w:id="908"/>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9" w:name="Eq1txt909"/>
      <w:hyperlink w:anchor="Eq1" w:history="1">
        <w:r>
          <w:rPr>
            <w:color w:val="1F3864"/>
            <w:u w:val="single"/>
          </w:rPr>
          <w:t xml:space="preserve">equation (1)</w:t>
        </w:r>
      </w:hyperlink>
      <w:bookmarkEnd w:id="909"/>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0" w:name="Eq4txt910"/>
      <w:hyperlink w:anchor="Eq4" w:history="1">
        <w:r>
          <w:rPr>
            <w:color w:val="1F3864"/>
            <w:u w:val="single"/>
          </w:rPr>
          <w:t xml:space="preserve">equation (4)</w:t>
        </w:r>
      </w:hyperlink>
      <w:bookmarkEnd w:id="910"/>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1" w:name="Eq2txt911"/>
      <w:hyperlink w:anchor="Eq2" w:history="1">
        <w:r>
          <w:rPr>
            <w:color w:val="1F3864"/>
            <w:u w:val="single"/>
          </w:rPr>
          <w:t xml:space="preserve">equation (2)</w:t>
        </w:r>
      </w:hyperlink>
      <w:bookmarkEnd w:id="911"/>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12</w:t>
            </w:r>
          </w:p>
        </w:tc>
        <w:tc>
          <w:tcPr>
            <w:tcW w:w="700" w:type="dxa"/>
          </w:tcPr>
          <w:p>
            <w:pPr>
              <w:jc w:val="right"/>
              <w:spacing w:before="10" w:after="10"/>
            </w:pPr>
            <w:r/>
            <w:r>
              <w:rPr>
                <w:sz w:val="16"/>
              </w:rPr>
              <w:t>12.2%</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12</w:t>
            </w:r>
          </w:p>
        </w:tc>
        <w:tc>
          <w:tcPr>
            <w:tcW w:w="700" w:type="dxa"/>
          </w:tcPr>
          <w:p>
            <w:pPr>
              <w:jc w:val="right"/>
              <w:spacing w:before="10" w:after="10"/>
            </w:pPr>
            <w:r/>
            <w:r>
              <w:rPr>
                <w:sz w:val="16"/>
              </w:rPr>
              <w:t>12.7%</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12</w:t>
            </w:r>
          </w:p>
        </w:tc>
        <w:tc>
          <w:tcPr>
            <w:tcBorders>
              <w:bottom w:val="double" w:sz="4" w:space="0" w:color="auto"/>
            </w:tcBorders>
            <w:tcW w:w="700" w:type="dxa"/>
          </w:tcPr>
          <w:p>
            <w:pPr>
              <w:jc w:val="right"/>
              <w:spacing w:before="10" w:after="10"/>
            </w:pPr>
            <w:r/>
            <w:r>
              <w:rPr>
                <w:sz w:val="16"/>
              </w:rPr>
              <w:t>11.8%</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Canada, Kosovo, China</w:t>
            </w:r>
          </w:p>
        </w:tc>
      </w:tr>
    </w:tbl>
    <w:p>
      <w:pPr>
        <w:spacing w:before="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