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June 05, 2026  21:48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percent) and locally financed developing-country operators (18 percent)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percent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percent),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average compute spending, in the range of the welfare gains from trade in goods estimated in the quantitative trade literature, which range from roughly 0.2 percent to 10 percent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percent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thereby raising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run counter to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largest determinant of the ranking is the cost of financing capital. An OECD hyperscaler at an 8 percent weighted average cost of capital faces hardware costs of $1.58/GPU-hour; a locally financed developing-country operator at 18 percent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percent, UMIC 12 percent, LMIC 15 percent, LIC 18 percent). Under this specification, the advantage of cheap-energy developing countries diminishes,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electricity prices but by institutional credibility, including non-sanctioned status, credible long-term power contracts, stable network connectivity, and a regulatory environment conducive to capital-intensive investment. The absence of these conditions shifts most countries toward domestic production. That loss is sizable in absolute dollars but modest relative to compute spending, and small enough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