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17:20</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China, Norway, Finland, and Kosovo.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30, and Iceland rises 28.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−9.8%</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-7.0%</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Georgia</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0.77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Borders>
              <w:bottom w:val="double" w:sz="4" w:space="0" w:color="auto"/>
            </w:tcBorders>
            <w:tcW w:w="1800" w:type="dxa"/>
          </w:tcPr>
          <w:p>
            <w:pPr>
              <w:jc w:val="left"/>
              <w:spacing w:before="10" w:after="10"/>
            </w:pPr>
            <w:r/>
            <w:r>
              <w:rPr>
                <w:rFonts w:ascii="Times New Roman" w:hAnsi="Times New Roman"/>
                <w:sz w:val="16"/>
              </w:rPr>
              <w:t>Malta</w:t>
            </w:r>
          </w:p>
        </w:tc>
        <w:tc>
          <w:tcPr>
            <w:tcBorders>
              <w:bottom w:val="double" w:sz="4" w:space="0" w:color="auto"/>
            </w:tcBorders>
            <w:tcW w:w="900" w:type="dxa"/>
          </w:tcPr>
          <w:p>
            <w:pPr>
              <w:jc w:val="center"/>
              <w:spacing w:before="10" w:after="10"/>
            </w:pPr>
            <w:r/>
            <w:r>
              <w:rPr>
                <w:rFonts w:ascii="Times New Roman" w:hAnsi="Times New Roman"/>
                <w:sz w:val="16"/>
              </w:rPr>
              <w:t>$1.50</w:t>
            </w:r>
          </w:p>
        </w:tc>
        <w:tc>
          <w:tcPr>
            <w:tcBorders>
              <w:bottom w:val="double" w:sz="4" w:space="0" w:color="auto"/>
            </w:tcBorders>
            <w:tcW w:w="540" w:type="dxa"/>
          </w:tcPr>
          <w:p>
            <w:pPr>
              <w:jc w:val="center"/>
              <w:spacing w:before="10" w:after="10"/>
            </w:pPr>
            <w:r/>
            <w:r>
              <w:rPr>
                <w:rFonts w:ascii="Times New Roman" w:hAnsi="Times New Roman"/>
                <w:sz w:val="16"/>
              </w:rPr>
              <w:t>47</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$1.50</w:t>
            </w:r>
          </w:p>
        </w:tc>
        <w:tc>
          <w:tcPr>
            <w:tcBorders>
              <w:bottom w:val="double" w:sz="4" w:space="0" w:color="auto"/>
            </w:tcBorders>
            <w:tcW w:w="540" w:type="dxa"/>
          </w:tcPr>
          <w:p>
            <w:pPr>
              <w:jc w:val="center"/>
              <w:spacing w:before="10" w:after="10"/>
            </w:pPr>
            <w:r/>
            <w:r>
              <w:rPr>
                <w:rFonts w:ascii="Times New Roman" w:hAnsi="Times New Roman"/>
                <w:sz w:val="16"/>
              </w:rPr>
              <w:t>45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0.89</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+21</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−7.3%</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−7.1%</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−7.0%</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−5.8%</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−5.8%</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−5.5%</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−5.3%</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Georgia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−5.1%</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25</w:t>
            </w:r>
          </w:p>
        </w:tc>
        <w:tc>
          <w:tcPr>
            <w:tcW w:w="1100" w:type="dxa"/>
          </w:tcPr>
          <w:p>
            <w:pPr>
              <w:jc w:val="center"/>
              <w:spacing w:before="10" w:after="10"/>
            </w:pPr>
            <w:r/>
            <w:r>
              <w:rPr>
                <w:rFonts w:ascii="Times New Roman" w:hAnsi="Times New Roman"/>
                <w:sz w:val="16"/>
              </w:rPr>
              <w:t>−5.0%</w:t>
            </w:r>
          </w:p>
        </w:tc>
      </w:tr>
      <w:tr>
        <w:tc>
          <w:tcPr>
            <w:tcBorders>
              <w:bottom w:val="double" w:sz="4" w:space="0" w:color="auto"/>
            </w:tcBorders>
            <w:tcW w:w="2400" w:type="dxa"/>
          </w:tcPr>
          <w:p>
            <w:pPr>
              <w:jc w:val="left"/>
              <w:spacing w:before="10" w:after="10"/>
            </w:pPr>
            <w:r/>
            <w:r>
              <w:rPr>
                <w:rFonts w:ascii="Times New Roman" w:hAnsi="Times New Roman"/>
                <w:sz w:val="16"/>
              </w:rPr>
              <w:t>Malta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26</w:t>
            </w:r>
          </w:p>
        </w:tc>
        <w:tc>
          <w:tcPr>
            <w:tcBorders>
              <w:bottom w:val="double" w:sz="4" w:space="0" w:color="auto"/>
            </w:tcBorders>
            <w:tcW w:w="1100" w:type="dxa"/>
          </w:tcPr>
          <w:p>
            <w:pPr>
              <w:jc w:val="center"/>
              <w:spacing w:before="10" w:after="10"/>
            </w:pPr>
            <w:r/>
            <w:r>
              <w:rPr>
                <w:rFonts w:ascii="Times New Roman" w:hAnsi="Times New Roman"/>
                <w:sz w:val="16"/>
              </w:rPr>
              <w:t>−5.0%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$1.70</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$1.70</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0.1%</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0.8%</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0.3%</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0.1%</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0.1%</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0.1%</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0.1%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