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v27  —  February 24, 2026  21:57</w:t>
      </w:r>
    </w:p>
    <w:p>
      <w:pPr>
        <w:spacing w:before="240" w:after="160" w:line="240" w:lineRule="auto"/>
        <w:ind w:firstLine="0" w:left="720" w:right="720"/>
        <w:jc w:val="both"/>
      </w:pPr>
      <w:r>
        <w:rPr>
          <w:b/>
        </w:rPr>
        <w:t>Abstract</w:t>
      </w:r>
      <w:r>
        <w:t>: Energy-rich developing countries could convert cheap electricity into high-value AI compute exports. This paper develops the first trade model of compute services (FLOPs) to assess which countries have comparative advantage in this emerging sector. Latency-insensitive AI training can be offshored to the lowest-cost producers, while latency-sensitive inference favors proximity to users; a bilateral sovereignty premium captures governments’ preference for domestic data processing, varying with geopolitical alignment, regulatory compatibility, and sanctions. Calibration across 85 countries shows that energy-abundant economies have a comparative advantage in training compute, while regional inference hubs form around major demand centers. Because hardware costs are globally uniform, compressing cross-country cost differences, production efficiency and bilateral trust are decisive. Countries combining cheap energy with adequate institutions remain competitive after governance adjustment. For energy-rich developing countries, FLOP exporting offers a route to integrate into the global economy without heavy industrialization.</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8" w:name="EpochAI2024txt"/>
      <w:hyperlink w:anchor="EpochAI2024" w:history="1">
        <w:r>
          <w:rPr>
            <w:color w:val="1F3864"/>
            <w:u w:val="single"/>
          </w:rPr>
          <w:t xml:space="preserve">Epoch AI 2024</w:t>
        </w:r>
      </w:hyperlink>
      <w:bookmarkEnd w:id="238"/>
      <w:r>
        <w:t xml:space="preserve">). Data centers accounted for approximately 1.5% of global electricity demand in 2024—more than the electricity consumption of France—a share projected to more than double by 2030 (</w:t>
      </w:r>
      <w:bookmarkStart w:id="250" w:name="IEA2025txt"/>
      <w:hyperlink w:anchor="IEA2025" w:history="1">
        <w:r>
          <w:rPr>
            <w:color w:val="1F3864"/>
            <w:u w:val="single"/>
          </w:rPr>
          <w:t xml:space="preserve">IEA 2025</w:t>
        </w:r>
      </w:hyperlink>
      <w:bookmarkEnd w:id="250"/>
      <w:r>
        <w:t xml:space="preserve">).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bookmarkStart w:id="201" w:name="Hausmann2007txt"/>
      <w:hyperlink w:anchor="Hausmann2007" w:history="1">
        <w:r>
          <w:rPr>
            <w:color w:val="1F3864"/>
            <w:u w:val="single"/>
          </w:rPr>
          <w:t xml:space="preserve">Hausmann et al.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technically and commercially feasible. Armenia is deploying 50,000 GPUs in a $4 billion investment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9" w:name="WorldBank2024txt"/>
      <w:hyperlink w:anchor="WorldBank2024" w:history="1">
        <w:r>
          <w:rPr>
            <w:color w:val="1F3864"/>
            <w:u w:val="single"/>
          </w:rPr>
          <w:t xml:space="preserve">World Bank 2024</w:t>
        </w:r>
      </w:hyperlink>
      <w:bookmarkEnd w:id="239"/>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4" w:name="Lehdonvirta2024txt"/>
      <w:hyperlink w:anchor="Lehdonvirta2024" w:history="1">
        <w:r>
          <w:rPr>
            <w:color w:val="1F3864"/>
            <w:u w:val="single"/>
          </w:rPr>
          <w:t xml:space="preserve">Lehdonvirta et al. 2024</w:t>
        </w:r>
      </w:hyperlink>
      <w:bookmarkEnd w:id="204"/>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quantifies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roughly 12 percent under raw electricity tariffs (20 percent after efficiency adjustment). Once production-efficiency penalties for weak governance are applied, the cost ranking changes substantially. Kyrgyzstan, the cheapest producer under cost-recovery pricing, drops from 1st to 5th after governance adjustment — but countries combining cheap energy with adequate institutions, including China, Kosovo, and Vietnam, remain in the top 15. Durable comparative advantage requires credible production efficiency alongside low energy costs, while market access depends on bilateral trust and regulatory alignment.</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Section 7 examines robustness and extensions. Section 8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06" w:name="Korinek2021txt"/>
      <w:hyperlink w:anchor="Korinek2021" w:history="1">
        <w:r>
          <w:rPr>
            <w:color w:val="1F3864"/>
            <w:u w:val="single"/>
          </w:rPr>
          <w:t xml:space="preserve">Korinek and Stiglitz (2021)</w:t>
        </w:r>
      </w:hyperlink>
      <w:bookmarkEnd w:id="206"/>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251" w:name="Hausmann2007txt"/>
      <w:hyperlink w:anchor="Hausmann2007" w:history="1">
        <w:r>
          <w:rPr>
            <w:color w:val="1F3864"/>
            <w:u w:val="single"/>
          </w:rPr>
          <w:t xml:space="preserve">Hausmann et al. (2007)</w:t>
        </w:r>
      </w:hyperlink>
      <w:bookmarkEnd w:id="251"/>
      <w:r>
        <w:t xml:space="preserve">, who show that what a country exports matters for growth. </w:t>
      </w:r>
      <w:bookmarkStart w:id="242" w:name="Limao2001txt"/>
      <w:hyperlink w:anchor="Limao2001" w:history="1">
        <w:r>
          <w:rPr>
            <w:color w:val="1F3864"/>
            <w:u w:val="single"/>
          </w:rPr>
          <w:t xml:space="preserve">Limão and Venables (2001)</w:t>
        </w:r>
      </w:hyperlink>
      <w:bookmarkEnd w:id="242"/>
      <w:r>
        <w:t xml:space="preserve"> demonstrate that infrastructure quality determines trade costs. In our model, network infrastructure plays the analogous role for digital trade.</w:t>
      </w:r>
    </w:p>
    <w:p>
      <w:pPr>
        <w:spacing w:before="0" w:after="160"/>
        <w:ind w:firstLine="0"/>
        <w:jc w:val="both"/>
      </w:pPr>
      <w:r>
        <w:t xml:space="preserve">Several studies examine the determinants of data center location.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52" w:name="Liu2023txt"/>
      <w:hyperlink w:anchor="Liu2023" w:history="1">
        <w:r>
          <w:rPr>
            <w:color w:val="1F3864"/>
            <w:u w:val="single"/>
          </w:rPr>
          <w:t xml:space="preserve">Liu et al. (2023)</w:t>
        </w:r>
      </w:hyperlink>
      <w:bookmarkEnd w:id="252"/>
      <w:r>
        <w:t xml:space="preserve"> study data center placement under renewable energy constraints. These studies focus on where firms should build data centers. In international trade theory, </w:t>
      </w:r>
      <w:bookmarkStart w:id="256" w:name="Brainard1997txt"/>
      <w:hyperlink w:anchor="Brainard1997" w:history="1">
        <w:r>
          <w:rPr>
            <w:color w:val="1F3864"/>
            <w:u w:val="single"/>
          </w:rPr>
          <w:t xml:space="preserve">Brainard (1997)</w:t>
        </w:r>
      </w:hyperlink>
      <w:bookmarkEnd w:id="256"/>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ind w:firstLine="0"/>
        <w:jc w:val="both"/>
      </w:pPr>
      <w:r>
        <w:t xml:space="preserve">On the governance side, </w:t>
      </w:r>
      <w:bookmarkStart w:id="244" w:name="Sastry2024txt"/>
      <w:hyperlink w:anchor="Sastry2024" w:history="1">
        <w:r>
          <w:rPr>
            <w:color w:val="1F3864"/>
            <w:u w:val="single"/>
          </w:rPr>
          <w:t xml:space="preserve">Sastry et al. (2024)</w:t>
        </w:r>
      </w:hyperlink>
      <w:bookmarkEnd w:id="244"/>
      <w:r>
        <w:t xml:space="preserve"> argue that compute is well-suited for regulation because governments can track the number of chips in circulation, restrict who can buy them, and measure how much computation they perform. </w:t>
      </w:r>
      <w:bookmarkStart w:id="208" w:name="Lehdonvirta2024txt"/>
      <w:hyperlink w:anchor="Lehdonvirta2024" w:history="1">
        <w:r>
          <w:rPr>
            <w:color w:val="1F3864"/>
            <w:u w:val="single"/>
          </w:rPr>
          <w:t xml:space="preserve">Lehdonvirta et al. (2024)</w:t>
        </w:r>
      </w:hyperlink>
      <w:bookmarkEnd w:id="208"/>
      <w:r>
        <w:t xml:space="preserve"> map the global geography of cloud GPU infrastructure, distinguishing a “Compute North” with training-capable hardware from a “Compute South” limited to inference-grade chips. </w:t>
      </w:r>
      <w:bookmarkStart w:id="257" w:name="Pilz2025txt"/>
      <w:hyperlink w:anchor="Pilz2025" w:history="1">
        <w:r>
          <w:rPr>
            <w:color w:val="1F3864"/>
            <w:u w:val="single"/>
          </w:rPr>
          <w:t xml:space="preserve">Pilz et al. (2025)</w:t>
        </w:r>
      </w:hyperlink>
      <w:bookmarkEnd w:id="257"/>
      <w:r>
        <w:t xml:space="preserve"> project that AI data center power demand could reach 327 GW by 2030 and that domestic power shortages may push compute infrastructure abroad. The </w:t>
      </w:r>
      <w:bookmarkStart w:id="258" w:name="WorldBank2025txt"/>
      <w:hyperlink w:anchor="WorldBank2025" w:history="1">
        <w:r>
          <w:rPr>
            <w:color w:val="1F3864"/>
            <w:u w:val="single"/>
          </w:rPr>
          <w:t xml:space="preserve">World Bank (2025)</w:t>
        </w:r>
      </w:hyperlink>
      <w:bookmarkEnd w:id="258"/>
      <w:r>
        <w:t xml:space="preserve"> documents the resulting global compute divide: high-income countries hold 77% of colocation data center capacity and account for 87% of cloud computing exports (</w:t>
      </w:r>
      <w:bookmarkStart w:id="253" w:name="Stojkoski2024txt"/>
      <w:hyperlink w:anchor="Stojkoski2024" w:history="1">
        <w:r>
          <w:rPr>
            <w:color w:val="1F3864"/>
            <w:u w:val="single"/>
          </w:rPr>
          <w:t xml:space="preserve">Stojkoski et al. 2024</w:t>
        </w:r>
      </w:hyperlink>
      <w:bookmarkEnd w:id="253"/>
      <w:r>
        <w:t xml:space="preserve">), but the report offers descriptive evidence without a formal framework linking production costs to trade patterns. On the industrial organization side, </w:t>
      </w:r>
      <w:bookmarkStart w:id="245" w:name="Biglaiser2024txt"/>
      <w:hyperlink w:anchor="Biglaiser2024" w:history="1">
        <w:r>
          <w:rPr>
            <w:color w:val="1F3864"/>
            <w:u w:val="single"/>
          </w:rPr>
          <w:t xml:space="preserve">Biglaiser et al. (2024)</w:t>
        </w:r>
      </w:hyperlink>
      <w:bookmarkEnd w:id="245"/>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 This paper provides the formal framework these studies lack.</w:t>
      </w:r>
    </w:p>
    <w:p>
      <w:pPr>
        <w:pStyle w:val="Heading1"/>
      </w:pPr>
      <w:r>
        <w:rPr>
          <w:rFonts w:ascii="Times New Roman" w:hAnsi="Times New Roman"/>
          <w:b/>
          <w:color w:val="2F5496"/>
          <w:sz w:val="28"/>
        </w:rPr>
        <w:t>3. Model Setup</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proportional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three observables: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The calibration of these coefficients is described in Section 6.1.</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f>
                <m:fPr/>
                <m:num>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ρ</m:t>
                  </m:r>
                </m:num>
                <m:den>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den>
              </m:f>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The effective index incorporates an institutional floor: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(1 −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m:t>
        </m:r>
        <m:sSubSup>
          <m:sSubSupPr/>
          <m:e>
            <m:r>
              <m:rPr>
                <m:sty m:val="i"/>
              </m:rPr>
              <w:rPr>
                <w:rFonts w:ascii="Cambria Math" w:hAnsi="Cambria Math"/>
              </w:rPr>
              <m:t xml:space="preserve">G</m:t>
            </m:r>
          </m:e>
          <m:sub>
            <m:r>
              <m:rPr>
                <m:sty m:val="i"/>
              </m:rPr>
              <w:rPr>
                <w:rFonts w:ascii="Cambria Math" w:hAnsi="Cambria Math"/>
              </w:rPr>
              <m:t xml:space="preserve">j</m:t>
            </m:r>
          </m:sub>
          <m:sup>
            <m:r>
              <m:rPr>
                <m:sty m:val="i"/>
              </m:rPr>
              <w:rPr>
                <w:rFonts w:ascii="Cambria Math" w:hAnsi="Cambria Math"/>
              </w:rPr>
              <m:t xml:space="preserve">ω</m:t>
            </m:r>
          </m:sup>
        </m:sSubSup>
        <m:r>
          <m:rPr>
            <m:sty m:val="p"/>
          </m:rPr>
          <w:rPr>
            <w:rFonts w:ascii="Cambria Math" w:hAnsi="Cambria Math"/>
          </w:rPr>
          <m:t xml:space="preserve"> · </m:t>
        </m:r>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1−ω</m:t>
            </m:r>
          </m:sup>
        </m:sSubSup>
      </m:oMath>
      <w:r>
        <w:t xml:space="preserve">, where </w:t>
      </w:r>
      <m:oMath>
        <m:r>
          <m:rPr>
            <m:sty m:val="i"/>
          </m:rPr>
          <w:rPr>
            <w:rFonts w:ascii="Cambria Math" w:hAnsi="Cambria Math"/>
          </w:rPr>
          <m:t xml:space="preserve">G</m:t>
        </m:r>
      </m:oMath>
      <w:r>
        <w:t xml:space="preserve"> is the Rule of Law percentile (rescaled to [0, 1]) (</w:t>
      </w:r>
      <w:bookmarkStart w:id="211" w:name="WorldBank2024txt"/>
      <w:hyperlink w:anchor="WorldBank2024" w:history="1">
        <w:r>
          <w:rPr>
            <w:color w:val="1F3864"/>
            <w:u w:val="single"/>
          </w:rPr>
          <w:t xml:space="preserve">World Bank 2024</w:t>
        </w:r>
      </w:hyperlink>
      <w:bookmarkEnd w:id="211"/>
      <w:r>
        <w:t xml:space="preserve">), </w:t>
      </w:r>
      <m:oMath>
        <m:r>
          <m:rPr>
            <m:sty m:val="i"/>
          </m:rPr>
          <w:rPr>
            <w:rFonts w:ascii="Cambria Math" w:hAnsi="Cambria Math"/>
          </w:rPr>
          <m:t xml:space="preserve">R</m:t>
        </m:r>
      </m:oMath>
      <w:r>
        <w:t xml:space="preserve"> is grid reliability (</w:t>
      </w:r>
      <w:bookmarkStart w:id="212" w:name="WBES2025txt"/>
      <w:hyperlink w:anchor="WBES2025" w:history="1">
        <w:r>
          <w:rPr>
            <w:color w:val="1F3864"/>
            <w:u w:val="single"/>
          </w:rPr>
          <w:t xml:space="preserve">World Bank Enterprise Survey 2025</w:t>
        </w:r>
      </w:hyperlink>
      <w:bookmarkEnd w:id="212"/>
      <w:r>
        <w:t xml:space="preserve">), also rescaled to [0, 1]), and </w:t>
      </w:r>
      <m:oMath>
        <m:r>
          <m:rPr>
            <m:sty m:val="i"/>
          </m:rPr>
          <w:rPr>
            <w:rFonts w:ascii="Cambria Math" w:hAnsi="Cambria Math"/>
          </w:rPr>
          <m:t xml:space="preserve">ω</m:t>
        </m:r>
        <m:r>
          <m:rPr>
            <m:sty m:val="p"/>
          </m:rPr>
          <w:rPr>
            <w:rFonts w:ascii="Cambria Math" w:hAnsi="Cambria Math"/>
          </w:rPr>
          <m:t xml:space="preserve"> = 0.50</m:t>
        </m:r>
      </m:oMath>
      <w:r>
        <w:t xml:space="preserve"> assigns equal weight to governance and grid reliability. The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reflects the minimum operational quality achievable through investor-side risk mitigation, calibrated to evidence on zone-level governance in special economic zones (Section 6). The efficiency adjustment applies only to the non-hardware cost component: since hardware is priced on global markets, governance penalties operate on local costs rather than on the full unit cost (see equation 3). The baseline sets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The index approaches one for countries with strong institutions and reliable power, and falls below one for countries where institutional weakness or operational risk reduces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46" w:name="Eurostat2025txt"/>
      <w:hyperlink w:anchor="Eurostat2025" w:history="1">
        <w:r>
          <w:rPr>
            <w:color w:val="1F3864"/>
            <w:u w:val="single"/>
          </w:rPr>
          <w:t xml:space="preserve">Eurostat 2025</w:t>
        </w:r>
      </w:hyperlink>
      <w:bookmarkEnd w:id="246"/>
      <w:r>
        <w:t xml:space="preserve">). For non-European countries, the prices are obtained from national regulator tariff sheets and secondary sources, including the U.S. Energy Information Administration (</w:t>
      </w:r>
      <w:bookmarkStart w:id="254" w:name="EIA2025txt"/>
      <w:hyperlink w:anchor="EIA2025" w:history="1">
        <w:r>
          <w:rPr>
            <w:color w:val="1F3864"/>
            <w:u w:val="single"/>
          </w:rPr>
          <w:t xml:space="preserve">EIA 2025</w:t>
        </w:r>
      </w:hyperlink>
      <w:bookmarkEnd w:id="254"/>
      <w:r>
        <w:t xml:space="preserve">) for the United States, KEPCO for South Korea, national utility tariffs for Central Asian countries, and </w:t>
      </w:r>
      <w:bookmarkStart w:id="213" w:name="GlobalPetrolPrices2025txt"/>
      <w:hyperlink w:anchor="GlobalPetrolPrices2025" w:history="1">
        <w:r>
          <w:rPr>
            <w:color w:val="1F3864"/>
            <w:u w:val="single"/>
          </w:rPr>
          <w:t xml:space="preserve">GlobalPetrolPrices (2025)</w:t>
        </w:r>
      </w:hyperlink>
      <w:bookmarkEnd w:id="213"/>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4" w:name="Hersbach2020txt"/>
      <w:hyperlink w:anchor="Hersbach2020" w:history="1">
        <w:r>
          <w:rPr>
            <w:color w:val="1F3864"/>
            <w:u w:val="single"/>
          </w:rPr>
          <w:t xml:space="preserve">Hersbach et al. 2020</w:t>
        </w:r>
      </w:hyperlink>
      <w:bookmarkEnd w:id="214"/>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5" w:name="TurnerTownsend2025txt"/>
      <w:hyperlink w:anchor="TurnerTownsend2025" w:history="1">
        <w:r>
          <w:rPr>
            <w:color w:val="1F3864"/>
            <w:u w:val="single"/>
          </w:rPr>
          <w:t xml:space="preserve">Turner &amp; Townsend 2025</w:t>
        </w:r>
      </w:hyperlink>
      <w:bookmarkEnd w:id="215"/>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6" w:name="WonderNetwork2024txt"/>
      <w:hyperlink w:anchor="WonderNetwork2024" w:history="1">
        <w:r>
          <w:rPr>
            <w:color w:val="1F3864"/>
            <w:u w:val="single"/>
          </w:rPr>
          <w:t xml:space="preserve">WonderNetwork 2024</w:t>
        </w:r>
      </w:hyperlink>
      <w:bookmarkEnd w:id="216"/>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 For smaller markets, capacity is estimated from facility counts (</w:t>
      </w:r>
      <w:bookmarkStart w:id="217" w:name="Cloudscene2025txt"/>
      <w:hyperlink w:anchor="Cloudscene2025" w:history="1">
        <w:r>
          <w:rPr>
            <w:color w:val="1F3864"/>
            <w:u w:val="single"/>
          </w:rPr>
          <w:t xml:space="preserve">Cloudscene 2025</w:t>
        </w:r>
      </w:hyperlink>
      <w:bookmarkEnd w:id="217"/>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8" w:name="UptimeInstitute2024txt"/>
      <w:hyperlink w:anchor="UptimeInstitute2024" w:history="1">
        <w:r>
          <w:rPr>
            <w:color w:val="1F3864"/>
            <w:u w:val="single"/>
          </w:rPr>
          <w:t xml:space="preserve">Uptime Institute 2024</w:t>
        </w:r>
      </w:hyperlink>
      <w:bookmarkEnd w:id="218"/>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9" w:name="Liu2023txt"/>
      <w:hyperlink w:anchor="Liu2023" w:history="1">
        <w:r>
          <w:rPr>
            <w:color w:val="1F3864"/>
            <w:u w:val="single"/>
          </w:rPr>
          <w:t xml:space="preserve">Liu et al. 2023</w:t>
        </w:r>
      </w:hyperlink>
      <w:bookmarkEnd w:id="219"/>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0" w:name="UptimeInstitute2024txt"/>
      <w:hyperlink w:anchor="UptimeInstitute2024" w:history="1">
        <w:r>
          <w:rPr>
            <w:color w:val="1F3864"/>
            <w:u w:val="single"/>
          </w:rPr>
          <w:t xml:space="preserve">Uptime Institute 2024</w:t>
        </w:r>
      </w:hyperlink>
      <w:bookmarkEnd w:id="220"/>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1" w:name="Barroso2018txt"/>
      <w:hyperlink w:anchor="Barroso2018" w:history="1">
        <w:r>
          <w:rPr>
            <w:color w:val="1F3864"/>
            <w:u w:val="single"/>
          </w:rPr>
          <w:t xml:space="preserve">Barroso et al. 2018</w:t>
        </w:r>
      </w:hyperlink>
      <w:bookmarkEnd w:id="221"/>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2" w:name="Barroso2018txt"/>
      <w:hyperlink w:anchor="Barroso2018" w:history="1">
        <w:r>
          <w:rPr>
            <w:color w:val="1F3864"/>
            <w:u w:val="single"/>
          </w:rPr>
          <w:t xml:space="preserve">Barroso et al. 2018</w:t>
        </w:r>
      </w:hyperlink>
      <w:bookmarkEnd w:id="222"/>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3" w:name="Deloitte2020txt"/>
      <w:hyperlink w:anchor="Deloitte2020" w:history="1">
        <w:r>
          <w:rPr>
            <w:color w:val="1F3864"/>
            <w:u w:val="single"/>
          </w:rPr>
          <w:t xml:space="preserve">Deloitte (2020)</w:t>
        </w:r>
      </w:hyperlink>
      <w:bookmarkEnd w:id="223"/>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as specified in </w:t>
      </w:r>
      <w:bookmarkStart w:id="902" w:name="Eq2txt902"/>
      <w:hyperlink w:anchor="Eq2" w:history="1">
        <w:r>
          <w:rPr>
            <w:color w:val="1F3864"/>
            <w:u w:val="single"/>
          </w:rPr>
          <w:t xml:space="preserve">equation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4" w:name="Deloitte2025txt"/>
      <w:hyperlink w:anchor="Deloitte2025" w:history="1">
        <w:r>
          <w:rPr>
            <w:color w:val="1F3864"/>
            <w:u w:val="single"/>
          </w:rPr>
          <w:t xml:space="preserve">Deloitte 2025</w:t>
        </w:r>
      </w:hyperlink>
      <w:bookmarkEnd w:id="224"/>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from </w:t>
      </w:r>
      <w:bookmarkStart w:id="903" w:name="Eq3txt903"/>
      <w:hyperlink w:anchor="Eq3" w:history="1">
        <w:r>
          <w:rPr>
            <w:color w:val="1F3864"/>
            <w:u w:val="single"/>
          </w:rPr>
          <w:t xml:space="preserve">equation (3)</w:t>
        </w:r>
      </w:hyperlink>
      <w:bookmarkEnd w:id="903"/>
      <w:r>
        <w:t xml:space="preserve"> combines a weighted geometric mean of governance quality and grid reliability (weight </w:t>
      </w:r>
      <m:oMath>
        <m:r>
          <m:rPr>
            <m:sty m:val="i"/>
          </m:rPr>
          <w:rPr>
            <w:rFonts w:ascii="Cambria Math" w:hAnsi="Cambria Math"/>
          </w:rPr>
          <m:t xml:space="preserve">ω</m:t>
        </m:r>
        <m:r>
          <m:rPr>
            <m:sty m:val="p"/>
          </m:rPr>
          <w:rPr>
            <w:rFonts w:ascii="Cambria Math" w:hAnsi="Cambria Math"/>
          </w:rPr>
          <m:t xml:space="preserve"> = 0.50</m:t>
        </m:r>
      </m:oMath>
      <w:r>
        <w:t xml:space="preserve"> on governance)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The equal weighting reflects the enclave character of data center operations. Unlike general manufacturing, hyperscale facilities connect at transmission voltage with dedicated substations, maintain on-site diesel backup covering 48–72 hours, and operate battery UPS systems that bridge the seconds between grid failure and generator start. General grid reliability is therefore a weak predictor of data center uptime. Governance, by contrast, captures contract enforcement, expropriation risk, and regulatory stability — none of which can be mitigated through private infrastructure investment. The institutional floor reflects the minimum operational quality achievable when a hyperscaler structures the investment through international arbitration, a dedicated power purchase agreement, and special economic zone provisions (</w:t>
      </w:r>
      <w:bookmarkStart w:id="255" w:name="Farole2011txt"/>
      <w:hyperlink w:anchor="Farole2011" w:history="1">
        <w:r>
          <w:rPr>
            <w:color w:val="1F3864"/>
            <w:u w:val="single"/>
          </w:rPr>
          <w:t xml:space="preserve">Farole 2011</w:t>
        </w:r>
      </w:hyperlink>
      <w:bookmarkEnd w:id="255"/>
      <w:r>
        <w:t xml:space="preserve">; </w:t>
      </w:r>
      <w:bookmarkStart w:id="247" w:name="WorldBank2017txt"/>
      <w:hyperlink w:anchor="WorldBank2017" w:history="1">
        <w:r>
          <w:rPr>
            <w:color w:val="1F3864"/>
            <w:u w:val="single"/>
          </w:rPr>
          <w:t xml:space="preserve">World Bank 2017</w:t>
        </w:r>
      </w:hyperlink>
      <w:bookmarkEnd w:id="247"/>
      <w:r>
        <w:t xml:space="preserve">; </w:t>
      </w:r>
      <w:bookmarkStart w:id="225" w:name="Frick2019txt"/>
      <w:hyperlink w:anchor="Frick2019" w:history="1">
        <w:r>
          <w:rPr>
            <w:color w:val="1F3864"/>
            <w:u w:val="single"/>
          </w:rPr>
          <w:t xml:space="preserve">Frick, Rodríguez-Pose, and Wong 2019</w:t>
        </w:r>
      </w:hyperlink>
      <w:bookmarkEnd w:id="225"/>
      <w:r>
        <w:t xml:space="preserve">). Because hardware costs — comprising GPU depreciation and networking — account for approximately 90 percent of cost-recovery costs and are determined on global markets at uniform prices, the efficiency adjustment operates only on the remaining country-specific cost component (equation 3). This ensures that governance penalties affect power purchase agreements, construction permits, and grid connections, but not globally-priced capital equipment. For OECD countries with strong institutions and negligible outages,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face moderate penalties (e.g., Kyrgyzstan: 0.50, Uzbekistan: 0.58, Ethiopia: 0.57). The sensitivity of results to both </w:t>
      </w:r>
      <m:oMath>
        <m:r>
          <m:rPr>
            <m:sty m:val="i"/>
          </m:rPr>
          <w:rPr>
            <w:rFonts w:ascii="Cambria Math" w:hAnsi="Cambria Math"/>
          </w:rPr>
          <m:t xml:space="preserve">ω</m:t>
        </m:r>
      </m:oMath>
      <w:r>
        <w:t xml:space="preserve"> and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is examined in Section 7. ξ ranges from 0.60 to 1.00 within the OECD, and the tight cross-country cost spread (≈20%) means small efficiency differences reshuffle adjacent ranks. Even countries with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can shift in rank because penalizing low-ξ competitors mechanically raises others.</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in two steps: first adjusting production costs, then applying trade frictions.</w:t>
      </w:r>
    </w:p>
    <w:p>
      <w:pPr>
        <w:spacing w:before="0" w:after="160"/>
        <w:ind w:firstLine="0"/>
        <w:jc w:val="both"/>
      </w:pPr>
      <w:r>
        <w:t xml:space="preserve">Under observed electricity tariffs and without efficiency adjustment, the cheapest producer in our sample of 85 countries is Iran ($1.41/hr), followed by Turkmenistan ($1.42/hr) and Ethiopia ($1.43/hr)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6" w:name="Lazard2025txt"/>
      <w:hyperlink w:anchor="Lazard2025" w:history="1">
        <w:r>
          <w:rPr>
            <w:color w:val="1F3864"/>
            <w:u w:val="single"/>
          </w:rPr>
          <w:t xml:space="preserve">Lazard 2025</w:t>
        </w:r>
      </w:hyperlink>
      <w:bookmarkEnd w:id="226"/>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24th. 27 countries change their trade regimes.</w:t>
      </w:r>
    </w:p>
    <w:p>
      <w:pPr>
        <w:spacing w:before="0" w:after="160"/>
        <w:ind w:firstLine="0"/>
        <w:jc w:val="both"/>
      </w:pPr>
      <w:r>
        <w:t>Cost advantages must be weighed against institutional quality. While data centers can mitigate grid unreliability through private infrastructure, governance weaknesses — contract enforcement, expropriation risk, regulatory instability — cannot be engineered away. Because hardware costs are globally uniform, the efficiency adjustment applies only to the country-specific cost component — energy procurement, cooling infrastructure, construction, and grid connection — assigning equal weight to governance quality and grid reliability (</w:t>
      </w:r>
      <m:oMath>
        <m:r>
          <m:rPr>
            <m:sty m:val="i"/>
          </m:rPr>
          <w:rPr>
            <w:rFonts w:ascii="Cambria Math" w:hAnsi="Cambria Math"/>
          </w:rPr>
          <m:t xml:space="preserve">ω</m:t>
        </m:r>
        <m:r>
          <m:rPr>
            <m:sty m:val="p"/>
          </m:rPr>
          <w:rPr>
            <w:rFonts w:ascii="Cambria Math" w:hAnsi="Cambria Math"/>
          </w:rPr>
          <m:t xml:space="preserve"> = 0.50</m:t>
        </m:r>
      </m:oMath>
      <w:r>
        <w:t xml:space="preserve">).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Finland, Norway, China, and Kyrgyzstan. </w:t>
      </w:r>
      <w:r>
        <w:t xml:space="preserve">Six developing countries appear in the top fifteen: China (4th), Kyrgyzstan (5th), Kosovo (7th), Montenegro (8th), Ethiopia (10th), and Vietnam (14th). The Δ column shows the rank change from raw tariffs to the preferred specification (column 1 to column 4): Turkmenistan drops 74 places, Tajikistan drops 36, while Denmark rises 27, and Iceland rises 27. Countries that combine cheap energy with adequate institutions retain their cost advantage after governance adjustment, while those with very weak governance — Turkmenistan, Tajikistan, Russia — lose ground. Because hardware accounts for roughly 90% of cost-recovery costs, the non-hardware spread is narrow, and even modest governance penalties on local costs can reshuffle adjacent ranks. An engineering cost advantage is therefore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from </w:t>
      </w:r>
      <w:bookmarkStart w:id="904" w:name="Eq2txt904"/>
      <w:hyperlink w:anchor="Eq2" w:history="1">
        <w:r>
          <w:rPr>
            <w:color w:val="1F3864"/>
            <w:u w:val="single"/>
          </w:rPr>
          <w:t xml:space="preserve">equation (2)</w:t>
        </w:r>
      </w:hyperlink>
      <w:bookmarkEnd w:id="904"/>
      <w:r>
        <w:t xml:space="preserve"> reshapes trade patterns along geopolitical lines. Between allies with mutual data adequacy agreements (e.g., EU member states), the effective premium is near zero. Between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negative values indicate countries cheap enough to export (e.g., Canada at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−9.9%</m:t>
        </m:r>
      </m:oMath>
      <w:r>
        <w:t xml:space="preserve">), while positive values indicate the minimum premium for domestic production (e.g.,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-2.1%</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-8.0%</m:t>
        </m:r>
      </m:oMath>
      <w:r>
        <w:t xml:space="preserve">, Kyrgyzstan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-7.6%</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5" w:name="Eq4txt905"/>
      <w:hyperlink w:anchor="Eq4" w:history="1">
        <w:r>
          <w:rPr>
            <w:color w:val="1F3864"/>
            <w:u w:val="single"/>
          </w:rPr>
          <w:t xml:space="preserve">equation (4)</w:t>
        </w:r>
      </w:hyperlink>
      <w:bookmarkEnd w:id="905"/>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1 exporter (HHI = 1.00), confirming Proposition 2. </w:t>
      </w:r>
      <w:r>
        <w:t>Under the bilateral sovereignty premium, most training demand shifts to domestic production, and the residual export market is served by a single exporter at $1.60/hr.</w:t>
      </w:r>
    </w:p>
    <w:p>
      <w:pPr>
        <w:spacing w:before="0" w:after="160"/>
        <w:ind w:firstLine="0"/>
        <w:jc w:val="both"/>
      </w:pPr>
      <w:r>
        <w:t xml:space="preserve">Inference is more dispersed, with the top five suppliers being Canada (47%), China (26%), Finland (7%), Norway (7%), and India (3%), collectively accounting for 89% of global inference demand (HHI = 0.30). </w:t>
      </w:r>
    </w:p>
    <w:p>
      <w:pPr>
        <w:spacing w:before="0" w:after="160"/>
        <w:ind w:firstLine="0"/>
        <w:jc w:val="both"/>
      </w:pPr>
      <w:r>
        <w:rPr>
          <w:rFonts w:ascii="Times New Roman" w:hAnsi="Times New Roman"/>
          <w:b w:val="0"/>
          <w:i/>
          <w:sz w:val="24"/>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source of inference is China, a neighboring country with hydropower-based electricity. These patterns illustrate the model’s core prediction that inference organizes around latency-bounded regional hubs, and each major market has a distinct optimal supplier determined by geography. </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comparable to the 0.2–10% welfare losses from trade barriers estimated for goods trade (</w:t>
      </w:r>
      <w:bookmarkStart w:id="227" w:name="EatonKortum2002txt"/>
      <w:hyperlink w:anchor="EatonKortum2002" w:history="1">
        <w:r>
          <w:rPr>
            <w:color w:val="1F3864"/>
            <w:u w:val="single"/>
          </w:rPr>
          <w:t xml:space="preserve">Eaton and Kortum 2002</w:t>
        </w:r>
      </w:hyperlink>
      <w:bookmarkEnd w:id="227"/>
      <w:r>
        <w:t xml:space="preserve">, </w:t>
      </w:r>
      <w:bookmarkStart w:id="249" w:name="ACR2012txt"/>
      <w:hyperlink w:anchor="ACR2012" w:history="1">
        <w:r>
          <w:rPr>
            <w:color w:val="1F3864"/>
            <w:u w:val="single"/>
          </w:rPr>
          <w:t xml:space="preserve">Arkolakis et al. 2012</w:t>
        </w:r>
      </w:hyperlink>
      <w:bookmarkEnd w:id="249"/>
      <w:r>
        <w:t xml:space="preserve">).</w:t>
      </w:r>
    </w:p>
    <w:p>
      <w:pPr>
        <w:spacing w:before="0" w:after="160"/>
        <w:ind w:firstLine="0"/>
        <w:jc w:val="both"/>
      </w:pPr>
      <w:r>
        <w:t xml:space="preserve">The welfare implications of the sovereignty premium depend on whether it reflects genuine security externalities or regulatory overreach. Some domestic processing preference is justified for genuinely confidential data, but much of the current policy push extends the sovereignty logic to routine commercial computation. The welfare cost is not trivial: the bilateral premium shifts most countries toward domestic production, forgoing the cost savings from specialization. Developing countries that adopt broad data localization requirements risk foreclosing both import savings and regional export opportunities — the very specialization gains the model predicts. The </w:t>
      </w:r>
      <w:bookmarkStart w:id="228" w:name="WorldBank2025txt"/>
      <w:hyperlink w:anchor="WorldBank2025" w:history="1">
        <w:r>
          <w:rPr>
            <w:color w:val="1F3864"/>
            <w:u w:val="single"/>
          </w:rPr>
          <w:t xml:space="preserve">World Bank (2025)</w:t>
        </w:r>
      </w:hyperlink>
      <w:bookmarkEnd w:id="228"/>
      <w:r>
        <w:t xml:space="preserve"> frames this as the central policy choice: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that rank highest in </w:t>
      </w:r>
      <w:hyperlink w:anchor="TableA1" w:history="1">
        <w:r>
          <w:rPr>
            <w:color w:val="1F3864"/>
            <w:u w:val="single"/>
          </w:rPr>
          <w:t xml:space="preserve">Table A1</w:t>
        </w:r>
      </w:hyperlink>
      <w:r>
        <w:t xml:space="preserve">, a hyperscale data center can be large relative to the host grid. Kyrgyzstan’s 3,800 MW grid would face significant strain from a single 100 MW facility consuming roughly 3% of national output. At multi-facility scale, data centers would become the dominant industrial load, competing with residential heating in winter and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by capping each country’s output,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 and narrow the set of viable exporters.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29" w:name="Calcaterra2024txt"/>
      <w:hyperlink w:anchor="Calcaterra2024" w:history="1">
        <w:r>
          <w:rPr>
            <w:color w:val="1F3864"/>
            <w:u w:val="single"/>
          </w:rPr>
          <w:t xml:space="preserve">Calcaterra et al. 2024</w:t>
        </w:r>
      </w:hyperlink>
      <w:bookmarkEnd w:id="229"/>
      <w:r>
        <w:t xml:space="preserve">). An OECD hyperscaler at 8% WACC faces hardware costs of $1.58/hr, while a developing-country operator at 18% pays $1.87 — a $0.29 gap on hardware alone, widening to $0.37 including construction, roughly four times the electricity cost spread across the top 20 countries. If hyperscalers finance at their own WACC regardless of host country, baseline rankings hold. If locally financed, the same institutional weaknesses that lower ξ also raise the country risk premium. The uniform-financing assumption therefore overstates developing-country competitiveness.</w:t>
      </w:r>
    </w:p>
    <w:p>
      <w:pPr>
        <w:spacing w:before="0" w:after="160"/>
        <w:ind w:firstLine="0"/>
        <w:jc w:val="both"/>
      </w:pPr>
      <w:r>
        <w:rPr>
          <w:rFonts w:ascii="Times New Roman" w:hAnsi="Times New Roman"/>
          <w:b w:val="0"/>
          <w:i/>
          <w:sz w:val="24"/>
        </w:rPr>
        <w:t xml:space="preserve">GPU upgrades. </w:t>
      </w:r>
      <w:r>
        <w:t>The calibration uses the NVIDIA H100, but successor GPUs (B200, shipping 2025) deliver roughly four times the training throughput at about 1kW. Higher power draw widens the absolute electricity cost gap across countries, modestly strengthening developing-country comparative advantage. Countries operating older-generation GPU-hours must discount to compete with competitors using newer hardware, potentially eroding their cost advantage. Our qualitative findings are therefore robust to GPU generation choices.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w:t>
      </w:r>
      <w:bookmarkStart w:id="143" w:name="TableA3txt"/>
      <w:hyperlink w:anchor="TableA3" w:history="1">
        <w:r>
          <w:rPr>
            <w:color w:val="1F3864"/>
            <w:u w:val="single"/>
          </w:rPr>
          <w:t xml:space="preserve">Table A3</w:t>
        </w:r>
      </w:hyperlink>
      <w:bookmarkEnd w:id="143"/>
      <w:r>
        <w:t xml:space="preserve"> reports results across seven robustness specifications, varying the governance weight, institutional floor, hardware cost share, and functional form.</w:t>
      </w:r>
    </w:p>
    <w:p>
      <w:pPr>
        <w:spacing w:before="0" w:after="160"/>
        <w:ind w:firstLine="0"/>
        <w:jc w:val="both"/>
      </w:pPr>
      <w:r>
        <w:rPr>
          <w:rFonts w:ascii="Times New Roman" w:hAnsi="Times New Roman"/>
          <w:b w:val="0"/>
          <w:i/>
          <w:sz w:val="24"/>
        </w:rPr>
        <w:t xml:space="preserve">Efficiency parameters. </w:t>
      </w:r>
      <w:r>
        <w:t>The baseline assigns equal weight (</w:t>
      </w:r>
      <m:oMath>
        <m:r>
          <m:rPr>
            <m:sty m:val="i"/>
          </m:rPr>
          <w:rPr>
            <w:rFonts w:ascii="Cambria Math" w:hAnsi="Cambria Math"/>
          </w:rPr>
          <m:t xml:space="preserve">ω</m:t>
        </m:r>
        <m:r>
          <m:rPr>
            <m:sty m:val="p"/>
          </m:rPr>
          <w:rPr>
            <w:rFonts w:ascii="Cambria Math" w:hAnsi="Cambria Math"/>
          </w:rPr>
          <m:t xml:space="preserve"> = 0.50</m:t>
        </m:r>
      </m:oMath>
      <w:r>
        <w:t xml:space="preserve">) to governance and grid reliability,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w:t>
      </w:r>
      <w:hyperlink w:anchor="TableA3" w:history="1">
        <w:r>
          <w:rPr>
            <w:color w:val="1F3864"/>
            <w:u w:val="single"/>
          </w:rPr>
          <w:t xml:space="preserve">Table A3</w:t>
        </w:r>
      </w:hyperlink>
      <w:r>
        <w:t xml:space="preserve"> reports sensitivity along three dimensions. First, varying </w:t>
      </w:r>
      <m:oMath>
        <m:r>
          <m:rPr>
            <m:sty m:val="i"/>
          </m:rPr>
          <w:rPr>
            <w:rFonts w:ascii="Cambria Math" w:hAnsi="Cambria Math"/>
          </w:rPr>
          <m:t xml:space="preserve">ω</m:t>
        </m:r>
      </m:oMath>
      <w:r>
        <w:t xml:space="preserve"> from 0.30 to 0.85 changes the number of developing countries in the top fifteen from 7 to 5 but leaves the top five exporters largely unchanged. Second, raising the floor from 0.00 to 0.50 increases developing-country representation from 3 to 9 in the top fifteen. Third, the results are most sensitive to the hardware cost share </w:t>
      </w:r>
      <m:oMath>
        <m:r>
          <m:rPr>
            <m:sty m:val="i"/>
          </m:rPr>
          <w:rPr>
            <w:rFonts w:ascii="Cambria Math" w:hAnsi="Cambria Math"/>
          </w:rPr>
          <m:t xml:space="preserve">ρ</m:t>
        </m:r>
      </m:oMath>
      <w:r>
        <w:t xml:space="preserve">: varying </w:t>
      </w:r>
      <m:oMath>
        <m:r>
          <m:rPr>
            <m:sty m:val="i"/>
          </m:rPr>
          <w:rPr>
            <w:rFonts w:ascii="Cambria Math" w:hAnsi="Cambria Math"/>
          </w:rPr>
          <m:t xml:space="preserve">ρ</m:t>
        </m:r>
      </m:oMath>
      <w:r>
        <w:t xml:space="preserve"> by ±4 percent changes the developing-country count by up to 7. This sensitivity reinforces the structural argument — the finding that energy-rich developing countries can compete depends primarily on the observation that hardware is globally priced, not on any particular parameter choice. The qualitative finding is robust across all specifications.</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The model can be extended in several directions. Carbon pricing could introduce a “green premium” favoring hydropower-rich countries. Demand segmentation by latency tolerance would capture heterogeneous service requirements. Stochastic disruptions — grid outages, political instability — would give buyers a reason to diversify across providers, a feature the current deterministic framework lacks.</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30" w:name="Krugman1991txt"/>
      <w:hyperlink w:anchor="Krugman1991" w:history="1">
        <w:r>
          <w:rPr>
            <w:color w:val="1F3864"/>
            <w:u w:val="single"/>
          </w:rPr>
          <w:t xml:space="preserve">Krugman 1991</w:t>
        </w:r>
      </w:hyperlink>
      <w:bookmarkEnd w:id="230"/>
      <w:r>
        <w:t xml:space="preserve">). The concentration of data centers in locations such as Northern Virginia reflects these centripetal forces. The cost-based ranking should therefore be interpreted as a necessary condition for competitiveness, not a sufficient one: a country must be cheap enough to attract investment, but whether a hyperscaler actually builds there depends on agglomeration economies and network effects the model abstracts from. This distinction motivates the capacity ceilings in Section 3, which partially capture the gap between cost-based potential and realized investment.</w:t>
      </w:r>
    </w:p>
    <w:p>
      <w:pPr>
        <w:pStyle w:val="Heading1"/>
      </w:pPr>
      <w:r>
        <w:rPr>
          <w:rFonts w:ascii="Times New Roman" w:hAnsi="Times New Roman"/>
          <w:b/>
          <w:color w:val="2F5496"/>
          <w:sz w:val="28"/>
        </w:rPr>
        <w:t>8. Conclusion</w:t>
      </w:r>
    </w:p>
    <w:p>
      <w:pPr>
        <w:spacing w:before="0" w:after="160"/>
        <w:ind w:firstLine="0"/>
        <w:jc w:val="both"/>
      </w:pPr>
      <w:r>
        <w:t xml:space="preserve">This paper develops a capacity-constrained Ricardian model of compute trade, distinguishing latency-insensitive training from latency-sensitive inference and incorporating bilateral sovereignty premia. Across 85 countries, low-energy-cost countries export training compute, while inference is served by regional hubs close enough to users to meet latency requirements. The bilateral sovereignty premium rationalizes widespread domestic investment, shifting the majority of countries from import to domestic production, at a demand-weighted welfare cost of 1.5% of compute spending. The model generates a country taxonomy (full importers, training exporters, inference hubs, and hybrid regimes) that maps onto observed investment patterns. This geographic structure is consistent with </w:t>
      </w:r>
      <w:bookmarkStart w:id="231" w:name="Lehdonvirta2024txt"/>
      <w:hyperlink w:anchor="Lehdonvirta2024" w:history="1">
        <w:r>
          <w:rPr>
            <w:color w:val="1F3864"/>
            <w:u w:val="single"/>
          </w:rPr>
          <w:t xml:space="preserve">Lehdonvirta et al. (2024)</w:t>
        </w:r>
      </w:hyperlink>
      <w:bookmarkEnd w:id="231"/>
      <w:r>
        <w:t xml:space="preserve">, who independently find that training-capable GPU infrastructure is concentrated in roughly 30 countries, while the rest are limited to inference-grade hardware. Given the narrow cross-country cost spread documented in Section 6, production efficiency, bilateral trade frictions, and access to GPU hardware are often decisive in determining actual data center location. </w:t>
      </w:r>
    </w:p>
    <w:p>
      <w:pPr>
        <w:spacing w:before="0" w:after="160"/>
        <w:ind w:firstLine="0"/>
        <w:jc w:val="both"/>
      </w:pPr>
      <w:r>
        <w:t xml:space="preserve">For developing countries, the results point to a new avenue for economic participation in the global economy. Countries like Kyrgyzstan, Montenegro,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32" w:name="vanderPloeg2011txt"/>
      <w:hyperlink w:anchor="vanderPloeg2011" w:history="1">
        <w:r>
          <w:rPr>
            <w:color w:val="1F3864"/>
            <w:u w:val="single"/>
          </w:rPr>
          <w:t xml:space="preserve">van der Ploeg 2011</w:t>
        </w:r>
      </w:hyperlink>
      <w:bookmarkEnd w:id="232"/>
      <w:r>
        <w:t xml:space="preserve">) warns that concentrated export revenues can lead to Dutch disease, institutional degradation, and volatility. Whether FLOP exporting countries share these risks depends on the revenue-sharing model they adopt: a sovereign wealth fund approach (Norway) versus elite capture (Dutch disease). The institutional investments required to attract hyperscaler FDI may provide the governance improvements that prevent resource-curse dynamics.</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without credible governance, bilateral trust, and data protection frameworks, cheap energy alone will not attract hyperscaler investment.</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5"/>
    </w:p>
    <w:p>
      <w:pPr>
        <w:spacing w:before="0" w:after="80" w:line="240" w:lineRule="exact"/>
        <w:ind w:hanging="720" w:left="720"/>
        <w:jc w:val="both"/>
      </w:pPr>
      <w:bookmarkStart w:id="506"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6"/>
    </w:p>
    <w:p>
      <w:pPr>
        <w:spacing w:before="0" w:after="80" w:line="240" w:lineRule="exact"/>
        <w:ind w:hanging="720" w:left="720"/>
        <w:jc w:val="both"/>
      </w:pPr>
      <w:bookmarkStart w:id="50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7"/>
    </w:p>
    <w:p>
      <w:pPr>
        <w:spacing w:before="0" w:after="80" w:line="240" w:lineRule="exact"/>
        <w:ind w:hanging="720" w:left="720"/>
        <w:jc w:val="both"/>
      </w:pPr>
      <w:bookmarkStart w:id="508" w:name="Deloitte2020"/>
      <w:hyperlink w:anchor="Deloitte2020txt" w:history="1">
        <w:r>
          <w:rPr>
            <w:color w:val="1F3864"/>
            <w:u w:val="single"/>
          </w:rPr>
          <w:t xml:space="preserve">Deloitte and Google. (2020). </w:t>
        </w:r>
      </w:hyperlink>
      <w:r>
        <w:t>“Milliseconds Make Millions.” Deloitte Digital and Google.</w:t>
      </w:r>
      <w:bookmarkEnd w:id="508"/>
    </w:p>
    <w:p>
      <w:pPr>
        <w:spacing w:before="0" w:after="80" w:line="240" w:lineRule="exact"/>
        <w:ind w:hanging="720" w:left="720"/>
        <w:jc w:val="both"/>
      </w:pPr>
      <w:bookmarkStart w:id="50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9"/>
    </w:p>
    <w:p>
      <w:pPr>
        <w:spacing w:before="0" w:after="80" w:line="240" w:lineRule="exact"/>
        <w:ind w:hanging="720" w:left="720"/>
        <w:jc w:val="both"/>
      </w:pPr>
      <w:bookmarkStart w:id="510"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0"/>
    </w:p>
    <w:p>
      <w:pPr>
        <w:spacing w:before="0" w:after="80" w:line="240" w:lineRule="exact"/>
        <w:ind w:hanging="720" w:left="720"/>
        <w:jc w:val="both"/>
      </w:pPr>
      <w:bookmarkStart w:id="511"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1"/>
    </w:p>
    <w:p>
      <w:pPr>
        <w:spacing w:before="0" w:after="80" w:line="240" w:lineRule="exact"/>
        <w:ind w:hanging="720" w:left="720"/>
        <w:jc w:val="both"/>
      </w:pPr>
      <w:bookmarkStart w:id="512" w:name="EpochAI2024"/>
      <w:hyperlink w:anchor="EpochAI2024txt" w:history="1">
        <w:r>
          <w:rPr>
            <w:color w:val="1F3864"/>
            <w:u w:val="single"/>
          </w:rPr>
          <w:t xml:space="preserve">Epoch AI. (2024). </w:t>
        </w:r>
      </w:hyperlink>
      <w:r>
        <w:t>“The Training Compute of Notable AI Models.” epochai.org.</w:t>
      </w:r>
      <w:bookmarkEnd w:id="512"/>
    </w:p>
    <w:p>
      <w:pPr>
        <w:spacing w:before="0" w:after="80" w:line="240" w:lineRule="exact"/>
        <w:ind w:hanging="720" w:left="720"/>
        <w:jc w:val="both"/>
      </w:pPr>
      <w:bookmarkStart w:id="513"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3"/>
    </w:p>
    <w:p>
      <w:pPr>
        <w:spacing w:before="0" w:after="80" w:line="240" w:lineRule="exact"/>
        <w:ind w:hanging="720" w:left="720"/>
        <w:jc w:val="both"/>
      </w:pPr>
      <w:bookmarkStart w:id="514" w:name="Farole2011"/>
      <w:hyperlink w:anchor="Farole2011txt" w:history="1">
        <w:r>
          <w:rPr>
            <w:color w:val="1F3864"/>
            <w:u w:val="single"/>
          </w:rPr>
          <w:t xml:space="preserve">Farole, T. </w:t>
        </w:r>
      </w:hyperlink>
      <w:r>
        <w:t xml:space="preserve">(2011). </w:t>
      </w:r>
      <w:r>
        <w:rPr>
          <w:i/>
        </w:rPr>
        <w:t>Special Economic Zones in Africa: Comparing Performance and Learning from Global Experiences</w:t>
      </w:r>
      <w:r>
        <w:t xml:space="preserve">. Washington, DC: </w:t>
      </w:r>
      <w:bookmarkStart w:id="233" w:name="WorldBank2024txt"/>
      <w:hyperlink w:anchor="WorldBank2024" w:history="1">
        <w:r>
          <w:rPr>
            <w:color w:val="1F3864"/>
            <w:u w:val="single"/>
          </w:rPr>
          <w:t xml:space="preserve">World Bank</w:t>
        </w:r>
      </w:hyperlink>
      <w:bookmarkEnd w:id="233"/>
      <w:r>
        <w:t xml:space="preserve">.</w:t>
      </w:r>
      <w:bookmarkEnd w:id="514"/>
    </w:p>
    <w:p>
      <w:pPr>
        <w:spacing w:before="0" w:after="80" w:line="240" w:lineRule="exact"/>
        <w:ind w:hanging="720" w:left="720"/>
        <w:jc w:val="both"/>
      </w:pPr>
      <w:bookmarkStart w:id="515"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5"/>
    </w:p>
    <w:p>
      <w:pPr>
        <w:spacing w:before="0" w:after="80" w:line="240" w:lineRule="exact"/>
        <w:ind w:hanging="720" w:left="720"/>
        <w:jc w:val="both"/>
      </w:pPr>
      <w:bookmarkStart w:id="516"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6"/>
    </w:p>
    <w:p>
      <w:pPr>
        <w:spacing w:before="0" w:after="80" w:line="240" w:lineRule="exact"/>
        <w:ind w:hanging="720" w:left="720"/>
        <w:jc w:val="both"/>
      </w:pPr>
      <w:bookmarkStart w:id="517" w:name="Frick2019"/>
      <w:hyperlink w:anchor="Frick2019txt" w:history="1">
        <w:r>
          <w:rPr>
            <w:color w:val="1F3864"/>
            <w:u w:val="single"/>
          </w:rPr>
          <w:t xml:space="preserve">Frick, S., A. Rodríguez-Pose, and M. Wong. (2019). </w:t>
        </w:r>
      </w:hyperlink>
      <w:r>
        <w:t xml:space="preserve">“Toward Economically Dynamic Special Economic Zones in Emerging Countries.” </w:t>
      </w:r>
      <w:r>
        <w:rPr>
          <w:i/>
        </w:rPr>
        <w:t>Economic Geography</w:t>
      </w:r>
      <w:r>
        <w:t>, 95(1): 30–64.</w:t>
      </w:r>
      <w:bookmarkEnd w:id="517"/>
    </w:p>
    <w:p>
      <w:pPr>
        <w:spacing w:before="0" w:after="80" w:line="240" w:lineRule="exact"/>
        <w:ind w:hanging="720" w:left="720"/>
        <w:jc w:val="both"/>
      </w:pPr>
      <w:bookmarkStart w:id="518"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8"/>
    </w:p>
    <w:p>
      <w:pPr>
        <w:spacing w:before="0" w:after="80" w:line="240" w:lineRule="exact"/>
        <w:ind w:hanging="720" w:left="720"/>
        <w:jc w:val="both"/>
      </w:pPr>
      <w:bookmarkStart w:id="519"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9"/>
    </w:p>
    <w:p>
      <w:pPr>
        <w:spacing w:before="0" w:after="80" w:line="240" w:lineRule="exact"/>
        <w:ind w:hanging="720" w:left="720"/>
        <w:jc w:val="both"/>
      </w:pPr>
      <w:bookmarkStart w:id="520" w:name="Google2024"/>
      <w:r>
        <w:rPr>
          <w:color w:val="1F3864"/>
          <w:u w:val="single"/>
        </w:rPr>
        <w:t xml:space="preserve">Google. </w:t>
      </w:r>
      <w:r>
        <w:t xml:space="preserve">(2024). </w:t>
      </w:r>
      <w:r>
        <w:rPr>
          <w:i/>
        </w:rPr>
        <w:t>2024 Environmental Report</w:t>
      </w:r>
      <w:r>
        <w:t>. sustainability.google.</w:t>
      </w:r>
      <w:bookmarkEnd w:id="520"/>
    </w:p>
    <w:p>
      <w:pPr>
        <w:spacing w:before="0" w:after="80" w:line="240" w:lineRule="exact"/>
        <w:ind w:hanging="720" w:left="720"/>
        <w:jc w:val="both"/>
      </w:pPr>
      <w:bookmarkStart w:id="521"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1"/>
    </w:p>
    <w:p>
      <w:pPr>
        <w:spacing w:before="0" w:after="80" w:line="240" w:lineRule="exact"/>
        <w:ind w:hanging="720" w:left="720"/>
        <w:jc w:val="both"/>
      </w:pPr>
      <w:bookmarkStart w:id="522"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2"/>
    </w:p>
    <w:p>
      <w:pPr>
        <w:spacing w:before="0" w:after="80" w:line="240" w:lineRule="exact"/>
        <w:ind w:hanging="720" w:left="720"/>
        <w:jc w:val="both"/>
      </w:pPr>
      <w:bookmarkStart w:id="523"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3"/>
    </w:p>
    <w:p>
      <w:pPr>
        <w:spacing w:before="0" w:after="80" w:line="240" w:lineRule="exact"/>
        <w:ind w:hanging="720" w:left="720"/>
        <w:jc w:val="both"/>
      </w:pPr>
      <w:bookmarkStart w:id="524" w:name="IEA2025"/>
      <w:hyperlink w:anchor="IEA2025txt" w:history="1">
        <w:r>
          <w:rPr>
            <w:color w:val="1F3864"/>
            <w:u w:val="single"/>
          </w:rPr>
          <w:t xml:space="preserve">IEA. (2025). </w:t>
        </w:r>
      </w:hyperlink>
      <w:r>
        <w:t>“Energy Demand from AI.” Published online at iea.org.</w:t>
      </w:r>
      <w:bookmarkEnd w:id="524"/>
    </w:p>
    <w:p>
      <w:pPr>
        <w:spacing w:before="0" w:after="80" w:line="240" w:lineRule="exact"/>
        <w:ind w:hanging="720" w:left="720"/>
        <w:jc w:val="both"/>
      </w:pPr>
      <w:bookmarkStart w:id="525"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5"/>
    </w:p>
    <w:p>
      <w:pPr>
        <w:spacing w:before="0" w:after="80" w:line="240" w:lineRule="exact"/>
        <w:ind w:hanging="720" w:left="720"/>
        <w:jc w:val="both"/>
      </w:pPr>
      <w:bookmarkStart w:id="526"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6"/>
    </w:p>
    <w:p>
      <w:pPr>
        <w:spacing w:before="0" w:after="80" w:line="240" w:lineRule="exact"/>
        <w:ind w:hanging="720" w:left="720"/>
        <w:jc w:val="both"/>
      </w:pPr>
      <w:bookmarkStart w:id="527"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7"/>
    </w:p>
    <w:p>
      <w:pPr>
        <w:spacing w:before="0" w:after="80" w:line="240" w:lineRule="exact"/>
        <w:ind w:hanging="720" w:left="720"/>
        <w:jc w:val="both"/>
      </w:pPr>
      <w:bookmarkStart w:id="528"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8"/>
    </w:p>
    <w:p>
      <w:pPr>
        <w:spacing w:before="0" w:after="80" w:line="240" w:lineRule="exact"/>
        <w:ind w:hanging="720" w:left="720"/>
        <w:jc w:val="both"/>
      </w:pPr>
      <w:bookmarkStart w:id="529"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9"/>
    </w:p>
    <w:p>
      <w:pPr>
        <w:spacing w:before="0" w:after="80" w:line="240" w:lineRule="exact"/>
        <w:ind w:hanging="720" w:left="720"/>
        <w:jc w:val="both"/>
      </w:pPr>
      <w:bookmarkStart w:id="530"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4" w:name="WorldBank2024txt"/>
      <w:hyperlink w:anchor="WorldBank2024" w:history="1">
        <w:r>
          <w:rPr>
            <w:i/>
            <w:color w:val="1F3864"/>
            <w:u w:val="single"/>
          </w:rPr>
          <w:t xml:space="preserve">World Bank</w:t>
        </w:r>
      </w:hyperlink>
      <w:bookmarkEnd w:id="234"/>
      <w:r>
        <w:rPr>
          <w:i/>
        </w:rPr>
        <w:t xml:space="preserve"> Economic Review</w:t>
      </w:r>
      <w:r>
        <w:t>, 15(3): 451–479.</w:t>
      </w:r>
      <w:bookmarkEnd w:id="530"/>
    </w:p>
    <w:p>
      <w:pPr>
        <w:spacing w:before="0" w:after="80" w:line="240" w:lineRule="exact"/>
        <w:ind w:hanging="720" w:left="720"/>
        <w:jc w:val="both"/>
      </w:pPr>
      <w:bookmarkStart w:id="531"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1"/>
    </w:p>
    <w:p>
      <w:pPr>
        <w:spacing w:before="0" w:after="80" w:line="240" w:lineRule="exact"/>
        <w:ind w:hanging="720" w:left="720"/>
        <w:jc w:val="both"/>
      </w:pPr>
      <w:bookmarkStart w:id="532" w:name="NVIDIA2024"/>
      <w:r>
        <w:rPr>
          <w:color w:val="1F3864"/>
          <w:u w:val="single"/>
        </w:rPr>
        <w:t xml:space="preserve">NVIDIA. </w:t>
      </w:r>
      <w:r>
        <w:t xml:space="preserve">(2024). </w:t>
      </w:r>
      <w:r>
        <w:rPr>
          <w:i/>
        </w:rPr>
        <w:t>NVIDIA H100 Tensor Core GPU Datasheet</w:t>
      </w:r>
      <w:r>
        <w:t>. nvidia.com.</w:t>
      </w:r>
      <w:bookmarkEnd w:id="532"/>
    </w:p>
    <w:p>
      <w:pPr>
        <w:spacing w:before="0" w:after="80" w:line="240" w:lineRule="exact"/>
        <w:ind w:hanging="720" w:left="720"/>
        <w:jc w:val="both"/>
      </w:pPr>
      <w:bookmarkStart w:id="533"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3"/>
    </w:p>
    <w:p>
      <w:pPr>
        <w:spacing w:before="0" w:after="80" w:line="240" w:lineRule="exact"/>
        <w:ind w:hanging="720" w:left="720"/>
        <w:jc w:val="both"/>
      </w:pPr>
      <w:bookmarkStart w:id="534"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4"/>
    </w:p>
    <w:p>
      <w:pPr>
        <w:spacing w:before="0" w:after="80" w:line="240" w:lineRule="exact"/>
        <w:ind w:hanging="720" w:left="720"/>
        <w:jc w:val="both"/>
      </w:pPr>
      <w:bookmarkStart w:id="535" w:name="Sastry2024"/>
      <w:hyperlink w:anchor="Sastry2024txt" w:history="1">
        <w:r>
          <w:rPr>
            <w:color w:val="1F3864"/>
            <w:u w:val="single"/>
          </w:rPr>
          <w:t xml:space="preserve">Sastry, G., L. Heim, et al. (2024). </w:t>
        </w:r>
      </w:hyperlink>
      <w:r>
        <w:t>“Computing Power and the Governance of Artificial Intelligence.” arXiv:2402.08797.</w:t>
      </w:r>
      <w:bookmarkEnd w:id="535"/>
    </w:p>
    <w:p>
      <w:pPr>
        <w:spacing w:before="0" w:after="80" w:line="240" w:lineRule="exact"/>
        <w:ind w:hanging="720" w:left="720"/>
        <w:jc w:val="both"/>
      </w:pPr>
      <w:bookmarkStart w:id="536"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6"/>
    </w:p>
    <w:p>
      <w:pPr>
        <w:spacing w:before="0" w:after="80" w:line="240" w:lineRule="exact"/>
        <w:ind w:hanging="720" w:left="720"/>
        <w:jc w:val="both"/>
      </w:pPr>
      <w:bookmarkStart w:id="537"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7"/>
    </w:p>
    <w:p>
      <w:pPr>
        <w:spacing w:before="0" w:after="80" w:line="240" w:lineRule="exact"/>
        <w:ind w:hanging="720" w:left="720"/>
        <w:jc w:val="both"/>
      </w:pPr>
      <w:bookmarkStart w:id="538" w:name="TurnerLee2025"/>
      <w:hyperlink w:anchor="TurnerLee2025txt" w:history="1">
        <w:r>
          <w:rPr>
            <w:color w:val="1F3864"/>
            <w:u w:val="single"/>
          </w:rPr>
          <w:t xml:space="preserve">Turner Lee, N., and D. West. (2025). </w:t>
        </w:r>
      </w:hyperlink>
      <w:r>
        <w:t>“The Future of Data Centers.” Brookings Institution, November 2025.</w:t>
      </w:r>
      <w:bookmarkEnd w:id="538"/>
    </w:p>
    <w:p>
      <w:pPr>
        <w:spacing w:before="0" w:after="80" w:line="240" w:lineRule="exact"/>
        <w:ind w:hanging="720" w:left="720"/>
        <w:jc w:val="both"/>
      </w:pPr>
      <w:bookmarkStart w:id="539" w:name="DOJFTC2010"/>
      <w:r>
        <w:rPr>
          <w:color w:val="1F3864"/>
          <w:u w:val="single"/>
        </w:rPr>
        <w:t xml:space="preserve">U.S. Department of Justice and Federal Trade Commission. </w:t>
      </w:r>
      <w:r>
        <w:t xml:space="preserve">(2010). </w:t>
      </w:r>
      <w:r>
        <w:rPr>
          <w:i/>
        </w:rPr>
        <w:t>Horizontal Merger Guidelines</w:t>
      </w:r>
      <w:r>
        <w:t>. Washington, DC.</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hyperlink w:anchor="WorldBank2017txt" w:history="1">
        <w:r>
          <w:rPr>
            <w:color w:val="1F3864"/>
            <w:u w:val="single"/>
          </w:rPr>
          <w:t xml:space="preserve">World Bank. </w:t>
        </w:r>
      </w:hyperlink>
      <w:r>
        <w:t xml:space="preserve">(2017). </w:t>
      </w:r>
      <w:r>
        <w:rPr>
          <w:i/>
        </w:rPr>
        <w:t>Special Economic Zones: An Operational Review of Their Impacts</w:t>
      </w:r>
      <w:r>
        <w:t xml:space="preserve">. Washington, DC: </w:t>
      </w:r>
      <w:bookmarkStart w:id="235" w:name="WorldBank2024txt"/>
      <w:hyperlink w:anchor="WorldBank2024" w:history="1">
        <w:r>
          <w:rPr>
            <w:color w:val="1F3864"/>
            <w:u w:val="single"/>
          </w:rPr>
          <w:t xml:space="preserve">World Bank</w:t>
        </w:r>
      </w:hyperlink>
      <w:bookmarkEnd w:id="235"/>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6" w:name="WorldBank2024txt"/>
      <w:hyperlink w:anchor="WorldBank2024" w:history="1">
        <w:r>
          <w:rPr>
            <w:color w:val="1F3864"/>
            <w:u w:val="single"/>
          </w:rPr>
          <w:t xml:space="preserve">World Bank</w:t>
        </w:r>
      </w:hyperlink>
      <w:bookmarkEnd w:id="236"/>
      <w:r>
        <w:t xml:space="preserve">.</w:t>
      </w:r>
      <w:bookmarkEnd w:id="546"/>
    </w:p>
    <w:p>
      <w:pPr>
        <w:spacing w:before="0" w:after="80" w:line="240" w:lineRule="exact"/>
        <w:ind w:hanging="720" w:left="720"/>
        <w:jc w:val="both"/>
      </w:pPr>
      <w:bookmarkStart w:id="547" w:name="WBES2025"/>
      <w:hyperlink w:anchor="WBES2025txt" w:history="1">
        <w:r>
          <w:rPr>
            <w:color w:val="1F3864"/>
            <w:u w:val="single"/>
          </w:rPr>
          <w:t xml:space="preserve">World Bank. </w:t>
        </w:r>
      </w:hyperlink>
      <w:r>
        <w:t xml:space="preserve">(2025). </w:t>
      </w:r>
      <w:r>
        <w:rPr>
          <w:i/>
        </w:rPr>
        <w:t>Enterprise Surveys</w:t>
      </w:r>
      <w:r>
        <w:t xml:space="preserve">. Washington, DC: </w:t>
      </w:r>
      <w:bookmarkStart w:id="237" w:name="WorldBank2024txt"/>
      <w:hyperlink w:anchor="WorldBank2024" w:history="1">
        <w:r>
          <w:rPr>
            <w:color w:val="1F3864"/>
            <w:u w:val="single"/>
          </w:rPr>
          <w:t xml:space="preserve">World Bank</w:t>
        </w:r>
      </w:hyperlink>
      <w:bookmarkEnd w:id="237"/>
      <w:r>
        <w:t xml:space="preserve">. enterprisesurveys.org.</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alibration_strategy_fig1.png"/>
                    <pic:cNvPicPr/>
                  </pic:nvPicPr>
                  <pic:blipFill>
                    <a:blip r:embed="rId10"/>
                    <a:stretch>
                      <a:fillRect/>
                    </a:stretch>
                  </pic:blipFill>
                  <pic:spPr>
                    <a:xfrm>
                      <a:off x="0" y="0"/>
                      <a:ext cx="5029200" cy="37719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Step 1 adjusts production costs from observed electricity tariffs through cost-recovery pricing (removing subsidies) to efficiency-adjusted costs (penalizing weak governance and grid reliability). Step 2 applies trade frictions via bilateral sovereignty premiums and a uniform premium as a robustness check.</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0.50, ξ_floor = 0.30; equation 3). The efficiency adjustment applies to non-hardware costs: c_adj = ρ + (c_cr − ρ) / ξ.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450" w:type="dxa"/>
          </w:tcPr>
          <w:p>
            <w:pPr>
              <w:jc w:val="center"/>
              <w:spacing w:before="10" w:after="10"/>
            </w:pPr>
            <w:r/>
            <w:r>
              <w:rPr>
                <w:rFonts w:ascii="Times New Roman" w:hAnsi="Times New Roman"/>
                <w:sz w:val="16"/>
              </w:rPr>
              <w:t>0.96</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+24</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+22</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0.80</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450" w:type="dxa"/>
          </w:tcPr>
          <w:p>
            <w:pPr>
              <w:jc w:val="center"/>
              <w:spacing w:before="10" w:after="10"/>
            </w:pPr>
            <w:r/>
            <w:r>
              <w:rPr>
                <w:rFonts w:ascii="Times New Roman" w:hAnsi="Times New Roman"/>
                <w:sz w:val="16"/>
              </w:rPr>
              <w:t>0.50</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b/>
                <w:sz w:val="16"/>
              </w:rPr>
              <w:t>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+24</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0.72</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w:t>
            </w:r>
          </w:p>
        </w:tc>
      </w:tr>
      <w:tr>
        <w:tc>
          <w:tcPr>
            <w:tcW w:w="1800" w:type="dxa"/>
          </w:tcPr>
          <w:p>
            <w:pPr>
              <w:jc w:val="left"/>
              <w:spacing w:before="10" w:after="10"/>
            </w:pPr>
            <w:r/>
            <w:r>
              <w:rPr>
                <w:rFonts w:ascii="Times New Roman" w:hAnsi="Times New Roman"/>
                <w:sz w:val="16"/>
              </w:rPr>
              <w:t>Montenegro</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0.75</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0.94</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0.57</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10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Iceland</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11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+27</w:t>
            </w:r>
          </w:p>
        </w:tc>
      </w:tr>
      <w:tr>
        <w:tc>
          <w:tcPr>
            <w:tcW w:w="1800" w:type="dxa"/>
          </w:tcPr>
          <w:p>
            <w:pPr>
              <w:jc w:val="left"/>
              <w:spacing w:before="10" w:after="10"/>
            </w:pPr>
            <w:r/>
            <w:r>
              <w:rPr>
                <w:rFonts w:ascii="Times New Roman" w:hAnsi="Times New Roman"/>
                <w:sz w:val="16"/>
              </w:rPr>
              <w:t>New Zealand</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12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+34</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+24</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0.76</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14</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0.95</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0.67</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w:t>
            </w:r>
          </w:p>
        </w:tc>
      </w:tr>
      <w:tr>
        <w:tc>
          <w:tcPr>
            <w:tcW w:w="1800" w:type="dxa"/>
          </w:tcPr>
          <w:p>
            <w:pPr>
              <w:jc w:val="left"/>
              <w:spacing w:before="10" w:after="10"/>
            </w:pPr>
            <w:r/>
            <w:r>
              <w:rPr>
                <w:rFonts w:ascii="Times New Roman" w:hAnsi="Times New Roman"/>
                <w:sz w:val="16"/>
              </w:rPr>
              <w:t>India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0.74</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0.94</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Colombia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0.66</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19</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-4</w:t>
            </w:r>
          </w:p>
        </w:tc>
      </w:tr>
      <w:tr>
        <w:tc>
          <w:tcPr>
            <w:tcW w:w="1800" w:type="dxa"/>
          </w:tcPr>
          <w:p>
            <w:pPr>
              <w:jc w:val="left"/>
              <w:spacing w:before="10" w:after="10"/>
            </w:pPr>
            <w:r/>
            <w:r>
              <w:rPr>
                <w:rFonts w:ascii="Times New Roman" w:hAnsi="Times New Roman"/>
                <w:sz w:val="16"/>
              </w:rPr>
              <w:t>Portugal</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20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20</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UAE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0.91</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w:t>
            </w:r>
          </w:p>
        </w:tc>
      </w:tr>
      <w:tr>
        <w:tc>
          <w:tcPr>
            <w:tcW w:w="1800" w:type="dxa"/>
          </w:tcPr>
          <w:p>
            <w:pPr>
              <w:jc w:val="left"/>
              <w:spacing w:before="10" w:after="10"/>
            </w:pPr>
            <w:r/>
            <w:r>
              <w:rPr>
                <w:rFonts w:ascii="Times New Roman" w:hAnsi="Times New Roman"/>
                <w:sz w:val="16"/>
              </w:rPr>
              <w:t>Latvia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0.91</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+28</w:t>
            </w:r>
          </w:p>
        </w:tc>
      </w:tr>
      <w:tr>
        <w:tc>
          <w:tcPr>
            <w:tcW w:w="1800" w:type="dxa"/>
          </w:tcPr>
          <w:p>
            <w:pPr>
              <w:jc w:val="left"/>
              <w:spacing w:before="10" w:after="10"/>
            </w:pPr>
            <w:r/>
            <w:r>
              <w:rPr>
                <w:rFonts w:ascii="Times New Roman" w:hAnsi="Times New Roman"/>
                <w:sz w:val="16"/>
              </w:rPr>
              <w:t>Belgium</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54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450" w:type="dxa"/>
          </w:tcPr>
          <w:p>
            <w:pPr>
              <w:jc w:val="center"/>
              <w:spacing w:before="10" w:after="10"/>
            </w:pPr>
            <w:r/>
            <w:r>
              <w:rPr>
                <w:rFonts w:ascii="Times New Roman" w:hAnsi="Times New Roman"/>
                <w:sz w:val="16"/>
              </w:rPr>
              <w:t>0.96</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23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+33</w:t>
            </w:r>
          </w:p>
        </w:tc>
      </w:tr>
      <w:tr>
        <w:tc>
          <w:tcPr>
            <w:tcW w:w="1800" w:type="dxa"/>
          </w:tcPr>
          <w:p>
            <w:pPr>
              <w:jc w:val="left"/>
              <w:spacing w:before="10" w:after="10"/>
            </w:pPr>
            <w:r/>
            <w:r>
              <w:rPr>
                <w:rFonts w:ascii="Times New Roman" w:hAnsi="Times New Roman"/>
                <w:sz w:val="16"/>
              </w:rPr>
              <w:t>Malta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450" w:type="dxa"/>
          </w:tcPr>
          <w:p>
            <w:pPr>
              <w:jc w:val="center"/>
              <w:spacing w:before="10" w:after="10"/>
            </w:pPr>
            <w:r/>
            <w:r>
              <w:rPr>
                <w:rFonts w:ascii="Times New Roman" w:hAnsi="Times New Roman"/>
                <w:sz w:val="16"/>
              </w:rPr>
              <w:t>0.89</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24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+23</w:t>
            </w:r>
          </w:p>
        </w:tc>
      </w:tr>
      <w:tr>
        <w:tc>
          <w:tcPr>
            <w:tcBorders>
              <w:bottom w:val="double" w:sz="4" w:space="0" w:color="auto"/>
            </w:tcBorders>
            <w:tcW w:w="1800" w:type="dxa"/>
          </w:tcPr>
          <w:p>
            <w:pPr>
              <w:jc w:val="left"/>
              <w:spacing w:before="10" w:after="10"/>
            </w:pPr>
            <w:r/>
            <w:r>
              <w:rPr>
                <w:rFonts w:ascii="Times New Roman" w:hAnsi="Times New Roman"/>
                <w:sz w:val="16"/>
              </w:rPr>
              <w:t>Georgia</w:t>
            </w:r>
          </w:p>
        </w:tc>
        <w:tc>
          <w:tcPr>
            <w:tcBorders>
              <w:bottom w:val="double" w:sz="4" w:space="0" w:color="auto"/>
            </w:tcBorders>
            <w:tcW w:w="900" w:type="dxa"/>
          </w:tcPr>
          <w:p>
            <w:pPr>
              <w:jc w:val="center"/>
              <w:spacing w:before="10" w:after="10"/>
            </w:pPr>
            <w:r/>
            <w:r>
              <w:rPr>
                <w:rFonts w:ascii="Times New Roman" w:hAnsi="Times New Roman"/>
                <w:sz w:val="16"/>
              </w:rPr>
              <w:t>$1.48</w:t>
            </w:r>
          </w:p>
        </w:tc>
        <w:tc>
          <w:tcPr>
            <w:tcBorders>
              <w:bottom w:val="double" w:sz="4" w:space="0" w:color="auto"/>
            </w:tcBorders>
            <w:tcW w:w="540" w:type="dxa"/>
          </w:tcPr>
          <w:p>
            <w:pPr>
              <w:jc w:val="center"/>
              <w:spacing w:before="10" w:after="10"/>
            </w:pPr>
            <w:r/>
            <w:r>
              <w:rPr>
                <w:rFonts w:ascii="Times New Roman" w:hAnsi="Times New Roman"/>
                <w:sz w:val="16"/>
              </w:rPr>
              <w:t>31</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$1.48</w:t>
            </w:r>
          </w:p>
        </w:tc>
        <w:tc>
          <w:tcPr>
            <w:tcBorders>
              <w:bottom w:val="double" w:sz="4" w:space="0" w:color="auto"/>
            </w:tcBorders>
            <w:tcW w:w="540" w:type="dxa"/>
          </w:tcPr>
          <w:p>
            <w:pPr>
              <w:jc w:val="center"/>
              <w:spacing w:before="10" w:after="10"/>
            </w:pPr>
            <w:r/>
            <w:r>
              <w:rPr>
                <w:rFonts w:ascii="Times New Roman" w:hAnsi="Times New Roman"/>
                <w:sz w:val="16"/>
              </w:rPr>
              <w:t>26</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$1.52</w:t>
            </w:r>
          </w:p>
        </w:tc>
        <w:tc>
          <w:tcPr>
            <w:tcBorders>
              <w:bottom w:val="double" w:sz="4" w:space="0" w:color="auto"/>
            </w:tcBorders>
            <w:tcW w:w="450" w:type="dxa"/>
          </w:tcPr>
          <w:p>
            <w:pPr>
              <w:jc w:val="center"/>
              <w:spacing w:before="10" w:after="10"/>
            </w:pPr>
            <w:r/>
            <w:r>
              <w:rPr>
                <w:rFonts w:ascii="Times New Roman" w:hAnsi="Times New Roman"/>
                <w:sz w:val="16"/>
              </w:rPr>
              <w:t>0.77</w:t>
            </w:r>
          </w:p>
        </w:tc>
        <w:tc>
          <w:tcPr>
            <w:tcBorders>
              <w:bottom w:val="double" w:sz="4" w:space="0" w:color="auto"/>
            </w:tcBorders>
            <w:tcW w:w="540" w:type="dxa"/>
          </w:tcPr>
          <w:p>
            <w:pPr>
              <w:jc w:val="center"/>
              <w:spacing w:before="10" w:after="10"/>
            </w:pPr>
            <w:r/>
            <w:r>
              <w:rPr>
                <w:rFonts w:ascii="Times New Roman" w:hAnsi="Times New Roman"/>
                <w:sz w:val="16"/>
              </w:rPr>
              <w:t>25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$1.52</w:t>
            </w:r>
          </w:p>
        </w:tc>
        <w:tc>
          <w:tcPr>
            <w:tcBorders>
              <w:bottom w:val="double" w:sz="4" w:space="0" w:color="auto"/>
            </w:tcBorders>
            <w:tcW w:w="540" w:type="dxa"/>
          </w:tcPr>
          <w:p>
            <w:pPr>
              <w:jc w:val="center"/>
              <w:spacing w:before="10" w:after="10"/>
            </w:pPr>
            <w:r/>
            <w:r>
              <w:rPr>
                <w:rFonts w:ascii="Times New Roman" w:hAnsi="Times New Roman"/>
                <w:b/>
                <w:sz w:val="16"/>
              </w:rPr>
              <w:t>25</w:t>
            </w:r>
          </w:p>
        </w:tc>
        <w:tc>
          <w:tcPr>
            <w:tcBorders>
              <w:bottom w:val="double" w:sz="4" w:space="0" w:color="auto"/>
            </w:tcBorders>
            <w:tcW w:w="540" w:type="dxa"/>
          </w:tcPr>
          <w:p>
            <w:pPr>
              <w:jc w:val="center"/>
              <w:spacing w:before="10" w:after="10"/>
            </w:pPr>
            <w:r/>
            <w:r>
              <w:rPr>
                <w:rFonts w:ascii="Times New Roman" w:hAnsi="Times New Roman"/>
                <w:sz w:val="16"/>
              </w:rPr>
              <w:t>DD</w:t>
            </w:r>
          </w:p>
        </w:tc>
        <w:tc>
          <w:tcPr>
            <w:tcBorders>
              <w:bottom w:val="double" w:sz="4" w:space="0" w:color="auto"/>
            </w:tcBorders>
            <w:tcW w:w="540" w:type="dxa"/>
          </w:tcPr>
          <w:p>
            <w:pPr>
              <w:jc w:val="center"/>
              <w:spacing w:before="10" w:after="10"/>
            </w:pPr>
            <w:r/>
            <w:r>
              <w:rPr>
                <w:rFonts w:ascii="Times New Roman" w:hAnsi="Times New Roman"/>
                <w:sz w:val="16"/>
              </w:rPr>
              <w:t>+6</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ρ + (c_cr − ρ) / ξⱼᵉᶠᶠ, where ρ = $1.36/hr is globally-priced hardware; the ξ column reports each country’s efficiency index (preferred specification). (4) Bilateral: efficiency-adjusted cost with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4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1000" w:type="dxa"/>
          </w:tcPr>
          <w:p>
            <w:pPr>
              <w:jc w:val="center"/>
              <w:spacing w:before="10" w:after="10"/>
              <w:spacing w:before="10" w:after="10"/>
            </w:pPr>
            <w:r/>
            <w:r>
              <w:rPr>
                <w:rFonts w:ascii="Times New Roman" w:hAnsi="Times New Roman"/>
                <w:b/>
                <w:sz w:val="16"/>
              </w:rPr>
              <w:t>(4)/(5) Bilateral sovereignty premium</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1100" w:type="dxa"/>
          </w:tcPr>
          <w:p>
            <w:pPr>
              <w:jc w:val="center"/>
              <w:spacing w:before="10" w:after="10"/>
              <w:spacing w:before="10" w:after="10"/>
              <w:spacing w:before="10" w:after="10"/>
            </w:pPr>
            <w:r/>
            <w:r>
              <w:rPr>
                <w:rFonts w:ascii="Times New Roman" w:hAnsi="Times New Roman"/>
                <w:b/>
                <w:sz w:val="16"/>
              </w:rPr>
              <w:t>(6) Uniform sovereignty premium (λ = 10%)</w:t>
            </w:r>
          </w:p>
        </w:tc>
      </w:tr>
      <w:tr>
        <w:tc>
          <w:tcPr>
            <w:tcBorders>
              <w:top w:val="single" w:sz="4" w:space="0" w:color="auto"/>
              <w:bottom w:val="single" w:sz="4" w:space="0" w:color="auto"/>
            </w:tcBorders>
            <w:tcW w:w="2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3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Rank₆</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400" w:type="dxa"/>
          </w:tcPr>
          <w:p>
            <w:pPr>
              <w:jc w:val="left"/>
              <w:spacing w:before="10" w:after="10"/>
            </w:pPr>
            <w:r/>
            <w:r>
              <w:rPr>
                <w:rFonts w:ascii="Times New Roman" w:hAnsi="Times New Roman"/>
                <w:sz w:val="16"/>
              </w:rPr>
              <w:t>Canada</w:t>
            </w:r>
          </w:p>
        </w:tc>
        <w:tc>
          <w:tcPr>
            <w:tcW w:w="1300" w:type="dxa"/>
          </w:tcPr>
          <w:p>
            <w:pPr>
              <w:jc w:val="center"/>
              <w:spacing w:before="10" w:after="10"/>
            </w:pPr>
            <w:r/>
            <w:r>
              <w:rPr>
                <w:rFonts w:ascii="Times New Roman" w:hAnsi="Times New Roman"/>
                <w:sz w:val="16"/>
              </w:rPr>
              <w:t>$1.44</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w:t>
            </w:r>
          </w:p>
        </w:tc>
        <w:tc>
          <w:tcPr>
            <w:tcW w:w="1100" w:type="dxa"/>
          </w:tcPr>
          <w:p>
            <w:pPr>
              <w:jc w:val="center"/>
              <w:spacing w:before="10" w:after="10"/>
            </w:pPr>
            <w:r/>
            <w:r>
              <w:rPr>
                <w:rFonts w:ascii="Times New Roman" w:hAnsi="Times New Roman"/>
                <w:sz w:val="16"/>
              </w:rPr>
              <w:t>−9.9%</w:t>
            </w:r>
          </w:p>
        </w:tc>
      </w:tr>
      <w:tr>
        <w:tc>
          <w:tcPr>
            <w:tcW w:w="2400" w:type="dxa"/>
          </w:tcPr>
          <w:p>
            <w:pPr>
              <w:jc w:val="left"/>
              <w:spacing w:before="10" w:after="10"/>
            </w:pPr>
            <w:r/>
            <w:r>
              <w:rPr>
                <w:rFonts w:ascii="Times New Roman" w:hAnsi="Times New Roman"/>
                <w:sz w:val="16"/>
              </w:rPr>
              <w:t>Finland</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w:t>
            </w:r>
          </w:p>
        </w:tc>
        <w:tc>
          <w:tcPr>
            <w:tcW w:w="1100" w:type="dxa"/>
          </w:tcPr>
          <w:p>
            <w:pPr>
              <w:jc w:val="center"/>
              <w:spacing w:before="10" w:after="10"/>
            </w:pPr>
            <w:r/>
            <w:r>
              <w:rPr>
                <w:rFonts w:ascii="Times New Roman" w:hAnsi="Times New Roman"/>
                <w:sz w:val="16"/>
              </w:rPr>
              <w:t>−8.2%</w:t>
            </w:r>
          </w:p>
        </w:tc>
      </w:tr>
      <w:tr>
        <w:tc>
          <w:tcPr>
            <w:tcW w:w="2400" w:type="dxa"/>
          </w:tcPr>
          <w:p>
            <w:pPr>
              <w:jc w:val="left"/>
              <w:spacing w:before="10" w:after="10"/>
            </w:pPr>
            <w:r/>
            <w:r>
              <w:rPr>
                <w:rFonts w:ascii="Times New Roman" w:hAnsi="Times New Roman"/>
                <w:sz w:val="16"/>
              </w:rPr>
              <w:t>Norway</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w:t>
            </w:r>
          </w:p>
        </w:tc>
        <w:tc>
          <w:tcPr>
            <w:tcW w:w="1100" w:type="dxa"/>
          </w:tcPr>
          <w:p>
            <w:pPr>
              <w:jc w:val="center"/>
              <w:spacing w:before="10" w:after="10"/>
            </w:pPr>
            <w:r/>
            <w:r>
              <w:rPr>
                <w:rFonts w:ascii="Times New Roman" w:hAnsi="Times New Roman"/>
                <w:sz w:val="16"/>
              </w:rPr>
              <w:t>−8.1%</w:t>
            </w:r>
          </w:p>
        </w:tc>
      </w:tr>
      <w:tr>
        <w:tc>
          <w:tcPr>
            <w:tcW w:w="2400" w:type="dxa"/>
          </w:tcPr>
          <w:p>
            <w:pPr>
              <w:jc w:val="left"/>
              <w:spacing w:before="10" w:after="10"/>
            </w:pPr>
            <w:r/>
            <w:r>
              <w:rPr>
                <w:rFonts w:ascii="Times New Roman" w:hAnsi="Times New Roman"/>
                <w:sz w:val="16"/>
              </w:rPr>
              <w:t>China</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4</w:t>
            </w:r>
          </w:p>
        </w:tc>
        <w:tc>
          <w:tcPr>
            <w:tcW w:w="1100" w:type="dxa"/>
          </w:tcPr>
          <w:p>
            <w:pPr>
              <w:jc w:val="center"/>
              <w:spacing w:before="10" w:after="10"/>
            </w:pPr>
            <w:r/>
            <w:r>
              <w:rPr>
                <w:rFonts w:ascii="Times New Roman" w:hAnsi="Times New Roman"/>
                <w:sz w:val="16"/>
              </w:rPr>
              <w:t>−8.0%</w:t>
            </w:r>
          </w:p>
        </w:tc>
      </w:tr>
      <w:tr>
        <w:tc>
          <w:tcPr>
            <w:tcW w:w="2400" w:type="dxa"/>
          </w:tcPr>
          <w:p>
            <w:pPr>
              <w:jc w:val="left"/>
              <w:spacing w:before="10" w:after="10"/>
            </w:pPr>
            <w:r/>
            <w:r>
              <w:rPr>
                <w:rFonts w:ascii="Times New Roman" w:hAnsi="Times New Roman"/>
                <w:sz w:val="16"/>
              </w:rPr>
              <w:t>Kyrgyzstan</w:t>
            </w:r>
          </w:p>
        </w:tc>
        <w:tc>
          <w:tcPr>
            <w:tcW w:w="1300" w:type="dxa"/>
          </w:tcPr>
          <w:p>
            <w:pPr>
              <w:jc w:val="center"/>
              <w:spacing w:before="10" w:after="10"/>
            </w:pPr>
            <w:r/>
            <w:r>
              <w:rPr>
                <w:rFonts w:ascii="Times New Roman" w:hAnsi="Times New Roman"/>
                <w:sz w:val="16"/>
              </w:rPr>
              <w:t>$1.48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5</w:t>
            </w:r>
          </w:p>
        </w:tc>
        <w:tc>
          <w:tcPr>
            <w:tcW w:w="1100" w:type="dxa"/>
          </w:tcPr>
          <w:p>
            <w:pPr>
              <w:jc w:val="center"/>
              <w:spacing w:before="10" w:after="10"/>
            </w:pPr>
            <w:r/>
            <w:r>
              <w:rPr>
                <w:rFonts w:ascii="Times New Roman" w:hAnsi="Times New Roman"/>
                <w:sz w:val="16"/>
              </w:rPr>
              <w:t>−7.6%</w:t>
            </w:r>
          </w:p>
        </w:tc>
      </w:tr>
      <w:tr>
        <w:tc>
          <w:tcPr>
            <w:tcW w:w="2400" w:type="dxa"/>
          </w:tcPr>
          <w:p>
            <w:pPr>
              <w:jc w:val="left"/>
              <w:spacing w:before="10" w:after="10"/>
            </w:pPr>
            <w:r/>
            <w:r>
              <w:rPr>
                <w:rFonts w:ascii="Times New Roman" w:hAnsi="Times New Roman"/>
                <w:sz w:val="16"/>
              </w:rPr>
              <w:t>Sweden</w:t>
            </w:r>
          </w:p>
        </w:tc>
        <w:tc>
          <w:tcPr>
            <w:tcW w:w="1300" w:type="dxa"/>
          </w:tcPr>
          <w:p>
            <w:pPr>
              <w:jc w:val="center"/>
              <w:spacing w:before="10" w:after="10"/>
            </w:pPr>
            <w:r/>
            <w:r>
              <w:rPr>
                <w:rFonts w:ascii="Times New Roman" w:hAnsi="Times New Roman"/>
                <w:sz w:val="16"/>
              </w:rPr>
              <w:t>$1.48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6</w:t>
            </w:r>
          </w:p>
        </w:tc>
        <w:tc>
          <w:tcPr>
            <w:tcW w:w="1100" w:type="dxa"/>
          </w:tcPr>
          <w:p>
            <w:pPr>
              <w:jc w:val="center"/>
              <w:spacing w:before="10" w:after="10"/>
            </w:pPr>
            <w:r/>
            <w:r>
              <w:rPr>
                <w:rFonts w:ascii="Times New Roman" w:hAnsi="Times New Roman"/>
                <w:sz w:val="16"/>
              </w:rPr>
              <w:t>−7.4%</w:t>
            </w:r>
          </w:p>
        </w:tc>
      </w:tr>
      <w:tr>
        <w:tc>
          <w:tcPr>
            <w:tcW w:w="2400" w:type="dxa"/>
          </w:tcPr>
          <w:p>
            <w:pPr>
              <w:jc w:val="left"/>
              <w:spacing w:before="10" w:after="10"/>
            </w:pPr>
            <w:r/>
            <w:r>
              <w:rPr>
                <w:rFonts w:ascii="Times New Roman" w:hAnsi="Times New Roman"/>
                <w:sz w:val="16"/>
              </w:rPr>
              <w:t>Kosovo</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7</w:t>
            </w:r>
          </w:p>
        </w:tc>
        <w:tc>
          <w:tcPr>
            <w:tcW w:w="1100" w:type="dxa"/>
          </w:tcPr>
          <w:p>
            <w:pPr>
              <w:jc w:val="center"/>
              <w:spacing w:before="10" w:after="10"/>
            </w:pPr>
            <w:r/>
            <w:r>
              <w:rPr>
                <w:rFonts w:ascii="Times New Roman" w:hAnsi="Times New Roman"/>
                <w:sz w:val="16"/>
              </w:rPr>
              <w:t>−7.2%</w:t>
            </w:r>
          </w:p>
        </w:tc>
      </w:tr>
      <w:tr>
        <w:tc>
          <w:tcPr>
            <w:tcW w:w="2400" w:type="dxa"/>
          </w:tcPr>
          <w:p>
            <w:pPr>
              <w:jc w:val="left"/>
              <w:spacing w:before="10" w:after="10"/>
            </w:pPr>
            <w:r/>
            <w:r>
              <w:rPr>
                <w:rFonts w:ascii="Times New Roman" w:hAnsi="Times New Roman"/>
                <w:sz w:val="16"/>
              </w:rPr>
              <w:t>Montenegro</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8</w:t>
            </w:r>
          </w:p>
        </w:tc>
        <w:tc>
          <w:tcPr>
            <w:tcW w:w="1100" w:type="dxa"/>
          </w:tcPr>
          <w:p>
            <w:pPr>
              <w:jc w:val="center"/>
              <w:spacing w:before="10" w:after="10"/>
            </w:pPr>
            <w:r/>
            <w:r>
              <w:rPr>
                <w:rFonts w:ascii="Times New Roman" w:hAnsi="Times New Roman"/>
                <w:sz w:val="16"/>
              </w:rPr>
              <w:t>−6.7%</w:t>
            </w:r>
          </w:p>
        </w:tc>
      </w:tr>
      <w:tr>
        <w:tc>
          <w:tcPr>
            <w:tcW w:w="2400" w:type="dxa"/>
          </w:tcPr>
          <w:p>
            <w:pPr>
              <w:jc w:val="left"/>
              <w:spacing w:before="10" w:after="10"/>
            </w:pPr>
            <w:r/>
            <w:r>
              <w:rPr>
                <w:rFonts w:ascii="Times New Roman" w:hAnsi="Times New Roman"/>
                <w:sz w:val="16"/>
              </w:rPr>
              <w:t>USA</w:t>
            </w:r>
          </w:p>
        </w:tc>
        <w:tc>
          <w:tcPr>
            <w:tcW w:w="1300" w:type="dxa"/>
          </w:tcPr>
          <w:p>
            <w:pPr>
              <w:jc w:val="center"/>
              <w:spacing w:before="10" w:after="10"/>
            </w:pPr>
            <w:r/>
            <w:r>
              <w:rPr>
                <w:rFonts w:ascii="Times New Roman" w:hAnsi="Times New Roman"/>
                <w:sz w:val="16"/>
              </w:rPr>
              <w:t>$1.50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9</w:t>
            </w:r>
          </w:p>
        </w:tc>
        <w:tc>
          <w:tcPr>
            <w:tcW w:w="1100" w:type="dxa"/>
          </w:tcPr>
          <w:p>
            <w:pPr>
              <w:jc w:val="center"/>
              <w:spacing w:before="10" w:after="10"/>
            </w:pPr>
            <w:r/>
            <w:r>
              <w:rPr>
                <w:rFonts w:ascii="Times New Roman" w:hAnsi="Times New Roman"/>
                <w:sz w:val="16"/>
              </w:rPr>
              <w:t>−6.4%</w:t>
            </w:r>
          </w:p>
        </w:tc>
      </w:tr>
      <w:tr>
        <w:tc>
          <w:tcPr>
            <w:tcW w:w="2400" w:type="dxa"/>
          </w:tcPr>
          <w:p>
            <w:pPr>
              <w:jc w:val="left"/>
              <w:spacing w:before="10" w:after="10"/>
            </w:pPr>
            <w:r/>
            <w:r>
              <w:rPr>
                <w:rFonts w:ascii="Times New Roman" w:hAnsi="Times New Roman"/>
                <w:sz w:val="16"/>
              </w:rPr>
              <w:t>Ethiopia</w:t>
            </w:r>
          </w:p>
        </w:tc>
        <w:tc>
          <w:tcPr>
            <w:tcW w:w="1300" w:type="dxa"/>
          </w:tcPr>
          <w:p>
            <w:pPr>
              <w:jc w:val="center"/>
              <w:spacing w:before="10" w:after="10"/>
            </w:pPr>
            <w:r/>
            <w:r>
              <w:rPr>
                <w:rFonts w:ascii="Times New Roman" w:hAnsi="Times New Roman"/>
                <w:sz w:val="16"/>
              </w:rPr>
              <w:t>$1.50</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10</w:t>
            </w:r>
          </w:p>
        </w:tc>
        <w:tc>
          <w:tcPr>
            <w:tcW w:w="1100" w:type="dxa"/>
          </w:tcPr>
          <w:p>
            <w:pPr>
              <w:jc w:val="center"/>
              <w:spacing w:before="10" w:after="10"/>
            </w:pPr>
            <w:r/>
            <w:r>
              <w:rPr>
                <w:rFonts w:ascii="Times New Roman" w:hAnsi="Times New Roman"/>
                <w:sz w:val="16"/>
              </w:rPr>
              <w:t>−6.3%</w:t>
            </w:r>
          </w:p>
        </w:tc>
      </w:tr>
      <w:tr>
        <w:tc>
          <w:tcPr>
            <w:tcW w:w="2400" w:type="dxa"/>
          </w:tcPr>
          <w:p>
            <w:pPr>
              <w:jc w:val="left"/>
              <w:spacing w:before="10" w:after="10"/>
            </w:pPr>
            <w:r/>
            <w:r>
              <w:rPr>
                <w:rFonts w:ascii="Times New Roman" w:hAnsi="Times New Roman"/>
                <w:sz w:val="16"/>
              </w:rPr>
              <w:t>Iceland</w:t>
            </w:r>
          </w:p>
        </w:tc>
        <w:tc>
          <w:tcPr>
            <w:tcW w:w="1300" w:type="dxa"/>
          </w:tcPr>
          <w:p>
            <w:pPr>
              <w:jc w:val="center"/>
              <w:spacing w:before="10" w:after="10"/>
            </w:pPr>
            <w:r/>
            <w:r>
              <w:rPr>
                <w:rFonts w:ascii="Times New Roman" w:hAnsi="Times New Roman"/>
                <w:sz w:val="16"/>
              </w:rPr>
              <w:t>$1.50</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11</w:t>
            </w:r>
          </w:p>
        </w:tc>
        <w:tc>
          <w:tcPr>
            <w:tcW w:w="1100" w:type="dxa"/>
          </w:tcPr>
          <w:p>
            <w:pPr>
              <w:jc w:val="center"/>
              <w:spacing w:before="10" w:after="10"/>
            </w:pPr>
            <w:r/>
            <w:r>
              <w:rPr>
                <w:rFonts w:ascii="Times New Roman" w:hAnsi="Times New Roman"/>
                <w:sz w:val="16"/>
              </w:rPr>
              <w:t>−6.2%</w:t>
            </w:r>
          </w:p>
        </w:tc>
      </w:tr>
      <w:tr>
        <w:tc>
          <w:tcPr>
            <w:tcW w:w="2400" w:type="dxa"/>
          </w:tcPr>
          <w:p>
            <w:pPr>
              <w:jc w:val="left"/>
              <w:spacing w:before="10" w:after="10"/>
            </w:pPr>
            <w:r/>
            <w:r>
              <w:rPr>
                <w:rFonts w:ascii="Times New Roman" w:hAnsi="Times New Roman"/>
                <w:sz w:val="16"/>
              </w:rPr>
              <w:t>New Zealand</w:t>
            </w:r>
          </w:p>
        </w:tc>
        <w:tc>
          <w:tcPr>
            <w:tcW w:w="1300" w:type="dxa"/>
          </w:tcPr>
          <w:p>
            <w:pPr>
              <w:jc w:val="center"/>
              <w:spacing w:before="10" w:after="10"/>
            </w:pPr>
            <w:r/>
            <w:r>
              <w:rPr>
                <w:rFonts w:ascii="Times New Roman" w:hAnsi="Times New Roman"/>
                <w:sz w:val="16"/>
              </w:rPr>
              <w:t>$1.50</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12</w:t>
            </w:r>
          </w:p>
        </w:tc>
        <w:tc>
          <w:tcPr>
            <w:tcW w:w="1100" w:type="dxa"/>
          </w:tcPr>
          <w:p>
            <w:pPr>
              <w:jc w:val="center"/>
              <w:spacing w:before="10" w:after="10"/>
            </w:pPr>
            <w:r/>
            <w:r>
              <w:rPr>
                <w:rFonts w:ascii="Times New Roman" w:hAnsi="Times New Roman"/>
                <w:sz w:val="16"/>
              </w:rPr>
              <w:t>−6.1%</w:t>
            </w:r>
          </w:p>
        </w:tc>
      </w:tr>
      <w:tr>
        <w:tc>
          <w:tcPr>
            <w:tcW w:w="2400" w:type="dxa"/>
          </w:tcPr>
          <w:p>
            <w:pPr>
              <w:jc w:val="left"/>
              <w:spacing w:before="10" w:after="10"/>
            </w:pPr>
            <w:r/>
            <w:r>
              <w:rPr>
                <w:rFonts w:ascii="Times New Roman" w:hAnsi="Times New Roman"/>
                <w:sz w:val="16"/>
              </w:rPr>
              <w:t>Australia</w:t>
            </w:r>
          </w:p>
        </w:tc>
        <w:tc>
          <w:tcPr>
            <w:tcW w:w="1300" w:type="dxa"/>
          </w:tcPr>
          <w:p>
            <w:pPr>
              <w:jc w:val="center"/>
              <w:spacing w:before="10" w:after="10"/>
            </w:pPr>
            <w:r/>
            <w:r>
              <w:rPr>
                <w:rFonts w:ascii="Times New Roman" w:hAnsi="Times New Roman"/>
                <w:sz w:val="16"/>
              </w:rPr>
              <w:t>$1.50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13</w:t>
            </w:r>
          </w:p>
        </w:tc>
        <w:tc>
          <w:tcPr>
            <w:tcW w:w="1100" w:type="dxa"/>
          </w:tcPr>
          <w:p>
            <w:pPr>
              <w:jc w:val="center"/>
              <w:spacing w:before="10" w:after="10"/>
            </w:pPr>
            <w:r/>
            <w:r>
              <w:rPr>
                <w:rFonts w:ascii="Times New Roman" w:hAnsi="Times New Roman"/>
                <w:sz w:val="16"/>
              </w:rPr>
              <w:t>−6.0%</w:t>
            </w:r>
          </w:p>
        </w:tc>
      </w:tr>
      <w:tr>
        <w:tc>
          <w:tcPr>
            <w:tcW w:w="2400" w:type="dxa"/>
          </w:tcPr>
          <w:p>
            <w:pPr>
              <w:jc w:val="left"/>
              <w:spacing w:before="10" w:after="10"/>
            </w:pPr>
            <w:r/>
            <w:r>
              <w:rPr>
                <w:rFonts w:ascii="Times New Roman" w:hAnsi="Times New Roman"/>
                <w:sz w:val="16"/>
              </w:rPr>
              <w:t>Vietnam</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14</w:t>
            </w:r>
          </w:p>
        </w:tc>
        <w:tc>
          <w:tcPr>
            <w:tcW w:w="1100" w:type="dxa"/>
          </w:tcPr>
          <w:p>
            <w:pPr>
              <w:jc w:val="center"/>
              <w:spacing w:before="10" w:after="10"/>
            </w:pPr>
            <w:r/>
            <w:r>
              <w:rPr>
                <w:rFonts w:ascii="Times New Roman" w:hAnsi="Times New Roman"/>
                <w:sz w:val="16"/>
              </w:rPr>
              <w:t>−6.0%</w:t>
            </w:r>
          </w:p>
        </w:tc>
      </w:tr>
      <w:tr>
        <w:tc>
          <w:tcPr>
            <w:tcW w:w="2400" w:type="dxa"/>
          </w:tcPr>
          <w:p>
            <w:pPr>
              <w:jc w:val="left"/>
              <w:spacing w:before="10" w:after="10"/>
            </w:pPr>
            <w:r/>
            <w:r>
              <w:rPr>
                <w:rFonts w:ascii="Times New Roman" w:hAnsi="Times New Roman"/>
                <w:sz w:val="16"/>
              </w:rPr>
              <w:t>UK</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15</w:t>
            </w:r>
          </w:p>
        </w:tc>
        <w:tc>
          <w:tcPr>
            <w:tcW w:w="1100" w:type="dxa"/>
          </w:tcPr>
          <w:p>
            <w:pPr>
              <w:jc w:val="center"/>
              <w:spacing w:before="10" w:after="10"/>
            </w:pPr>
            <w:r/>
            <w:r>
              <w:rPr>
                <w:rFonts w:ascii="Times New Roman" w:hAnsi="Times New Roman"/>
                <w:sz w:val="16"/>
              </w:rPr>
              <w:t>−5.9%</w:t>
            </w:r>
          </w:p>
        </w:tc>
      </w:tr>
      <w:tr>
        <w:tc>
          <w:tcPr>
            <w:tcW w:w="2400" w:type="dxa"/>
          </w:tcPr>
          <w:p>
            <w:pPr>
              <w:jc w:val="left"/>
              <w:spacing w:before="10" w:after="10"/>
            </w:pPr>
            <w:r/>
            <w:r>
              <w:rPr>
                <w:rFonts w:ascii="Times New Roman" w:hAnsi="Times New Roman"/>
                <w:sz w:val="16"/>
              </w:rPr>
              <w:t>Argentina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16</w:t>
            </w:r>
          </w:p>
        </w:tc>
        <w:tc>
          <w:tcPr>
            <w:tcW w:w="1100" w:type="dxa"/>
          </w:tcPr>
          <w:p>
            <w:pPr>
              <w:jc w:val="center"/>
              <w:spacing w:before="10" w:after="10"/>
            </w:pPr>
            <w:r/>
            <w:r>
              <w:rPr>
                <w:rFonts w:ascii="Times New Roman" w:hAnsi="Times New Roman"/>
                <w:sz w:val="16"/>
              </w:rPr>
              <w:t>−5.7%</w:t>
            </w:r>
          </w:p>
        </w:tc>
      </w:tr>
      <w:tr>
        <w:tc>
          <w:tcPr>
            <w:tcW w:w="2400" w:type="dxa"/>
          </w:tcPr>
          <w:p>
            <w:pPr>
              <w:jc w:val="left"/>
              <w:spacing w:before="10" w:after="10"/>
            </w:pPr>
            <w:r/>
            <w:r>
              <w:rPr>
                <w:rFonts w:ascii="Times New Roman" w:hAnsi="Times New Roman"/>
                <w:sz w:val="16"/>
              </w:rPr>
              <w:t>India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17</w:t>
            </w:r>
          </w:p>
        </w:tc>
        <w:tc>
          <w:tcPr>
            <w:tcW w:w="1100" w:type="dxa"/>
          </w:tcPr>
          <w:p>
            <w:pPr>
              <w:jc w:val="center"/>
              <w:spacing w:before="10" w:after="10"/>
            </w:pPr>
            <w:r/>
            <w:r>
              <w:rPr>
                <w:rFonts w:ascii="Times New Roman" w:hAnsi="Times New Roman"/>
                <w:sz w:val="16"/>
              </w:rPr>
              <w:t>−5.7%</w:t>
            </w:r>
          </w:p>
        </w:tc>
      </w:tr>
      <w:tr>
        <w:tc>
          <w:tcPr>
            <w:tcW w:w="2400" w:type="dxa"/>
          </w:tcPr>
          <w:p>
            <w:pPr>
              <w:jc w:val="left"/>
              <w:spacing w:before="10" w:after="10"/>
            </w:pPr>
            <w:r/>
            <w:r>
              <w:rPr>
                <w:rFonts w:ascii="Times New Roman" w:hAnsi="Times New Roman"/>
                <w:sz w:val="16"/>
              </w:rPr>
              <w:t>France</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18</w:t>
            </w:r>
          </w:p>
        </w:tc>
        <w:tc>
          <w:tcPr>
            <w:tcW w:w="1100" w:type="dxa"/>
          </w:tcPr>
          <w:p>
            <w:pPr>
              <w:jc w:val="center"/>
              <w:spacing w:before="10" w:after="10"/>
            </w:pPr>
            <w:r/>
            <w:r>
              <w:rPr>
                <w:rFonts w:ascii="Times New Roman" w:hAnsi="Times New Roman"/>
                <w:sz w:val="16"/>
              </w:rPr>
              <w:t>−5.7%</w:t>
            </w:r>
          </w:p>
        </w:tc>
      </w:tr>
      <w:tr>
        <w:tc>
          <w:tcPr>
            <w:tcW w:w="2400" w:type="dxa"/>
          </w:tcPr>
          <w:p>
            <w:pPr>
              <w:jc w:val="left"/>
              <w:spacing w:before="10" w:after="10"/>
            </w:pPr>
            <w:r/>
            <w:r>
              <w:rPr>
                <w:rFonts w:ascii="Times New Roman" w:hAnsi="Times New Roman"/>
                <w:sz w:val="16"/>
              </w:rPr>
              <w:t>Colombia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19</w:t>
            </w:r>
          </w:p>
        </w:tc>
        <w:tc>
          <w:tcPr>
            <w:tcW w:w="1100" w:type="dxa"/>
          </w:tcPr>
          <w:p>
            <w:pPr>
              <w:jc w:val="center"/>
              <w:spacing w:before="10" w:after="10"/>
            </w:pPr>
            <w:r/>
            <w:r>
              <w:rPr>
                <w:rFonts w:ascii="Times New Roman" w:hAnsi="Times New Roman"/>
                <w:sz w:val="16"/>
              </w:rPr>
              <w:t>−5.6%</w:t>
            </w:r>
          </w:p>
        </w:tc>
      </w:tr>
      <w:tr>
        <w:tc>
          <w:tcPr>
            <w:tcW w:w="2400" w:type="dxa"/>
          </w:tcPr>
          <w:p>
            <w:pPr>
              <w:jc w:val="left"/>
              <w:spacing w:before="10" w:after="10"/>
            </w:pPr>
            <w:r/>
            <w:r>
              <w:rPr>
                <w:rFonts w:ascii="Times New Roman" w:hAnsi="Times New Roman"/>
                <w:sz w:val="16"/>
              </w:rPr>
              <w:t>Portugal</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20</w:t>
            </w:r>
          </w:p>
        </w:tc>
        <w:tc>
          <w:tcPr>
            <w:tcW w:w="1100" w:type="dxa"/>
          </w:tcPr>
          <w:p>
            <w:pPr>
              <w:jc w:val="center"/>
              <w:spacing w:before="10" w:after="10"/>
            </w:pPr>
            <w:r/>
            <w:r>
              <w:rPr>
                <w:rFonts w:ascii="Times New Roman" w:hAnsi="Times New Roman"/>
                <w:sz w:val="16"/>
              </w:rPr>
              <w:t>−5.6%</w:t>
            </w:r>
          </w:p>
        </w:tc>
      </w:tr>
      <w:tr>
        <w:tc>
          <w:tcPr>
            <w:tcW w:w="2400" w:type="dxa"/>
          </w:tcPr>
          <w:p>
            <w:pPr>
              <w:jc w:val="left"/>
              <w:spacing w:before="10" w:after="10"/>
            </w:pPr>
            <w:r/>
            <w:r>
              <w:rPr>
                <w:rFonts w:ascii="Times New Roman" w:hAnsi="Times New Roman"/>
                <w:sz w:val="16"/>
              </w:rPr>
              <w:t>UAE</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21</w:t>
            </w:r>
          </w:p>
        </w:tc>
        <w:tc>
          <w:tcPr>
            <w:tcW w:w="1100" w:type="dxa"/>
          </w:tcPr>
          <w:p>
            <w:pPr>
              <w:jc w:val="center"/>
              <w:spacing w:before="10" w:after="10"/>
            </w:pPr>
            <w:r/>
            <w:r>
              <w:rPr>
                <w:rFonts w:ascii="Times New Roman" w:hAnsi="Times New Roman"/>
                <w:sz w:val="16"/>
              </w:rPr>
              <w:t>−5.4%</w:t>
            </w:r>
          </w:p>
        </w:tc>
      </w:tr>
      <w:tr>
        <w:tc>
          <w:tcPr>
            <w:tcW w:w="2400" w:type="dxa"/>
          </w:tcPr>
          <w:p>
            <w:pPr>
              <w:jc w:val="left"/>
              <w:spacing w:before="10" w:after="10"/>
            </w:pPr>
            <w:r/>
            <w:r>
              <w:rPr>
                <w:rFonts w:ascii="Times New Roman" w:hAnsi="Times New Roman"/>
                <w:sz w:val="16"/>
              </w:rPr>
              <w:t>Latvia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22</w:t>
            </w:r>
          </w:p>
        </w:tc>
        <w:tc>
          <w:tcPr>
            <w:tcW w:w="1100" w:type="dxa"/>
          </w:tcPr>
          <w:p>
            <w:pPr>
              <w:jc w:val="center"/>
              <w:spacing w:before="10" w:after="10"/>
            </w:pPr>
            <w:r/>
            <w:r>
              <w:rPr>
                <w:rFonts w:ascii="Times New Roman" w:hAnsi="Times New Roman"/>
                <w:sz w:val="16"/>
              </w:rPr>
              <w:t>−5.4%</w:t>
            </w:r>
          </w:p>
        </w:tc>
      </w:tr>
      <w:tr>
        <w:tc>
          <w:tcPr>
            <w:tcW w:w="2400" w:type="dxa"/>
          </w:tcPr>
          <w:p>
            <w:pPr>
              <w:jc w:val="left"/>
              <w:spacing w:before="10" w:after="10"/>
            </w:pPr>
            <w:r/>
            <w:r>
              <w:rPr>
                <w:rFonts w:ascii="Times New Roman" w:hAnsi="Times New Roman"/>
                <w:sz w:val="16"/>
              </w:rPr>
              <w:t>Belgium</w:t>
            </w:r>
          </w:p>
        </w:tc>
        <w:tc>
          <w:tcPr>
            <w:tcW w:w="1300" w:type="dxa"/>
          </w:tcPr>
          <w:p>
            <w:pPr>
              <w:jc w:val="center"/>
              <w:spacing w:before="10" w:after="10"/>
            </w:pPr>
            <w:r/>
            <w:r>
              <w:rPr>
                <w:rFonts w:ascii="Times New Roman" w:hAnsi="Times New Roman"/>
                <w:sz w:val="16"/>
              </w:rPr>
              <w:t>$1.52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23</w:t>
            </w:r>
          </w:p>
        </w:tc>
        <w:tc>
          <w:tcPr>
            <w:tcW w:w="1100" w:type="dxa"/>
          </w:tcPr>
          <w:p>
            <w:pPr>
              <w:jc w:val="center"/>
              <w:spacing w:before="10" w:after="10"/>
            </w:pPr>
            <w:r/>
            <w:r>
              <w:rPr>
                <w:rFonts w:ascii="Times New Roman" w:hAnsi="Times New Roman"/>
                <w:sz w:val="16"/>
              </w:rPr>
              <w:t>−5.2%</w:t>
            </w:r>
          </w:p>
        </w:tc>
      </w:tr>
      <w:tr>
        <w:tc>
          <w:tcPr>
            <w:tcW w:w="2400" w:type="dxa"/>
          </w:tcPr>
          <w:p>
            <w:pPr>
              <w:jc w:val="left"/>
              <w:spacing w:before="10" w:after="10"/>
            </w:pPr>
            <w:r/>
            <w:r>
              <w:rPr>
                <w:rFonts w:ascii="Times New Roman" w:hAnsi="Times New Roman"/>
                <w:sz w:val="16"/>
              </w:rPr>
              <w:t>Malta</w:t>
            </w:r>
          </w:p>
        </w:tc>
        <w:tc>
          <w:tcPr>
            <w:tcW w:w="1300" w:type="dxa"/>
          </w:tcPr>
          <w:p>
            <w:pPr>
              <w:jc w:val="center"/>
              <w:spacing w:before="10" w:after="10"/>
            </w:pPr>
            <w:r/>
            <w:r>
              <w:rPr>
                <w:rFonts w:ascii="Times New Roman" w:hAnsi="Times New Roman"/>
                <w:sz w:val="16"/>
              </w:rPr>
              <w:t>$1.52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24</w:t>
            </w:r>
          </w:p>
        </w:tc>
        <w:tc>
          <w:tcPr>
            <w:tcW w:w="1100" w:type="dxa"/>
          </w:tcPr>
          <w:p>
            <w:pPr>
              <w:jc w:val="center"/>
              <w:spacing w:before="10" w:after="10"/>
            </w:pPr>
            <w:r/>
            <w:r>
              <w:rPr>
                <w:rFonts w:ascii="Times New Roman" w:hAnsi="Times New Roman"/>
                <w:sz w:val="16"/>
              </w:rPr>
              <w:t>−5.2%</w:t>
            </w:r>
          </w:p>
        </w:tc>
      </w:tr>
      <w:tr>
        <w:tc>
          <w:tcPr>
            <w:tcBorders>
              <w:bottom w:val="double" w:sz="4" w:space="0" w:color="auto"/>
            </w:tcBorders>
            <w:tcW w:w="2400" w:type="dxa"/>
          </w:tcPr>
          <w:p>
            <w:pPr>
              <w:jc w:val="left"/>
              <w:spacing w:before="10" w:after="10"/>
            </w:pPr>
            <w:r/>
            <w:r>
              <w:rPr>
                <w:rFonts w:ascii="Times New Roman" w:hAnsi="Times New Roman"/>
                <w:sz w:val="16"/>
              </w:rPr>
              <w:t>Georgia</w:t>
            </w:r>
          </w:p>
        </w:tc>
        <w:tc>
          <w:tcPr>
            <w:tcBorders>
              <w:bottom w:val="double" w:sz="4" w:space="0" w:color="auto"/>
            </w:tcBorders>
            <w:tcW w:w="1300" w:type="dxa"/>
          </w:tcPr>
          <w:p>
            <w:pPr>
              <w:jc w:val="center"/>
              <w:spacing w:before="10" w:after="10"/>
            </w:pPr>
            <w:r/>
            <w:r>
              <w:rPr>
                <w:rFonts w:ascii="Times New Roman" w:hAnsi="Times New Roman"/>
                <w:sz w:val="16"/>
              </w:rPr>
              <w:t>$1.52</w:t>
            </w:r>
          </w:p>
        </w:tc>
        <w:tc>
          <w:tcPr>
            <w:tcBorders>
              <w:bottom w:val="double" w:sz="4" w:space="0" w:color="auto"/>
            </w:tcBorders>
            <w:tcW w:w="1000" w:type="dxa"/>
          </w:tcPr>
          <w:p>
            <w:pPr>
              <w:jc w:val="center"/>
              <w:spacing w:before="10" w:after="10"/>
            </w:pPr>
            <w:r/>
            <w:r>
              <w:rPr>
                <w:rFonts w:ascii="Times New Roman" w:hAnsi="Times New Roman"/>
                <w:sz w:val="16"/>
              </w:rPr>
              <w:t>DD</w:t>
            </w:r>
          </w:p>
        </w:tc>
        <w:tc>
          <w:tcPr>
            <w:tcBorders>
              <w:bottom w:val="double" w:sz="4" w:space="0" w:color="auto"/>
            </w:tcBorders>
            <w:tcW w:w="1000" w:type="dxa"/>
          </w:tcPr>
          <w:p>
            <w:pPr>
              <w:jc w:val="center"/>
              <w:spacing w:before="10" w:after="10"/>
            </w:pPr>
            <w:r/>
            <w:r>
              <w:rPr>
                <w:rFonts w:ascii="Times New Roman" w:hAnsi="Times New Roman"/>
                <w:sz w:val="16"/>
              </w:rPr>
              <w:t>DD</w:t>
            </w:r>
          </w:p>
        </w:tc>
        <w:tc>
          <w:tcPr>
            <w:tcBorders>
              <w:bottom w:val="double" w:sz="4" w:space="0" w:color="auto"/>
            </w:tcBorders>
            <w:tcW w:w="900" w:type="dxa"/>
          </w:tcPr>
          <w:p>
            <w:pPr>
              <w:jc w:val="center"/>
              <w:spacing w:before="10" w:after="10"/>
            </w:pPr>
            <w:r/>
            <w:r>
              <w:rPr>
                <w:rFonts w:ascii="Times New Roman" w:hAnsi="Times New Roman"/>
                <w:sz w:val="16"/>
              </w:rPr>
              <w:t>25</w:t>
            </w:r>
          </w:p>
        </w:tc>
        <w:tc>
          <w:tcPr>
            <w:tcBorders>
              <w:bottom w:val="double" w:sz="4" w:space="0" w:color="auto"/>
            </w:tcBorders>
            <w:tcW w:w="1100" w:type="dxa"/>
          </w:tcPr>
          <w:p>
            <w:pPr>
              <w:jc w:val="center"/>
              <w:spacing w:before="10" w:after="10"/>
            </w:pPr>
            <w:r/>
            <w:r>
              <w:rPr>
                <w:rFonts w:ascii="Times New Roman" w:hAnsi="Times New Roman"/>
                <w:sz w:val="16"/>
              </w:rPr>
              <w:t>−5.2%</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7" w:name="Eq2txt907"/>
      <w:hyperlink w:anchor="Eq2" w:history="1">
        <w:r>
          <w:rPr>
            <w:rFonts w:ascii="Times New Roman" w:hAnsi="Times New Roman"/>
            <w:sz w:val="20"/>
            <w:color w:val="1F3864"/>
            <w:u w:val="single"/>
          </w:rPr>
          <w:t xml:space="preserve">equation (2)</w:t>
        </w:r>
      </w:hyperlink>
      <w:bookmarkEnd w:id="907"/>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0.50</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0.96</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0.57</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0.48</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0.75</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0.80</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0.57</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0.67</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0.66</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0.62</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0.53</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0.76</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0.68</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0.46</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0.69</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0.98</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0.74</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0.70</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0.68</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0.54</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0.77</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0.94</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0.58</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0.67</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0.68</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0.52</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0.99</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0.72</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0.95</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0.51</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0.97</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0.60</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0.94</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0.74</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0.91</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0.86</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0.84</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0.91</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0.92</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0.86</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0.66</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0.91</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0.90</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0.79</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0.96</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0.75</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0.54</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0.84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0.91</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0.95</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0.94</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0.93</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0.68</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0.82</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0.97</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0.80</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0.77</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0.83</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0.97</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0.93</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0.99</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0.88</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0.67</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0.81</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0.97</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0.94</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8" w:name="Eq4txt908"/>
      <w:hyperlink w:anchor="Eq4" w:history="1">
        <w:r>
          <w:rPr>
            <w:sz w:val="20"/>
            <w:color w:val="1F3864"/>
            <w:u w:val="single"/>
          </w:rPr>
          <w:t xml:space="preserve">equation (4)</w:t>
        </w:r>
      </w:hyperlink>
      <w:bookmarkEnd w:id="908"/>
      <w:r>
        <w:rPr>
          <w:sz w:val="20"/>
        </w:rPr>
        <w:t xml:space="preserve">. ξⱼᵉᶠᶠ = production-efficiency index (weighted geometric mean of governance quality and grid reliability, ω = 0.50;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spacing w:before="5" w:after="5"/>
            </w:pPr>
            <w:r/>
            <w:r>
              <w:rPr>
                <w:rFonts w:ascii="Times New Roman" w:hAnsi="Times New Roman"/>
                <w:b/>
                <w:sz w:val="14"/>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bottom w:val="single" w:sz="4" w:space="0" w:color="auto"/>
            </w:tcBorders>
            <w:tcW w:w="540" w:type="dxa"/>
          </w:tcPr>
          <w:p>
            <w:pPr>
              <w:jc w:val="center"/>
              <w:spacing w:before="5" w:after="5"/>
            </w:pPr>
            <w:r/>
            <w:r>
              <w:rPr>
                <w:rFonts w:ascii="Times New Roman" w:hAnsi="Times New Roman"/>
                <w:sz w:val="14"/>
              </w:rPr>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cⱼᵃᵈʲ</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ξⱼᵉᶠᶠ</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pⱼ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450" w:type="dxa"/>
          </w:tcPr>
          <w:p>
            <w:pPr>
              <w:jc w:val="center"/>
              <w:spacing w:before="5" w:after="5"/>
            </w:pPr>
            <w:r/>
            <w:r>
              <w:rPr>
                <w:rFonts w:ascii="Times New Roman" w:hAnsi="Times New Roman"/>
                <w:sz w:val="14"/>
              </w:rPr>
              <w:t>0.50</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0.75</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0.57</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0.67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0.69</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0.62</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0.90</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0.57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-25</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-25</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0.48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0.79</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0.67</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0.75</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0.58</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$1.40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-64</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Turkmenistan</w:t>
            </w:r>
          </w:p>
        </w:tc>
        <w:tc>
          <w:tcPr>
            <w:tcW w:w="900" w:type="dxa"/>
          </w:tcPr>
          <w:p>
            <w:pPr>
              <w:jc w:val="center"/>
              <w:spacing w:before="5" w:after="5"/>
            </w:pPr>
            <w:r/>
            <w:r>
              <w:rPr>
                <w:rFonts w:ascii="Times New Roman" w:hAnsi="Times New Roman"/>
                <w:sz w:val="14"/>
              </w:rPr>
              <w:t>$1.41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0.46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-74</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0.52</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-64</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-12</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0.88</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0.51</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Borders>
              <w:bottom w:val="double" w:sz="4" w:space="0" w:color="auto"/>
            </w:tcBorders>
            <w:tcW w:w="1800" w:type="dxa"/>
          </w:tcPr>
          <w:p>
            <w:pPr>
              <w:jc w:val="left"/>
              <w:spacing w:before="5" w:after="5"/>
            </w:pPr>
            <w:r/>
            <w:r>
              <w:rPr>
                <w:rFonts w:ascii="Times New Roman" w:hAnsi="Times New Roman"/>
                <w:sz w:val="14"/>
              </w:rPr>
              <w:t>Senegal</w:t>
            </w:r>
          </w:p>
        </w:tc>
        <w:tc>
          <w:tcPr>
            <w:tcBorders>
              <w:bottom w:val="double" w:sz="4" w:space="0" w:color="auto"/>
            </w:tcBorders>
            <w:tcW w:w="900" w:type="dxa"/>
          </w:tcPr>
          <w:p>
            <w:pPr>
              <w:jc w:val="center"/>
              <w:spacing w:before="5" w:after="5"/>
            </w:pPr>
            <w:r/>
            <w:r>
              <w:rPr>
                <w:rFonts w:ascii="Times New Roman" w:hAnsi="Times New Roman"/>
                <w:sz w:val="14"/>
              </w:rPr>
              <w:t>$1.58</w:t>
            </w:r>
          </w:p>
        </w:tc>
        <w:tc>
          <w:tcPr>
            <w:tcBorders>
              <w:bottom w:val="double" w:sz="4" w:space="0" w:color="auto"/>
            </w:tcBorders>
            <w:tcW w:w="540" w:type="dxa"/>
          </w:tcPr>
          <w:p>
            <w:pPr>
              <w:jc w:val="center"/>
              <w:spacing w:before="5" w:after="5"/>
            </w:pPr>
            <w:r/>
            <w:r>
              <w:rPr>
                <w:rFonts w:ascii="Times New Roman" w:hAnsi="Times New Roman"/>
                <w:sz w:val="14"/>
              </w:rPr>
              <w:t>83</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$1.58</w:t>
            </w:r>
          </w:p>
        </w:tc>
        <w:tc>
          <w:tcPr>
            <w:tcBorders>
              <w:bottom w:val="double" w:sz="4" w:space="0" w:color="auto"/>
            </w:tcBorders>
            <w:tcW w:w="540" w:type="dxa"/>
          </w:tcPr>
          <w:p>
            <w:pPr>
              <w:jc w:val="center"/>
              <w:spacing w:before="5" w:after="5"/>
            </w:pPr>
            <w:r/>
            <w:r>
              <w:rPr>
                <w:rFonts w:ascii="Times New Roman" w:hAnsi="Times New Roman"/>
                <w:sz w:val="14"/>
              </w:rPr>
              <w:t>83</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$1.69</w:t>
            </w:r>
          </w:p>
        </w:tc>
        <w:tc>
          <w:tcPr>
            <w:tcBorders>
              <w:bottom w:val="double" w:sz="4" w:space="0" w:color="auto"/>
            </w:tcBorders>
            <w:tcW w:w="450" w:type="dxa"/>
          </w:tcPr>
          <w:p>
            <w:pPr>
              <w:jc w:val="center"/>
              <w:spacing w:before="5" w:after="5"/>
            </w:pPr>
            <w:r/>
            <w:r>
              <w:rPr>
                <w:rFonts w:ascii="Times New Roman" w:hAnsi="Times New Roman"/>
                <w:sz w:val="14"/>
              </w:rPr>
              <w:t>0.67</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$1.69</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-2</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9" w:name="Eq2txt909"/>
      <w:hyperlink w:anchor="Eq2" w:history="1">
        <w:r>
          <w:rPr>
            <w:sz w:val="20"/>
            <w:color w:val="1F3864"/>
            <w:u w:val="single"/>
          </w:rPr>
          <w:t xml:space="preserve">equation (2)</w:t>
        </w:r>
      </w:hyperlink>
      <w:bookmarkEnd w:id="909"/>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10" w:name="Eq1txt910"/>
      <w:hyperlink w:anchor="Eq1" w:history="1">
        <w:r>
          <w:rPr>
            <w:color w:val="1F3864"/>
            <w:u w:val="single"/>
          </w:rPr>
          <w:t xml:space="preserve">equation (1)</w:t>
        </w:r>
      </w:hyperlink>
      <w:bookmarkEnd w:id="910"/>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1" w:name="Eq4txt911"/>
      <w:hyperlink w:anchor="Eq4" w:history="1">
        <w:r>
          <w:rPr>
            <w:color w:val="1F3864"/>
            <w:u w:val="single"/>
          </w:rPr>
          <w:t xml:space="preserve">equation (4)</w:t>
        </w:r>
      </w:hyperlink>
      <w:bookmarkEnd w:id="911"/>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2" w:name="Eq2txt912"/>
      <w:hyperlink w:anchor="Eq2" w:history="1">
        <w:r>
          <w:rPr>
            <w:color w:val="1F3864"/>
            <w:u w:val="single"/>
          </w:rPr>
          <w:t xml:space="preserve">equation (2)</w:t>
        </w:r>
      </w:hyperlink>
      <w:bookmarkEnd w:id="912"/>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seven robustness specifications. The baseline (Form B) applies the efficiency adjustment only to non-hardware costs, with equal weight on governance and grid reliability. The table varies the governance weight, institutional floor, hardware cost share, and functional form.</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efficiency-adjusted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markup</w:t>
            </w:r>
          </w:p>
        </w:tc>
        <w:tc>
          <w:tcPr>
            <w:tcBorders>
              <w:top w:val="single" w:sz="4" w:space="0" w:color="auto"/>
              <w:bottom w:val="single" w:sz="4" w:space="0" w:color="auto"/>
            </w:tcBorders>
            <w:tcW w:w="900" w:type="dxa"/>
          </w:tcPr>
          <w:p>
            <w:pPr>
              <w:jc w:val="center"/>
              <w:spacing w:before="10" w:after="10"/>
            </w:pPr>
            <w:r/>
            <w:r>
              <w:rPr>
                <w:b/>
                <w:sz w:val="16"/>
              </w:rPr>
              <w:t>Spearman ρ vs cr</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(ω=0.50, floor=0.30, ρ=$1.36, Form B)</w:t>
            </w:r>
          </w:p>
        </w:tc>
        <w:tc>
          <w:tcPr>
            <w:tcW w:w="2200" w:type="dxa"/>
          </w:tcPr>
          <w:p>
            <w:pPr>
              <w:spacing w:before="10" w:after="10"/>
            </w:pPr>
            <w:r/>
            <w:r>
              <w:rPr>
                <w:sz w:val="16"/>
              </w:rPr>
              <w:t>ω=0.50, floor=0.30, ρ=$1.36</w:t>
            </w:r>
          </w:p>
        </w:tc>
        <w:tc>
          <w:tcPr>
            <w:tcW w:w="700" w:type="dxa"/>
          </w:tcPr>
          <w:p>
            <w:pPr>
              <w:jc w:val="right"/>
              <w:spacing w:before="10" w:after="10"/>
            </w:pPr>
            <w:r/>
            <w:r>
              <w:rPr>
                <w:sz w:val="16"/>
              </w:rPr>
              <w:t>6</w:t>
            </w:r>
          </w:p>
        </w:tc>
        <w:tc>
          <w:tcPr>
            <w:tcW w:w="700" w:type="dxa"/>
          </w:tcPr>
          <w:p>
            <w:pPr>
              <w:jc w:val="right"/>
              <w:spacing w:before="10" w:after="10"/>
            </w:pPr>
            <w:r/>
            <w:r>
              <w:rPr>
                <w:sz w:val="16"/>
              </w:rPr>
              <w:t>8.9%</w:t>
            </w:r>
          </w:p>
        </w:tc>
        <w:tc>
          <w:tcPr>
            <w:tcW w:w="900" w:type="dxa"/>
          </w:tcPr>
          <w:p>
            <w:pPr>
              <w:jc w:val="right"/>
              <w:spacing w:before="10" w:after="10"/>
            </w:pPr>
            <w:r/>
            <w:r>
              <w:rPr>
                <w:sz w:val="16"/>
              </w:rPr>
              <w:t>0.62</w:t>
            </w:r>
          </w:p>
        </w:tc>
        <w:tc>
          <w:tcPr>
            <w:tcW w:w="2300" w:type="dxa"/>
          </w:tcPr>
          <w:p>
            <w:pPr>
              <w:jc w:val="right"/>
              <w:spacing w:before="10" w:after="10"/>
            </w:pPr>
            <w:r/>
            <w:r>
              <w:rPr>
                <w:sz w:val="16"/>
              </w:rPr>
              <w:t>Canada, Finland, Norway, China, Kyrgyzstan</w:t>
            </w:r>
          </w:p>
        </w:tc>
      </w:tr>
      <w:tr>
        <w:tc>
          <w:tcPr>
            <w:tcW w:w="2000" w:type="dxa"/>
          </w:tcPr>
          <w:p>
            <w:pPr>
              <w:spacing w:before="10" w:after="10"/>
            </w:pPr>
            <w:r/>
            <w:r>
              <w:rPr>
                <w:sz w:val="16"/>
              </w:rPr>
              <w:t>Form A (v26 specification)</w:t>
            </w:r>
          </w:p>
        </w:tc>
        <w:tc>
          <w:tcPr>
            <w:tcW w:w="2200" w:type="dxa"/>
          </w:tcPr>
          <w:p>
            <w:pPr>
              <w:spacing w:before="10" w:after="10"/>
            </w:pPr>
            <w:r/>
            <w:r>
              <w:rPr>
                <w:sz w:val="16"/>
              </w:rPr>
              <w:t>c_adj = c_cr / ξ_eff, ω=0.85, floor=0.50</w:t>
            </w:r>
          </w:p>
        </w:tc>
        <w:tc>
          <w:tcPr>
            <w:tcW w:w="700" w:type="dxa"/>
          </w:tcPr>
          <w:p>
            <w:pPr>
              <w:jc w:val="right"/>
              <w:spacing w:before="10" w:after="10"/>
            </w:pPr>
            <w:r/>
            <w:r>
              <w:rPr>
                <w:sz w:val="16"/>
              </w:rPr>
              <w:t>0</w:t>
            </w:r>
          </w:p>
        </w:tc>
        <w:tc>
          <w:tcPr>
            <w:tcW w:w="700" w:type="dxa"/>
          </w:tcPr>
          <w:p>
            <w:pPr>
              <w:jc w:val="right"/>
              <w:spacing w:before="10" w:after="10"/>
            </w:pPr>
            <w:r/>
            <w:r>
              <w:rPr>
                <w:sz w:val="16"/>
              </w:rPr>
              <w:t>82.6%</w:t>
            </w:r>
          </w:p>
        </w:tc>
        <w:tc>
          <w:tcPr>
            <w:tcW w:w="900" w:type="dxa"/>
          </w:tcPr>
          <w:p>
            <w:pPr>
              <w:jc w:val="right"/>
              <w:spacing w:before="10" w:after="10"/>
            </w:pPr>
            <w:r/>
            <w:r>
              <w:rPr>
                <w:sz w:val="16"/>
              </w:rPr>
              <w:t>-0.37</w:t>
            </w:r>
          </w:p>
        </w:tc>
        <w:tc>
          <w:tcPr>
            <w:tcW w:w="2300" w:type="dxa"/>
          </w:tcPr>
          <w:p>
            <w:pPr>
              <w:jc w:val="right"/>
              <w:spacing w:before="10" w:after="10"/>
            </w:pPr>
            <w:r/>
            <w:r>
              <w:rPr>
                <w:sz w:val="16"/>
              </w:rPr>
              <w:t>Finland, Norway, Canada, Iceland, Sweden</w:t>
            </w:r>
          </w:p>
        </w:tc>
      </w:tr>
      <w:tr>
        <w:tc>
          <w:tcPr>
            <w:tcW w:w="2000" w:type="dxa"/>
          </w:tcPr>
          <w:p>
            <w:pPr>
              <w:spacing w:before="10" w:after="10"/>
            </w:pPr>
            <w:r/>
            <w:r>
              <w:rPr>
                <w:sz w:val="16"/>
              </w:rPr>
              <w:t>No floor (ω=0.50, floor=0.00)</w:t>
            </w:r>
          </w:p>
        </w:tc>
        <w:tc>
          <w:tcPr>
            <w:tcW w:w="2200" w:type="dxa"/>
          </w:tcPr>
          <w:p>
            <w:pPr>
              <w:spacing w:before="10" w:after="10"/>
            </w:pPr>
            <w:r/>
            <w:r>
              <w:rPr>
                <w:sz w:val="16"/>
              </w:rPr>
              <w:t>ω=0.50, floor=0.00</w:t>
            </w:r>
          </w:p>
        </w:tc>
        <w:tc>
          <w:tcPr>
            <w:tcW w:w="700" w:type="dxa"/>
          </w:tcPr>
          <w:p>
            <w:pPr>
              <w:jc w:val="right"/>
              <w:spacing w:before="10" w:after="10"/>
            </w:pPr>
            <w:r/>
            <w:r>
              <w:rPr>
                <w:sz w:val="16"/>
              </w:rPr>
              <w:t>3</w:t>
            </w:r>
          </w:p>
        </w:tc>
        <w:tc>
          <w:tcPr>
            <w:tcW w:w="700" w:type="dxa"/>
          </w:tcPr>
          <w:p>
            <w:pPr>
              <w:jc w:val="right"/>
              <w:spacing w:before="10" w:after="10"/>
            </w:pPr>
            <w:r/>
            <w:r>
              <w:rPr>
                <w:sz w:val="16"/>
              </w:rPr>
              <w:t>26.1%</w:t>
            </w:r>
          </w:p>
        </w:tc>
        <w:tc>
          <w:tcPr>
            <w:tcW w:w="900" w:type="dxa"/>
          </w:tcPr>
          <w:p>
            <w:pPr>
              <w:jc w:val="right"/>
              <w:spacing w:before="10" w:after="10"/>
            </w:pPr>
            <w:r/>
            <w:r>
              <w:rPr>
                <w:sz w:val="16"/>
              </w:rPr>
              <w:t>0.23</w:t>
            </w:r>
          </w:p>
        </w:tc>
        <w:tc>
          <w:tcPr>
            <w:tcW w:w="2300" w:type="dxa"/>
          </w:tcPr>
          <w:p>
            <w:pPr>
              <w:jc w:val="right"/>
              <w:spacing w:before="10" w:after="10"/>
            </w:pPr>
            <w:r/>
            <w:r>
              <w:rPr>
                <w:sz w:val="16"/>
              </w:rPr>
              <w:t>Canada, Finland, Norway, Sweden, China</w:t>
            </w:r>
          </w:p>
        </w:tc>
      </w:tr>
      <w:tr>
        <w:tc>
          <w:tcPr>
            <w:tcW w:w="2000" w:type="dxa"/>
          </w:tcPr>
          <w:p>
            <w:pPr>
              <w:spacing w:before="10" w:after="10"/>
            </w:pPr>
            <w:r/>
            <w:r>
              <w:rPr>
                <w:sz w:val="16"/>
              </w:rPr>
              <w:t>High floor (ω=0.50, floor=0.50)</w:t>
            </w:r>
          </w:p>
        </w:tc>
        <w:tc>
          <w:tcPr>
            <w:tcW w:w="2200" w:type="dxa"/>
          </w:tcPr>
          <w:p>
            <w:pPr>
              <w:spacing w:before="10" w:after="10"/>
            </w:pPr>
            <w:r/>
            <w:r>
              <w:rPr>
                <w:sz w:val="16"/>
              </w:rPr>
              <w:t>ω=0.50, floor=0.50</w:t>
            </w:r>
          </w:p>
        </w:tc>
        <w:tc>
          <w:tcPr>
            <w:tcW w:w="700" w:type="dxa"/>
          </w:tcPr>
          <w:p>
            <w:pPr>
              <w:jc w:val="right"/>
              <w:spacing w:before="10" w:after="10"/>
            </w:pPr>
            <w:r/>
            <w:r>
              <w:rPr>
                <w:sz w:val="16"/>
              </w:rPr>
              <w:t>9</w:t>
            </w:r>
          </w:p>
        </w:tc>
        <w:tc>
          <w:tcPr>
            <w:tcW w:w="700" w:type="dxa"/>
          </w:tcPr>
          <w:p>
            <w:pPr>
              <w:jc w:val="right"/>
              <w:spacing w:before="10" w:after="10"/>
            </w:pPr>
            <w:r/>
            <w:r>
              <w:rPr>
                <w:sz w:val="16"/>
              </w:rPr>
              <w:t>5.0%</w:t>
            </w:r>
          </w:p>
        </w:tc>
        <w:tc>
          <w:tcPr>
            <w:tcW w:w="900" w:type="dxa"/>
          </w:tcPr>
          <w:p>
            <w:pPr>
              <w:jc w:val="right"/>
              <w:spacing w:before="10" w:after="10"/>
            </w:pPr>
            <w:r/>
            <w:r>
              <w:rPr>
                <w:sz w:val="16"/>
              </w:rPr>
              <w:t>0.82</w:t>
            </w:r>
          </w:p>
        </w:tc>
        <w:tc>
          <w:tcPr>
            <w:tcW w:w="2300" w:type="dxa"/>
          </w:tcPr>
          <w:p>
            <w:pPr>
              <w:jc w:val="right"/>
              <w:spacing w:before="10" w:after="10"/>
            </w:pPr>
            <w:r/>
            <w:r>
              <w:rPr>
                <w:sz w:val="16"/>
              </w:rPr>
              <w:t>Canada, Kyrgyzstan, China, Finland, Norway</w:t>
            </w:r>
          </w:p>
        </w:tc>
      </w:tr>
      <w:tr>
        <w:tc>
          <w:tcPr>
            <w:tcW w:w="2000" w:type="dxa"/>
          </w:tcPr>
          <w:p>
            <w:pPr>
              <w:spacing w:before="10" w:after="10"/>
            </w:pPr>
            <w:r/>
            <w:r>
              <w:rPr>
                <w:sz w:val="16"/>
              </w:rPr>
              <w:t>High governance weight (ω=0.85)</w:t>
            </w:r>
          </w:p>
        </w:tc>
        <w:tc>
          <w:tcPr>
            <w:tcW w:w="2200" w:type="dxa"/>
          </w:tcPr>
          <w:p>
            <w:pPr>
              <w:spacing w:before="10" w:after="10"/>
            </w:pPr>
            <w:r/>
            <w:r>
              <w:rPr>
                <w:sz w:val="16"/>
              </w:rPr>
              <w:t>ω=0.85, floor=0.30</w:t>
            </w:r>
          </w:p>
        </w:tc>
        <w:tc>
          <w:tcPr>
            <w:tcW w:w="700" w:type="dxa"/>
          </w:tcPr>
          <w:p>
            <w:pPr>
              <w:jc w:val="right"/>
              <w:spacing w:before="10" w:after="10"/>
            </w:pPr>
            <w:r/>
            <w:r>
              <w:rPr>
                <w:sz w:val="16"/>
              </w:rPr>
              <w:t>5</w:t>
            </w:r>
          </w:p>
        </w:tc>
        <w:tc>
          <w:tcPr>
            <w:tcW w:w="700" w:type="dxa"/>
          </w:tcPr>
          <w:p>
            <w:pPr>
              <w:jc w:val="right"/>
              <w:spacing w:before="10" w:after="10"/>
            </w:pPr>
            <w:r/>
            <w:r>
              <w:rPr>
                <w:sz w:val="16"/>
              </w:rPr>
              <w:t>13.6%</w:t>
            </w:r>
          </w:p>
        </w:tc>
        <w:tc>
          <w:tcPr>
            <w:tcW w:w="900" w:type="dxa"/>
          </w:tcPr>
          <w:p>
            <w:pPr>
              <w:jc w:val="right"/>
              <w:spacing w:before="10" w:after="10"/>
            </w:pPr>
            <w:r/>
            <w:r>
              <w:rPr>
                <w:sz w:val="16"/>
              </w:rPr>
              <w:t>0.46</w:t>
            </w:r>
          </w:p>
        </w:tc>
        <w:tc>
          <w:tcPr>
            <w:tcW w:w="2300" w:type="dxa"/>
          </w:tcPr>
          <w:p>
            <w:pPr>
              <w:jc w:val="right"/>
              <w:spacing w:before="10" w:after="10"/>
            </w:pPr>
            <w:r/>
            <w:r>
              <w:rPr>
                <w:sz w:val="16"/>
              </w:rPr>
              <w:t>Canada, Finland, Norway, Sweden, China</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3</w:t>
            </w:r>
          </w:p>
        </w:tc>
        <w:tc>
          <w:tcPr>
            <w:tcW w:w="700" w:type="dxa"/>
          </w:tcPr>
          <w:p>
            <w:pPr>
              <w:jc w:val="right"/>
              <w:spacing w:before="10" w:after="10"/>
            </w:pPr>
            <w:r/>
            <w:r>
              <w:rPr>
                <w:sz w:val="16"/>
              </w:rPr>
              <w:t>13.8%</w:t>
            </w:r>
          </w:p>
        </w:tc>
        <w:tc>
          <w:tcPr>
            <w:tcW w:w="900" w:type="dxa"/>
          </w:tcPr>
          <w:p>
            <w:pPr>
              <w:jc w:val="right"/>
              <w:spacing w:before="10" w:after="10"/>
            </w:pPr>
            <w:r/>
            <w:r>
              <w:rPr>
                <w:sz w:val="16"/>
              </w:rPr>
              <w:t>0.35</w:t>
            </w:r>
          </w:p>
        </w:tc>
        <w:tc>
          <w:tcPr>
            <w:tcW w:w="2300" w:type="dxa"/>
          </w:tcPr>
          <w:p>
            <w:pPr>
              <w:jc w:val="right"/>
              <w:spacing w:before="10" w:after="10"/>
            </w:pPr>
            <w:r/>
            <w:r>
              <w:rPr>
                <w:sz w:val="16"/>
              </w:rPr>
              <w:t>Canada, Finland, Norway, Sweden, China</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10</w:t>
            </w:r>
          </w:p>
        </w:tc>
        <w:tc>
          <w:tcPr>
            <w:tcBorders>
              <w:bottom w:val="double" w:sz="4" w:space="0" w:color="auto"/>
            </w:tcBorders>
            <w:tcW w:w="700" w:type="dxa"/>
          </w:tcPr>
          <w:p>
            <w:pPr>
              <w:jc w:val="right"/>
              <w:spacing w:before="10" w:after="10"/>
            </w:pPr>
            <w:r/>
            <w:r>
              <w:rPr>
                <w:sz w:val="16"/>
              </w:rPr>
              <w:t>5.1%</w:t>
            </w:r>
          </w:p>
        </w:tc>
        <w:tc>
          <w:tcPr>
            <w:tcBorders>
              <w:bottom w:val="double" w:sz="4" w:space="0" w:color="auto"/>
            </w:tcBorders>
            <w:tcW w:w="900" w:type="dxa"/>
          </w:tcPr>
          <w:p>
            <w:pPr>
              <w:jc w:val="right"/>
              <w:spacing w:before="10" w:after="10"/>
            </w:pPr>
            <w:r/>
            <w:r>
              <w:rPr>
                <w:sz w:val="16"/>
              </w:rPr>
              <w:t>0.86</w:t>
            </w:r>
          </w:p>
        </w:tc>
        <w:tc>
          <w:tcPr>
            <w:tcBorders>
              <w:bottom w:val="double" w:sz="4" w:space="0" w:color="auto"/>
            </w:tcBorders>
            <w:tcW w:w="2300" w:type="dxa"/>
          </w:tcPr>
          <w:p>
            <w:pPr>
              <w:jc w:val="right"/>
              <w:spacing w:before="10" w:after="10"/>
            </w:pPr>
            <w:r/>
            <w:r>
              <w:rPr>
                <w:sz w:val="16"/>
              </w:rPr>
              <w:t>Kyrgyzstan, Canada, Ethiopia, China, Kosovo</w:t>
            </w:r>
          </w:p>
        </w:tc>
      </w:tr>
    </w:tbl>
    <w:p>
      <w:pPr>
        <w:spacing w:before="0" w:after="0" w:line="240" w:lineRule="auto"/>
        <w:ind w:firstLine="0"/>
        <w:jc w:val="left"/>
      </w:pPr>
      <w:r>
        <w:rPr>
          <w:sz w:val="20"/>
        </w:rPr>
        <w:t>Notes: Each row applies Form B (c_adj = ρ + (c_cr − ρ) / ξ_eff) unless stated otherwise. Dev top 15 = number of developing countries in top 15 under efficiency-adjusted ranking. Max markup = maximum percentage increase in adjusted cost over cost-recovery cost. Spearman ρ vs cr = rank correlation between efficiency-adjusted and cost-recovery rankings.</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