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v22  —  February 22, 2026  01:47</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sovereignty premium captures governments’ preference for domestic data processing. Calibration across 85 countries shows that energy-abundant economies have a comparative advantage in training compute, while regional inference hubs form around major demand centers. Because hardware costs are globally uniform, cross-country cost differences are small, making institutional quality, reliability,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4" w:name="EpochAI2024txt"/>
      <w:hyperlink w:anchor="EpochAI2024" w:history="1">
        <w:r>
          <w:rPr>
            <w:color w:val="1F3864"/>
            <w:u w:val="single"/>
          </w:rPr>
          <w:t xml:space="preserve">Epoch AI 2024</w:t>
        </w:r>
      </w:hyperlink>
      <w:bookmarkEnd w:id="234"/>
      <w:r>
        <w:t xml:space="preserve">). Data centers accounted for approximately 1.5% of global electricity demand in 2024—more than the electricity consumption of France—a share projected to more than double by 2030 (</w:t>
      </w:r>
      <w:bookmarkStart w:id="248" w:name="IEA2025txt"/>
      <w:hyperlink w:anchor="IEA2025" w:history="1">
        <w:r>
          <w:rPr>
            <w:color w:val="1F3864"/>
            <w:u w:val="single"/>
          </w:rPr>
          <w:t xml:space="preserve">IEA 2025</w:t>
        </w:r>
      </w:hyperlink>
      <w:bookmarkEnd w:id="248"/>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FLOP exporting is a form of value chain upgrading.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rPr>
          <w:rStyle w:val="FootnoteReference"/>
        </w:rPr>
        <w:footnoteReference w:id="4"/>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5" w:name="WorldBank2024txt"/>
      <w:hyperlink w:anchor="WorldBank2024" w:history="1">
        <w:r>
          <w:rPr>
            <w:color w:val="1F3864"/>
            <w:u w:val="single"/>
          </w:rPr>
          <w:t xml:space="preserve">World Bank 2024</w:t>
        </w:r>
      </w:hyperlink>
      <w:bookmarkEnd w:id="235"/>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6" w:name="Sastry2024txt"/>
      <w:hyperlink w:anchor="Sastry2024" w:history="1">
        <w:r>
          <w:rPr>
            <w:color w:val="1F3864"/>
            <w:u w:val="single"/>
          </w:rPr>
          <w:t xml:space="preserve">Sastry et al. 2024</w:t>
        </w:r>
      </w:hyperlink>
      <w:bookmarkEnd w:id="236"/>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7" w:name="Pilz2025txt"/>
      <w:hyperlink w:anchor="Pilz2025" w:history="1">
        <w:r>
          <w:rPr>
            <w:color w:val="1F3864"/>
            <w:u w:val="single"/>
          </w:rPr>
          <w:t xml:space="preserve">Pilz et al. 2025</w:t>
        </w:r>
      </w:hyperlink>
      <w:bookmarkEnd w:id="237"/>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facing an iceberg trade cost that captures inference latency degradation and a sovereignty premium reflecting governments’ preference for domestic data processing. Capacity ceilings generate market-clearing prices and scarcity rents, yielding predictions about market concentration, export patterns, and the value of grid expansion.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across 85 countries. Since electricity and construction account for only a small share of total cost, cross-country cost differences are narrow. Once reliability penalties for grid outages, weak governance, and sanctions exposure are applied, the cost ranking changes substantially. Several energy-abundant but institutionally fragile economies fall out of the top tier, replaced by countries with more reliable grids and stronger institutions at moderately higher energy costs. Durable comparative advantage requires credible reliability and institutional quality alongside low energy costs.</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and discusses the results. Section 7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49" w:name="Hausmann2007txt"/>
      <w:hyperlink w:anchor="Hausmann2007" w:history="1">
        <w:r>
          <w:rPr>
            <w:color w:val="1F3864"/>
            <w:u w:val="single"/>
          </w:rPr>
          <w:t xml:space="preserve">Hausmann et al. (2007)</w:t>
        </w:r>
      </w:hyperlink>
      <w:bookmarkEnd w:id="249"/>
      <w:r>
        <w:t xml:space="preserve">, who show that what a country exports matters for growth. </w:t>
      </w:r>
      <w:bookmarkStart w:id="238" w:name="Limao2001txt"/>
      <w:hyperlink w:anchor="Limao2001" w:history="1">
        <w:r>
          <w:rPr>
            <w:color w:val="1F3864"/>
            <w:u w:val="single"/>
          </w:rPr>
          <w:t xml:space="preserve">Limão and Venables (2001)</w:t>
        </w:r>
      </w:hyperlink>
      <w:bookmarkEnd w:id="238"/>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50" w:name="Liu2023txt"/>
      <w:hyperlink w:anchor="Liu2023" w:history="1">
        <w:r>
          <w:rPr>
            <w:color w:val="1F3864"/>
            <w:u w:val="single"/>
          </w:rPr>
          <w:t xml:space="preserve">Liu et al. (2023)</w:t>
        </w:r>
      </w:hyperlink>
      <w:bookmarkEnd w:id="250"/>
      <w:r>
        <w:t xml:space="preserve"> study data center placement under renewable energy constraints. These studies focus on where firms should build data centers. In international trade theory, </w:t>
      </w:r>
      <w:bookmarkStart w:id="255" w:name="Brainard1997txt"/>
      <w:hyperlink w:anchor="Brainard1997" w:history="1">
        <w:r>
          <w:rPr>
            <w:color w:val="1F3864"/>
            <w:u w:val="single"/>
          </w:rPr>
          <w:t xml:space="preserve">Brainard (1997)</w:t>
        </w:r>
      </w:hyperlink>
      <w:bookmarkEnd w:id="255"/>
      <w:r>
        <w:t xml:space="preserve"> formalizes the proximity-concentration trade-off between serving a market locally and concentrating production abroad, and </w:t>
      </w:r>
      <w:bookmarkStart w:id="239" w:name="HMY2004txt"/>
      <w:hyperlink w:anchor="HMY2004" w:history="1">
        <w:r>
          <w:rPr>
            <w:color w:val="1F3864"/>
            <w:u w:val="single"/>
          </w:rPr>
          <w:t xml:space="preserve">Helpman et al. (2004)</w:t>
        </w:r>
      </w:hyperlink>
      <w:bookmarkEnd w:id="239"/>
      <w:r>
        <w:t xml:space="preserve"> extend this to heterogeneous firms choosing between exporting and FDI.</w:t>
      </w:r>
    </w:p>
    <w:p>
      <w:pPr>
        <w:spacing w:before="0" w:after="160"/>
        <w:ind w:firstLine="0"/>
        <w:jc w:val="both"/>
      </w:pPr>
      <w:r>
        <w:t xml:space="preserve">On the governance side, </w:t>
      </w:r>
      <w:bookmarkStart w:id="240" w:name="Sastry2024txt"/>
      <w:hyperlink w:anchor="Sastry2024" w:history="1">
        <w:r>
          <w:rPr>
            <w:color w:val="1F3864"/>
            <w:u w:val="single"/>
          </w:rPr>
          <w:t xml:space="preserve">Sastry et al. (2024)</w:t>
        </w:r>
      </w:hyperlink>
      <w:bookmarkEnd w:id="240"/>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6" w:name="Pilz2025txt"/>
      <w:hyperlink w:anchor="Pilz2025" w:history="1">
        <w:r>
          <w:rPr>
            <w:color w:val="1F3864"/>
            <w:u w:val="single"/>
          </w:rPr>
          <w:t xml:space="preserve">Pilz et al. (2025)</w:t>
        </w:r>
      </w:hyperlink>
      <w:bookmarkEnd w:id="256"/>
      <w:r>
        <w:t xml:space="preserve"> project that AI data center power demand could reach 327 GW by 2030 and that domestic power shortages may push compute infrastructure abroad. The </w:t>
      </w:r>
      <w:bookmarkStart w:id="257" w:name="WorldBank2025txt"/>
      <w:hyperlink w:anchor="WorldBank2025" w:history="1">
        <w:r>
          <w:rPr>
            <w:color w:val="1F3864"/>
            <w:u w:val="single"/>
          </w:rPr>
          <w:t xml:space="preserve">World Bank (2025)</w:t>
        </w:r>
      </w:hyperlink>
      <w:bookmarkEnd w:id="257"/>
      <w:r>
        <w:t xml:space="preserve"> documents the resulting global compute divide: high-income countries hold 77% of colocation data center capacity and account for 87% of cloud computing exports (</w:t>
      </w:r>
      <w:bookmarkStart w:id="251" w:name="Stojkoski2024txt"/>
      <w:hyperlink w:anchor="Stojkoski2024" w:history="1">
        <w:r>
          <w:rPr>
            <w:color w:val="1F3864"/>
            <w:u w:val="single"/>
          </w:rPr>
          <w:t xml:space="preserve">Stojkoski et al. 2024</w:t>
        </w:r>
      </w:hyperlink>
      <w:bookmarkEnd w:id="251"/>
      <w:r>
        <w:t xml:space="preserve">), but the report offers descriptive evidence without a formal framework linking production costs to trade patterns. On the industrial organization side, </w:t>
      </w:r>
      <w:bookmarkStart w:id="241" w:name="Biglaiser2024txt"/>
      <w:hyperlink w:anchor="Biglaiser2024" w:history="1">
        <w:r>
          <w:rPr>
            <w:color w:val="1F3864"/>
            <w:u w:val="single"/>
          </w:rPr>
          <w:t xml:space="preserve">Biglaiser et al. (2024)</w:t>
        </w:r>
      </w:hyperlink>
      <w:bookmarkEnd w:id="241"/>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The existing literature documents where compute infrastructure is located and who controls it, but no formal framework links production costs to trade patterns. 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r>
        <w:rPr>
          <w:rStyle w:val="FootnoteReference"/>
        </w:rPr>
        <w:footnoteReference w:id="6"/>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160"/>
        <w:ind w:firstLine="0"/>
        <w:jc w:val="both"/>
      </w:pPr>
      <w:r>
        <w:t xml:space="preserve">Governments and firms may prefer to process data domestically for national security, regulatory compliance, or political reasons. This is captured by a </w:t>
      </w:r>
      <w:r>
        <w:rPr>
          <w:i/>
        </w:rPr>
        <w:t>sovereignty premium</w:t>
      </w:r>
      <w:r>
        <w:t xml:space="preserve"> </w:t>
      </w:r>
      <m:oMath>
        <m:r>
          <m:rPr>
            <m:sty m:val="i"/>
          </m:rPr>
          <w:rPr>
            <w:rFonts w:ascii="Cambria Math" w:hAnsi="Cambria Math"/>
          </w:rPr>
          <m:t xml:space="preserve">λ</m:t>
        </m:r>
        <m:r>
          <m:rPr>
            <m:sty m:val="p"/>
          </m:rPr>
          <w:rPr>
            <w:rFonts w:ascii="Cambria Math" w:hAnsi="Cambria Math"/>
          </w:rPr>
          <m:t xml:space="preserve"> ≥ 0</m:t>
        </m:r>
      </m:oMath>
      <w:r>
        <w:t xml:space="preserve">, which acts as a proportional markup on the cost of foreign-sourced compute. When a country sources compute from a foreign seller, the effective cost is inflated by the factor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m:t>
        </m:r>
      </m:oMath>
      <w:r>
        <w:t>. The sovereignty premium is zero for domestic production.</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 xml:space="preserve">where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λ</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and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0</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 1]</m:t>
        </m:r>
      </m:oMath>
      <w:r>
        <w:t xml:space="preserve"> is a reliability index that captures institutional factors, such as grid outages, regulatory unpredictability, and sanctions risk, that reduce effective output. It approaches one for countries with stable institutions and reliable power, and falls well below one where outages or sanctions reduce effective delivery. 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This iceberg formulation parallels </w:t>
      </w:r>
      <w:bookmarkStart w:id="210" w:name="Hummels2013txt"/>
      <w:hyperlink w:anchor="Hummels2013" w:history="1">
        <w:r>
          <w:rPr>
            <w:color w:val="1F3864"/>
            <w:u w:val="single"/>
          </w:rPr>
          <w:t xml:space="preserve">Hummels and Schaur (2013)</w:t>
        </w:r>
      </w:hyperlink>
      <w:bookmarkEnd w:id="210"/>
      <w:r>
        <w:t xml:space="preserve">, who estimate that each day of shipping time is equivalent to a tariff; here, milliseconds replace days.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reduces to the production cost plus the sovereignty markup, and distance plays no role.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can be considered to be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sovereignty premium, is lower than producing domestically: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5, every training exporter also exports inference within its latency neighborhood.</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sovereignty premium </w:t>
      </w:r>
      <m:oMath>
        <m:r>
          <m:rPr>
            <m:sty m:val="i"/>
          </m:rPr>
          <w:rPr>
            <w:rFonts w:ascii="Cambria Math" w:hAnsi="Cambria Math"/>
          </w:rPr>
          <m:t xml:space="preserve">λ</m:t>
        </m:r>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so the sovereignty premium is large enough to justify domestic production of both training and inference.(v)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5). A country that produces training domestically cannot import inference, because the sovereignty premium that justifies domestic training also justifies domestic inference, which additionally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(Shadow Value and Grid Expansion). </w:t>
      </w:r>
      <w:r>
        <w:t xml:space="preserve">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least profitable active use (Section 3.4). Grid expansion is warranted if and only if the amortized per-GPU-hour cost of grid infrastructure </w:t>
      </w:r>
      <m:oMath>
        <m:sSub>
          <m:sSubPr/>
          <m:e>
            <m:r>
              <m:rPr>
                <m:sty m:val="i"/>
              </m:rPr>
              <w:rPr>
                <w:rFonts w:ascii="Cambria Math" w:hAnsi="Cambria Math"/>
              </w:rPr>
              <m:t xml:space="preserve">g</m:t>
            </m:r>
          </m:e>
          <m:sub>
            <m:r>
              <m:rPr>
                <m:sty m:val="i"/>
              </m:rPr>
              <w:rPr>
                <w:rFonts w:ascii="Cambria Math" w:hAnsi="Cambria Math"/>
              </w:rPr>
              <m:t xml:space="preserve">j</m:t>
            </m:r>
          </m:sub>
        </m:sSub>
      </m:oMath>
      <w:r>
        <w:t xml:space="preserve"> satisfies </w:t>
      </w:r>
      <m:oMath>
        <m:sSub>
          <m:sSubPr/>
          <m:e>
            <m:r>
              <m:rPr>
                <m:sty m:val="i"/>
              </m:rPr>
              <w:rPr>
                <w:rFonts w:ascii="Cambria Math" w:hAnsi="Cambria Math"/>
              </w:rPr>
              <m:t xml:space="preserve">g</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μ</m:t>
            </m:r>
          </m:e>
          <m:sub>
            <m:r>
              <m:rPr>
                <m:sty m:val="i"/>
              </m:rPr>
              <w:rPr>
                <w:rFonts w:ascii="Cambria Math" w:hAnsi="Cambria Math"/>
              </w:rPr>
              <m:t xml:space="preserve">j</m:t>
            </m:r>
          </m:sub>
        </m:sSub>
      </m:oMath>
      <w:r>
        <w:t>. This follows directly from the concavity of the rent function.</w:t>
      </w:r>
    </w:p>
    <w:p>
      <w:pPr>
        <w:spacing w:before="0" w:after="160"/>
        <w:ind w:firstLine="0"/>
        <w:jc w:val="both"/>
      </w:pPr>
      <w:r>
        <w:rPr>
          <w:b/>
          <w:i/>
        </w:rPr>
        <w:t xml:space="preserve">Proposition 5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 (2), and (3) requires data on electricity prices, temperatures, construction costs, and bilateral latencies. </w:t>
      </w:r>
    </w:p>
    <w:p>
      <w:pPr>
        <w:spacing w:before="0" w:after="160"/>
        <w:ind w:firstLine="0"/>
        <w:jc w:val="both"/>
      </w:pPr>
      <w:r>
        <w:rPr>
          <w:rFonts w:ascii="Times New Roman" w:hAnsi="Times New Roman"/>
          <w:b w:val="0"/>
          <w:i/>
          <w:sz w:val="24"/>
        </w:rPr>
        <w:t xml:space="preserve">Electricity prices. </w:t>
      </w:r>
      <w:r>
        <w:t xml:space="preserve">For European countries, the paper uses prices from Eurostat (industrial band, 20,000–69,999) (</w:t>
      </w:r>
      <w:bookmarkStart w:id="242" w:name="Eurostat2025txt"/>
      <w:hyperlink w:anchor="Eurostat2025" w:history="1">
        <w:r>
          <w:rPr>
            <w:color w:val="1F3864"/>
            <w:u w:val="single"/>
          </w:rPr>
          <w:t xml:space="preserve">Eurostat 2025</w:t>
        </w:r>
      </w:hyperlink>
      <w:bookmarkEnd w:id="242"/>
      <w:r>
        <w:t xml:space="preserve">). For non-European countries, the prices are obtained from national regulator tariff sheets and secondary sources, including the U.S. Energy Information Administration (</w:t>
      </w:r>
      <w:bookmarkStart w:id="252" w:name="EIA2025txt"/>
      <w:hyperlink w:anchor="EIA2025" w:history="1">
        <w:r>
          <w:rPr>
            <w:color w:val="1F3864"/>
            <w:u w:val="single"/>
          </w:rPr>
          <w:t xml:space="preserve">EIA 2025</w:t>
        </w:r>
      </w:hyperlink>
      <w:bookmarkEnd w:id="252"/>
      <w:r>
        <w:t xml:space="preserve">) for the United States, KEPCO for South Korea,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computed from ERA5 reanalysis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r>
        <w:rPr>
          <w:rStyle w:val="FootnoteReference"/>
        </w:rPr>
        <w:footnoteReference w:id="12"/>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3txt901"/>
      <w:hyperlink w:anchor="Eq3" w:history="1">
        <w:r>
          <w:rPr>
            <w:color w:val="1F3864"/>
            <w:u w:val="single"/>
          </w:rPr>
          <w:t xml:space="preserve">equation (3)</w:t>
        </w:r>
      </w:hyperlink>
      <w:bookmarkEnd w:id="901"/>
      <w:r>
        <w:t xml:space="preserve">. For the top 15 markets, capacity estimates come from industry reports (Synergy Research, Cushman &amp; Wakefield, CBRE, Mordor Intelligence).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pStyle w:val="Heading1"/>
      </w:pPr>
      <w:r>
        <w:rPr>
          <w:rFonts w:ascii="Times New Roman" w:hAnsi="Times New Roman"/>
          <w:b/>
          <w:color w:val="2F5496"/>
          <w:sz w:val="28"/>
        </w:rPr>
        <w:t>6. Calibration and Discussion</w:t>
      </w:r>
    </w:p>
    <w:p>
      <w:pPr>
        <w:spacing w:before="0" w:after="160"/>
        <w:ind w:firstLine="0"/>
        <w:jc w:val="both"/>
      </w:pPr>
      <w:r>
        <w:t xml:space="preserve">The model is calibrated for </w:t>
      </w:r>
      <m:oMath>
        <m:r>
          <m:rPr>
            <m:sty m:val="i"/>
          </m:rPr>
          <w:rPr>
            <w:rFonts w:ascii="Cambria Math" w:hAnsi="Cambria Math"/>
          </w:rPr>
          <m:t xml:space="preserve">N</m:t>
        </m:r>
        <m:r>
          <m:rPr>
            <m:sty m:val="p"/>
          </m:rPr>
          <w:rPr>
            <w:rFonts w:ascii="Cambria Math" w:hAnsi="Cambria Math"/>
          </w:rPr>
          <m:t xml:space="preserve"> = 85</m:t>
        </m:r>
      </m:oMath>
      <w:r>
        <w:t xml:space="preserve"> countries (30 in ECA, 55 non-ECA comparators).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measured in dollars per GPU-hour ($/hr).</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fleet-wide PUE for facilities with free-air cooling in cold climates (</w:t>
      </w:r>
      <w:bookmarkStart w:id="216" w:name="UptimeInstitute2024txt"/>
      <w:hyperlink w:anchor="UptimeInstitute2024" w:history="1">
        <w:r>
          <w:rPr>
            <w:color w:val="1F3864"/>
            <w:u w:val="single"/>
          </w:rPr>
          <w:t xml:space="preserve">Uptime Institute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thermal design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w:t>
      </w:r>
      <w:bookmarkStart w:id="253" w:name="NVIDIA2024txt"/>
      <w:hyperlink w:anchor="NVIDIA2024" w:history="1">
        <w:r>
          <w:rPr>
            <w:color w:val="1F3864"/>
            <w:u w:val="single"/>
          </w:rPr>
          <w:t xml:space="preserve">NVIDIA 2024</w:t>
        </w:r>
      </w:hyperlink>
      <w:bookmarkEnd w:id="253"/>
      <w:r>
        <w:t xml:space="preserve">). Google’s fleet-wide GPU utilization, after years of optimization with custom schedulers and workload packing, runs in the 60–75% range (</w:t>
      </w:r>
      <w:bookmarkStart w:id="243" w:name="Barroso2018txt"/>
      <w:hyperlink w:anchor="Barroso2018" w:history="1">
        <w:r>
          <w:rPr>
            <w:color w:val="1F3864"/>
            <w:u w:val="single"/>
          </w:rPr>
          <w:t xml:space="preserve">Barroso et al. 2018</w:t>
        </w:r>
      </w:hyperlink>
      <w:bookmarkEnd w:id="243"/>
      <w:r>
        <w:t xml:space="preserve">). A new entrant would likely achieve 40–60% utilization in the early years, roughly doubling the effective hardware cost per useful GPU-hour.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InfiniBand interconnect fabric amortized over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Table A1.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GPU vintage. </w:t>
      </w:r>
      <w:r>
        <w:t>The calibration uses the NVIDIA H100, but successor GPUs (B200, shipping 2025) draw approximately 1,000W versus 700W and deliver roughly four times the training throughput. Higher power draw widens the absolute electricity cost gap across countries, modestly strengthening developing-country comparative advantage. However, late entrants selling older-generation GPU-hours must discount to compete with competitors using newer hardware, potentially eroding their cost advantage. Since hardware amortization remains 80–85 percent of total cost across GPU generations, the qualitative findings are robust to hardware choice.</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a latency difference of 100 ms (roughly the intercontinental round-trip between Europe and East Asia) imposes an 8% cost penalty, broadly consistent with the finding in </w:t>
      </w:r>
      <w:bookmarkStart w:id="221" w:name="Deloitte2020txt"/>
      <w:hyperlink w:anchor="Deloitte2020" w:history="1">
        <w:r>
          <w:rPr>
            <w:color w:val="1F3864"/>
            <w:u w:val="single"/>
          </w:rPr>
          <w:t xml:space="preserve">Deloitte (2020)</w:t>
        </w:r>
      </w:hyperlink>
      <w:bookmarkEnd w:id="221"/>
      <w:r>
        <w:t xml:space="preserve"> that a 0.1-second improvement in page load time raises e-commerce conversion rates by 8.4%.</w:t>
      </w:r>
      <w:r>
        <w:rPr>
          <w:rStyle w:val="FootnoteReference"/>
        </w:rPr>
        <w:footnoteReference w:id="14"/>
      </w:r>
      <w:r>
        <w:t xml:space="preserve"> The sovereignty premium is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w:t>
      </w:r>
      <w:r>
        <w:rPr>
          <w:rStyle w:val="FootnoteReference"/>
        </w:rPr>
        <w:footnoteReference w:id="15"/>
      </w:r>
      <w:r>
        <w:t xml:space="preserve"> Construction costs are amortized over 15 years.</w:t>
      </w:r>
    </w:p>
    <w:p>
      <w:pPr>
        <w:spacing w:before="0" w:after="160"/>
        <w:ind w:firstLine="0"/>
        <w:jc w:val="both"/>
      </w:pPr>
      <w:r>
        <w:rPr>
          <w:rFonts w:ascii="Times New Roman" w:hAnsi="Times New Roman"/>
          <w:b w:val="0"/>
          <w:i/>
          <w:sz w:val="24"/>
        </w:rPr>
        <w:t xml:space="preserve">Reliability. </w:t>
      </w:r>
      <w:r>
        <w:t xml:space="preserve">The reliability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from </w:t>
      </w:r>
      <w:bookmarkStart w:id="902" w:name="Eq2txt902"/>
      <w:hyperlink w:anchor="Eq2" w:history="1">
        <w:r>
          <w:rPr>
            <w:color w:val="1F3864"/>
            <w:u w:val="single"/>
          </w:rPr>
          <w:t xml:space="preserve">equation (2)</w:t>
        </w:r>
      </w:hyperlink>
      <w:bookmarkEnd w:id="902"/>
      <w:r>
        <w:t xml:space="preserve"> is constructed as the product of three normalized scores for governance quality (</w:t>
      </w:r>
      <w:bookmarkStart w:id="223" w:name="WorldBank2024txt"/>
      <w:hyperlink w:anchor="WorldBank2024" w:history="1">
        <w:r>
          <w:rPr>
            <w:color w:val="1F3864"/>
            <w:u w:val="single"/>
          </w:rPr>
          <w:t xml:space="preserve">World Bank</w:t>
        </w:r>
      </w:hyperlink>
      <w:bookmarkEnd w:id="223"/>
      <w:r>
        <w:t xml:space="preserve"> Worldwide Governance Indicators, Rule of Law percentile, rescaled to [0, 1]), grid reliability (inverse of hours without electricity per firm per year, from the </w:t>
      </w:r>
      <w:bookmarkStart w:id="244" w:name="WorldBank2024txt"/>
      <w:hyperlink w:anchor="WorldBank2024" w:history="1">
        <w:r>
          <w:rPr>
            <w:color w:val="1F3864"/>
            <w:u w:val="single"/>
          </w:rPr>
          <w:t xml:space="preserve">World Bank</w:t>
        </w:r>
      </w:hyperlink>
      <w:bookmarkEnd w:id="244"/>
      <w:r>
        <w:t xml:space="preserve"> Enterprise Surveys), and sanctions exposure (0 for unrestricted, 0.5 for comprehensive sanctions). For OECD countries with negligible outages and no sanctions,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For countries under heavy sanctions (Iran, Russia, Belarus),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0.50</m:t>
        </m:r>
      </m:oMath>
      <w:r>
        <w:t xml:space="preserve">. Developing countries with weak grids and governance fall in between. Note that even countries with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can shift in rank after reliability adjustment: penalizing low-ξ competitors pushes them down, mechanically raising higher-ξ countries. Moreover, ξ ranges from 0.95 to 1.00 even within the OECD, and the tight cross-country cost spread (≈20%) means small reliability differences reshuffle adjacent ranks.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00" w:name="TableA1txt"/>
      <w:hyperlink w:anchor="TableA1" w:history="1">
        <w:r>
          <w:rPr>
            <w:color w:val="1F3864"/>
            <w:u w:val="single"/>
          </w:rPr>
          <w:t xml:space="preserve">Table A1</w:t>
        </w:r>
      </w:hyperlink>
      <w:bookmarkEnd w:id="100"/>
      <w:r>
        <w:t xml:space="preserve"> in the Appendix reports the full calibration parameters for all </w:t>
      </w:r>
      <m:oMath>
        <m:r>
          <m:rPr>
            <m:sty m:val="i"/>
          </m:rPr>
          <w:rPr>
            <w:rFonts w:ascii="Cambria Math" w:hAnsi="Cambria Math"/>
          </w:rPr>
          <m:t xml:space="preserve">N</m:t>
        </m:r>
        <m:r>
          <m:rPr>
            <m:sty m:val="p"/>
          </m:rPr>
          <w:rPr>
            <w:rFonts w:ascii="Cambria Math" w:hAnsi="Cambria Math"/>
          </w:rPr>
          <m:t xml:space="preserve"> = 85</m:t>
        </m:r>
      </m:oMath>
      <w:r>
        <w:t xml:space="preserve"> countries. The paper’s preferred specification applies cost-recovery electricity prices (replacing subsidized tariffs with long-run marginal cost) and adjusts for institutional reliability using the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defined in </w:t>
      </w:r>
      <w:bookmarkStart w:id="903" w:name="Eq2txt903"/>
      <w:hyperlink w:anchor="Eq2" w:history="1">
        <w:r>
          <w:rPr>
            <w:color w:val="1F3864"/>
            <w:u w:val="single"/>
          </w:rPr>
          <w:t xml:space="preserve">equation (2)</w:t>
        </w:r>
      </w:hyperlink>
      <w:bookmarkEnd w:id="903"/>
      <w:r>
        <w:t xml:space="preserve">. Under this specification, the five cheapest producers are </w:t>
      </w:r>
      <w:r>
        <w:t xml:space="preserve">Canada ($1.61/hr), Norway ($1.62/hr), Finland ($1.62/hr), Sweden ($1.63/hr), and Iceland ($1.64/hr). </w:t>
      </w:r>
      <w:r>
        <w:t xml:space="preserve">Nine of the ten cheapest countries under the pure engineering cost ranking fall out of the top ten after reliability adjustment, replaced by countries with stronger institutions and more reliable grids. Because hardware and networking costs account for roughly 94% of engineering costs and are identical everywhere, the cross-country cost spread is narrow (about 20%). Even modest institutional penalties are large relative to this thin margin, so governance quality can easily dominate the cost ranking. An engineering cost advantage is therefore necessary but not sufficient for FLOP exporting. </w:t>
      </w:r>
      <w:bookmarkStart w:id="121" w:name="Figure1txt"/>
      <w:hyperlink w:anchor="Figure1" w:history="1">
        <w:r>
          <w:rPr>
            <w:color w:val="1F3864"/>
            <w:u w:val="single"/>
          </w:rPr>
          <w:t xml:space="preserve">Figure 1</w:t>
        </w:r>
      </w:hyperlink>
      <w:bookmarkEnd w:id="121"/>
      <w:r>
        <w:t xml:space="preserve"> illustrates the resulting rank reshuffling.</w:t>
      </w:r>
    </w:p>
    <w:p>
      <w:pPr>
        <w:spacing w:before="0" w:after="160"/>
        <w:ind w:firstLine="0"/>
        <w:jc w:val="both"/>
      </w:pPr>
      <w:r>
        <w:t xml:space="preserve">For comparison, under observed electricity tariffs and without reliability adjustment, the cheapest producer is Iran ($1.41/hr), followed by Turkmenistan ($1.42/hr) and Ethiopia ($1.43/hr)—as shown in column (1) of </w:t>
      </w:r>
      <w:bookmarkStart w:id="112" w:name="Table3txt"/>
      <w:hyperlink w:anchor="Table3" w:history="1">
        <w:r>
          <w:rPr>
            <w:color w:val="1F3864"/>
            <w:u w:val="single"/>
          </w:rPr>
          <w:t xml:space="preserve">Table 3</w:t>
        </w:r>
      </w:hyperlink>
      <w:bookmarkEnd w:id="112"/>
      <w:r>
        <w:t>. But this ranking is misleading. Iran’s headline cost rests on electricity priced at $0.005/kWh, a figure sustained by one of the world’s largest fossil fuel subsidies. Turkmenistan, Algeria, Qatar, and several other low-cost producers face similar distortions. Once subsidies are removed and institutional reliability is factored in, the ranking changes substantially.</w:t>
      </w:r>
    </w:p>
    <w:p>
      <w:pPr>
        <w:spacing w:before="0" w:after="160"/>
        <w:ind w:firstLine="0"/>
        <w:jc w:val="both"/>
      </w:pPr>
      <w:r>
        <w:t xml:space="preserve">To distinguish genuine comparative advantage from fiscal artifact, the calibration replaces subsidized tariffs with cost-recovery prices, defined as the long-run marginal cost (LRMC) of the dominant generation technology at opportunity-cost fuel prices (</w:t>
      </w:r>
      <w:bookmarkStart w:id="245" w:name="IMF2025txt"/>
      <w:hyperlink w:anchor="IMF2025" w:history="1">
        <w:r>
          <w:rPr>
            <w:color w:val="1F3864"/>
            <w:u w:val="single"/>
          </w:rPr>
          <w:t xml:space="preserve">IMF 2025</w:t>
        </w:r>
      </w:hyperlink>
      <w:bookmarkEnd w:id="245"/>
      <w:r>
        <w:t xml:space="preserve">, </w:t>
      </w:r>
      <w:bookmarkStart w:id="224" w:name="Lazard2025txt"/>
      <w:hyperlink w:anchor="Lazard2025" w:history="1">
        <w:r>
          <w:rPr>
            <w:color w:val="1F3864"/>
            <w:u w:val="single"/>
          </w:rPr>
          <w:t xml:space="preserve">Lazard 2025</w:t>
        </w:r>
      </w:hyperlink>
      <w:bookmarkEnd w:id="224"/>
      <w:r>
        <w:t xml:space="preserve">). This adjustment is applied to 13 countries whose retail electricity prices fall below the estimated LRMC. Hydropower producers (Kyrgyzstan, Canada, Norway) are not adjusted because their low prices reflect genuine resource advantages rather than fiscal transfers. The resulting cost-recovery ranking—column (2) of Table 3—shifts the top of the ranking toward hydropower-rich countries: Kyrgyzstan ($1.58/hr), Canada ($1.59/hr), Ethiopia ($1.59/hr), Kosovo ($1.60/hr), and Tajikistan ($1.60/hr).</w:t>
      </w:r>
    </w:p>
    <w:p>
      <w:pPr>
        <w:spacing w:before="0" w:after="160"/>
        <w:ind w:firstLine="0"/>
        <w:jc w:val="both"/>
      </w:pPr>
      <w:r>
        <w:t>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w:t>
      </w:r>
      <w:r>
        <w:rPr>
          <w:rStyle w:val="FootnoteReference"/>
        </w:rPr>
        <w:footnoteReference w:id="16"/>
      </w:r>
      <w:r>
        <w:t xml:space="preserve"> The subsidy gap ranges from $0.019 to $0.080/kWh. For Iran, a 100 MW IT-load data center would receive roughly $93 million per year in implicit fiscal transfer. At export scale, this fiscal arithmetic becomes unsustainable. Iran drops from first to 24th. Eleven countries change trade regime.</w:t>
      </w:r>
    </w:p>
    <w:p>
      <w:pPr>
        <w:spacing w:before="0" w:after="160"/>
        <w:ind w:firstLine="0"/>
        <w:jc w:val="both"/>
      </w:pPr>
      <w:r>
        <w:t xml:space="preserve">Dividing cost-recovery costs by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penalizes countries with weak governance, unreliable grids, or sanctions exposure. Column (3) of Table 3 reports the preferred reliability-adjusted ranking; </w:t>
      </w:r>
      <w:bookmarkStart w:id="141" w:name="TableA2txt"/>
      <w:hyperlink w:anchor="TableA2" w:history="1">
        <w:r>
          <w:rPr>
            <w:color w:val="1F3864"/>
            <w:u w:val="single"/>
          </w:rPr>
          <w:t xml:space="preserve">Table A2</w:t>
        </w:r>
      </w:hyperlink>
      <w:bookmarkEnd w:id="141"/>
      <w:r>
        <w:t xml:space="preserve"> extends it to all countries. The Δ column records the rank change from raw tariffs to the preferred specification: Iran drops 84 places</w:t>
      </w:r>
      <w:r>
        <w:t>, Kyrgyzstan drops 64</w:t>
      </w:r>
      <w:r>
        <w:t>, while Austria rises 56 places</w:t>
      </w:r>
      <w:r>
        <w:t xml:space="preserve"> and Switzerland rises 50</w:t>
      </w:r>
      <w:r>
        <w:t>. The rank reshuffling is large because the cross-country cost spread is narrow; even small reliability differences reshuffle adjacent ranks.</w:t>
      </w:r>
    </w:p>
    <w:p>
      <w:pPr>
        <w:spacing w:before="0" w:after="160"/>
        <w:ind w:firstLine="0"/>
        <w:jc w:val="both"/>
      </w:pPr>
      <w:r>
        <w:t xml:space="preserve">The reliability-adjusted ranking captures governance quality and grid stability, but several additional institutional barriers reinforce the same pattern. In practice, GPU export controls raise effective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for Iran, Russia, and Belarus, and grid reliability varies widely. Data center investments are large, long-lived, and immobile, so the viability of a country as a compute exporter depends on institutional factors not captured by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alone. Several of the cheapest producers in the calibration (Iran, Turkmenistan, Uzbekistan) rank poorly on property rights and rule of law indices, and subsidized electricity prices may be politically fragile. Effective entry barriers are therefore higher than production costs alone suggest. U.S. export controls on advanced GPUs (October 2022 and October 2023 rules, expanded in 2025) create a hard binary constraint for certain jurisdictions—H100-class GPUs cannot legally be shipped there at all, making the relevant question availability rather than price. For countries not under outright bans but subject to per-chip caps, the effective hardware cost </w:t>
      </w:r>
      <m:oMath>
        <m:r>
          <m:rPr>
            <m:sty m:val="i"/>
          </m:rPr>
          <w:rPr>
            <w:rFonts w:ascii="Cambria Math" w:hAnsi="Cambria Math"/>
          </w:rPr>
          <m:t xml:space="preserve">ρ</m:t>
        </m:r>
      </m:oMath>
      <w:r>
        <w:t xml:space="preserve"> rises through grey-market procurement, potentially offsetting any electricity cost advantage and discouraging long-term investment. Water is another constraint. Evaporative cooling consumes large volumes, and several of the cheapest producers (Iran, Turkmenistan, Egypt, Saudi Arabia) are water-scarce. Liquid cooling reduces water needs but does not eliminate them.</w:t>
      </w:r>
    </w:p>
    <w:p>
      <w:pPr>
        <w:spacing w:before="0" w:after="160"/>
        <w:ind w:firstLine="0"/>
        <w:jc w:val="both"/>
      </w:pPr>
      <w:r>
        <w:t xml:space="preserve">A sovereignty premium </w:t>
      </w:r>
      <m:oMath>
        <m:r>
          <m:rPr>
            <m:sty m:val="i"/>
          </m:rPr>
          <w:rPr>
            <w:rFonts w:ascii="Cambria Math" w:hAnsi="Cambria Math"/>
          </w:rPr>
          <m:t xml:space="preserve">λ</m:t>
        </m:r>
        <m:r>
          <m:rPr>
            <m:sty m:val="p"/>
          </m:rPr>
          <w:rPr>
            <w:rFonts w:ascii="Cambria Math" w:hAnsi="Cambria Math"/>
          </w:rPr>
          <m:t xml:space="preserve"> = 10%</m:t>
        </m:r>
      </m:oMath>
      <w:r>
        <w:t xml:space="preserve"> shifts the majority of countries to domestic production. Column (4) of Table 3 applies an autarky threshold of </w:t>
      </w:r>
      <m:oMath>
        <m:bar>
          <m:barPr>
            <m:pos m:val="top"/>
          </m:barPr>
          <m:e>
            <m:r>
              <m:rPr>
                <m:sty m:val="i"/>
              </m:rPr>
              <w:rPr>
                <w:rFonts w:ascii="Cambria Math" w:hAnsi="Cambria Math"/>
              </w:rPr>
              <m:t xml:space="preserve">σ</m:t>
            </m:r>
          </m:e>
        </m:bar>
        <m:r>
          <m:rPr>
            <m:sty m:val="p"/>
          </m:rPr>
          <w:rPr>
            <w:rFonts w:ascii="Cambria Math" w:hAnsi="Cambria Math"/>
          </w:rPr>
          <m:t xml:space="preserve"> = 10%</m:t>
        </m:r>
      </m:oMath>
      <w:r>
        <w:t xml:space="preserve">: countries whose reliability-adjusted cost exceeds the frontier price </w:t>
      </w:r>
      <m:oMath>
        <m:sSup>
          <m:sSupPr/>
          <m:e>
            <m:r>
              <m:rPr>
                <m:sty m:val="i"/>
              </m:rPr>
              <w:rPr>
                <w:rFonts w:ascii="Cambria Math" w:hAnsi="Cambria Math"/>
              </w:rPr>
              <m:t xml:space="preserve">p</m:t>
            </m:r>
          </m:e>
          <m:sup>
            <m:r>
              <m:rPr>
                <m:sty m:val="i"/>
              </m:rPr>
              <w:rPr>
                <w:rFonts w:ascii="Cambria Math" w:hAnsi="Cambria Math"/>
              </w:rPr>
              <m:t xml:space="preserve">*</m:t>
            </m:r>
          </m:sup>
        </m:sSup>
        <m:r>
          <m:rPr>
            <m:sty m:val="p"/>
          </m:rPr>
          <w:rPr>
            <w:rFonts w:ascii="Cambria Math" w:hAnsi="Cambria Math"/>
          </w:rPr>
          <m:t xml:space="preserve"> = $1.49</m:t>
        </m:r>
      </m:oMath>
      <w:r>
        <w:t xml:space="preserve">/hr by more than 10% import at the frontier markup, while near-frontier countries produce domestically (type DD). The country-specific switching threshold </w:t>
      </w:r>
      <m:oMath>
        <m:sSup>
          <m:sSupPr/>
          <m:e>
            <m:r>
              <m:rPr>
                <m:sty m:val="i"/>
              </m:rPr>
              <w:rPr>
                <w:rFonts w:ascii="Cambria Math" w:hAnsi="Cambria Math"/>
              </w:rPr>
              <m:t xml:space="preserve">λ</m:t>
            </m:r>
          </m:e>
          <m:sup>
            <m:r>
              <m:rPr>
                <m:sty m:val="i"/>
              </m:rPr>
              <w:rPr>
                <w:rFonts w:ascii="Cambria Math" w:hAnsi="Cambria Math"/>
              </w:rPr>
              <m:t xml:space="preserve">*</m:t>
            </m:r>
          </m:sup>
        </m:sSup>
      </m:oMath>
      <w:r>
        <w:t xml:space="preserve"> from Proposition 3 varies widely: Kyrgyzstan requires only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-0.9%</m:t>
        </m:r>
      </m:oMath>
      <w:r>
        <w:t xml:space="preserve">, China 0.8%, and the United States 2.6%. High-cost countries require much larger premia: Germany needs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6.4%</m:t>
        </m:r>
      </m:oMath>
      <w:r>
        <w:t xml:space="preserve"> and Japan 6.9%. The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t xml:space="preserve">In practice, </w:t>
      </w:r>
      <m:oMath>
        <m:r>
          <m:rPr>
            <m:sty m:val="i"/>
          </m:rPr>
          <w:rPr>
            <w:rFonts w:ascii="Cambria Math" w:hAnsi="Cambria Math"/>
          </w:rPr>
          <m:t xml:space="preserve">λ</m:t>
        </m:r>
      </m:oMath>
      <w:r>
        <w:t xml:space="preserve"> is bilateral and heterogeneous. Between allies with mutual data adequacy agreements (e.g., EU member states), the effective sovereignty premium may be near zero; between geopolitical adversaries, it is effectively infinite—the United States would not source training from Iran regardless of cost, and current sanctions make such transactions illegal. The uniform </w:t>
      </w:r>
      <m:oMath>
        <m:r>
          <m:rPr>
            <m:sty m:val="i"/>
          </m:rPr>
          <w:rPr>
            <w:rFonts w:ascii="Cambria Math" w:hAnsi="Cambria Math"/>
          </w:rPr>
          <m:t xml:space="preserve">λ</m:t>
        </m:r>
        <m:r>
          <m:rPr>
            <m:sty m:val="p"/>
          </m:rPr>
          <w:rPr>
            <w:rFonts w:ascii="Cambria Math" w:hAnsi="Cambria Math"/>
          </w:rPr>
          <m:t xml:space="preserve"> = 10%</m:t>
        </m:r>
      </m:oMath>
      <w:r>
        <w:t xml:space="preserve"> should therefore be understood as an average over non-adversarial country pairs. In a model with bilateral </w:t>
      </w:r>
      <m:oMath>
        <m:r>
          <m:rPr>
            <m:sty m:val="i"/>
          </m:rPr>
          <w:rPr>
            <w:rFonts w:ascii="Cambria Math" w:hAnsi="Cambria Math"/>
          </w:rPr>
          <m:t xml:space="preserve">λ</m:t>
        </m:r>
      </m:oMath>
      <w:r>
        <w:t>, sanctioned countries would be excluded from serving most demand centers. Under cost-recovery prices, Iran is already outside the top ten, so sanctions reinforce rather than alter the cost-recovery ranking.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4" w:name="Eq3txt904"/>
      <w:hyperlink w:anchor="Eq3" w:history="1">
        <w:r>
          <w:rPr>
            <w:color w:val="1F3864"/>
            <w:u w:val="single"/>
          </w:rPr>
          <w:t xml:space="preserve">equation (3)</w:t>
        </w:r>
      </w:hyperlink>
      <w:bookmarkEnd w:id="904"/>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consistent with Proposition 4. </w:t>
      </w:r>
      <w:r>
        <w:t>Inference is more dispersed, with the top five suppliers being Canada (46%), Kyrgyzstan (26%), Kosovo (6%), the United Kingdom (3%), and India (3%), collectively accounting for 84% of global inference demand (HHI = 0.29). Under the 10% sovereignty premium, most training demand is served domestically, and the smaller export market is served by 1 exporter (HHI = 1.00) at $1.58/hr.</w:t>
      </w:r>
    </w:p>
    <w:p>
      <w:pPr>
        <w:spacing w:before="0" w:after="160"/>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r>
        <w:t>These results are illustrative, not forecasts. They show the cost structure that would make FLOP exporting viable, not that specific countries will necessarily capture these market shares. Cheap-energy developing countries can, in principle, earn export revenue from much larger economies.</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sovereignty premium imposes a welfare cost with two components, an import markup (importers pay </w:t>
      </w:r>
      <m:oMath>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6.0% of average compute spending, comparable to the 0.2–10% welfare losses from trade barriers estimated for goods trade (</w:t>
      </w:r>
      <w:bookmarkStart w:id="225" w:name="EatonKortum2002txt"/>
      <w:hyperlink w:anchor="EatonKortum2002" w:history="1">
        <w:r>
          <w:rPr>
            <w:color w:val="1F3864"/>
            <w:u w:val="single"/>
          </w:rPr>
          <w:t xml:space="preserve">Eaton and Kortum 2002</w:t>
        </w:r>
      </w:hyperlink>
      <w:bookmarkEnd w:id="225"/>
      <w:r>
        <w:t xml:space="preserve">, </w:t>
      </w:r>
      <w:bookmarkStart w:id="246" w:name="ACR2012txt"/>
      <w:hyperlink w:anchor="ACR2012" w:history="1">
        <w:r>
          <w:rPr>
            <w:color w:val="1F3864"/>
            <w:u w:val="single"/>
          </w:rPr>
          <w:t xml:space="preserve">Arkolakis et al. 2012</w:t>
        </w:r>
      </w:hyperlink>
      <w:bookmarkEnd w:id="246"/>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a 10%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A policy tension arises: the same countries whose cost advantages position them as natural FLOP exporters may simultaneously erect sovereignty barriers against importing compute from their neighbors, reducing the welfare gains from regional specialization that the model predicts. The EU’s GDPR and AI Act already segment the compute market along regulatory lines, reinforcing the sovereignty premium as a structural feature. The </w:t>
      </w:r>
      <w:bookmarkStart w:id="226" w:name="WorldBank2025txt"/>
      <w:hyperlink w:anchor="WorldBank2025" w:history="1">
        <w:r>
          <w:rPr>
            <w:color w:val="1F3864"/>
            <w:u w:val="single"/>
          </w:rPr>
          <w:t xml:space="preserve">World Bank (2025)</w:t>
        </w:r>
      </w:hyperlink>
      <w:bookmarkEnd w:id="226"/>
      <w:r>
        <w:t xml:space="preserve"> frames the resulting tension as the central policy choice for developing countries: whether to build domestic compute capacity or secure affordable access to international cloud services—a trade-off the present model formalizes through the sovereignty premium and capacity constraints.</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($1.66/hr). For Germany, inference is sourced from Kosovo ($1.65/hr), for the United Kingdom domestically ($1.66/hr), and for France from Kosovo ($1.66/hr). For China, the cheapest source of inference is Kyrgyzstan ($1.63/hr), a neighboring country with hydropower-based electricity. These patterns illustrate the model’s core prediction that inference organizes around latency-bounded regional hubs, and each major market has a distinct optimal supplier determined by geography. With a 10% sovereignty premium, most large economies shift to full domestic production.</w:t>
      </w:r>
    </w:p>
    <w:p>
      <w:pPr>
        <w:pStyle w:val="Heading2"/>
      </w:pPr>
      <w:r>
        <w:rPr>
          <w:rFonts w:ascii="Times New Roman" w:hAnsi="Times New Roman"/>
          <w:b w:val="0"/>
          <w:i/>
          <w:color w:val="2F5496"/>
          <w:sz w:val="24"/>
        </w:rPr>
        <w:t>6.3 Robustness and Caveats</w:t>
      </w:r>
    </w:p>
    <w:p>
      <w:pPr>
        <w:spacing w:before="0" w:after="160"/>
        <w:ind w:firstLine="0"/>
        <w:jc w:val="both"/>
      </w:pPr>
      <w:r>
        <w:t>Even after adjusting for cost-recovery pricing, fiscal sustainability remains a concern. Regulated tariffs in many developing countries cover operating expenses but not the full capital cost of generation, transmission, and distribution infrastructure. State-owned enterprises (SOEs) accumulate quasi-fiscal deficits that are eventually borne by taxpayers or future consumers. Allowing large-scale FLOP exports at these prices would accelerate infrastructure depreciation while the SOE cannot finance replacement, raising a fundamental question—is it politically sustainable to export compute while the domestic energy sector cannot maintain its capital stock? Governments ultimately face a choice between raising data center tariffs (eroding the cost advantage), maintaining subsidies at growing fiscal cost, or capping capacity.</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parameters. For large economies, this is innocuous, but for the small, cheap-energy countries that rank highest in Table A1, a hyperscale data center can be large relative to the host grid. Kyrgyzstan’s installed generation capacity is approximately 3,800 MW (</w:t>
      </w:r>
      <w:bookmarkStart w:id="227" w:name="ABD2020txt"/>
      <w:hyperlink w:anchor="ABD2020" w:history="1">
        <w:r>
          <w:rPr>
            <w:color w:val="1F3864"/>
            <w:u w:val="single"/>
          </w:rPr>
          <w:t xml:space="preserve">ABD 2020</w:t>
        </w:r>
      </w:hyperlink>
      <w:bookmarkEnd w:id="227"/>
      <w:r>
        <w:t xml:space="preserve">), and a single 100 MW facility would consume roughly 3% of national electricity output. At the multi-facility scale implied by the model’s export predictions, data centers would become the dominant industrial load. At that scale, the assumption of price-taking behaviour breaks down. Increased demand would bid up wholesale electricity prices, competing with residential heating in winter (when Kyrgyz hydropower output drops), and likely triggering regulatory intervention. The cheap electricity that attracts investment would be partially eroded by the investment itself.</w:t>
      </w:r>
      <w:r>
        <w:rPr>
          <w:rStyle w:val="FootnoteReference"/>
        </w:rPr>
        <w:footnoteReference w:id="17"/>
      </w:r>
      <w:r>
        <w:t xml:space="preserve">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concern by capping each country’s compute output within a feasible range, but the model’s fixed-price assumption means the cost advantages in Table A1 are upper bounds. A general equilibrium extension with upward-sloping electricity supply curves would compress these advantages further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costs via straight-line depreciation. In practice, the financing gap is large (</w:t>
      </w:r>
      <w:bookmarkStart w:id="228" w:name="Calcaterra2024txt"/>
      <w:hyperlink w:anchor="Calcaterra2024" w:history="1">
        <w:r>
          <w:rPr>
            <w:color w:val="1F3864"/>
            <w:u w:val="single"/>
          </w:rPr>
          <w:t xml:space="preserve">Calcaterra et al. 2024</w:t>
        </w:r>
      </w:hyperlink>
      <w:bookmarkEnd w:id="228"/>
      <w:r>
        <w:t xml:space="preserve">). An OECD hyperscaler at a WACC of 8% faces hardware costs of $1.58 per GPU-hour, while a developing-country operator at 18% pays $1.87—a $0.29 gap on hardware alone, widening to $0.37 including construction, about four times the electricity cost spread across the top 20 countries. If hyperscalers finance at their own WACC regardless of host country, the baseline rankings hold. If facilities are locally financed, the cost-of-capital channel reinforces the reliability adjustment: the same institutional weaknesses that lower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Sensitivity analysis. </w:t>
      </w:r>
      <w:r>
        <w:t xml:space="preserve">The cost rankings in Table A1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w:t>
      </w:r>
      <w:bookmarkStart w:id="143" w:name="TableA3txt"/>
      <w:hyperlink w:anchor="TableA3" w:history="1">
        <w:r>
          <w:rPr>
            <w:color w:val="1F3864"/>
            <w:u w:val="single"/>
          </w:rPr>
          <w:t xml:space="preserve">Table A3</w:t>
        </w:r>
      </w:hyperlink>
      <w:bookmarkEnd w:id="143"/>
      <w:r>
        <w:t xml:space="preserve"> in Appendix C reports the full results.</w:t>
      </w:r>
    </w:p>
    <w:p>
      <w:pPr>
        <w:pStyle w:val="Heading2"/>
      </w:pPr>
      <w:r>
        <w:rPr>
          <w:rFonts w:ascii="Times New Roman" w:hAnsi="Times New Roman"/>
          <w:b w:val="0"/>
          <w:i/>
          <w:color w:val="2F5496"/>
          <w:sz w:val="24"/>
        </w:rPr>
        <w:t>6.4 Model extensions</w:t>
      </w:r>
    </w:p>
    <w:p>
      <w:pPr>
        <w:spacing w:before="0" w:after="160"/>
        <w:ind w:firstLine="0"/>
        <w:jc w:val="both"/>
      </w:pPr>
      <w:r>
        <w:t xml:space="preserve">The model can be extended in several directions.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29" w:name="Krugman1991txt"/>
      <w:hyperlink w:anchor="Krugman1991" w:history="1">
        <w:r>
          <w:rPr>
            <w:color w:val="1F3864"/>
            <w:u w:val="single"/>
          </w:rPr>
          <w:t xml:space="preserve">Krugman 1991</w:t>
        </w:r>
      </w:hyperlink>
      <w:bookmarkEnd w:id="229"/>
      <w:r>
        <w:t xml:space="preserve">). The concentration of data centers in locations such as Northern Virginia reflects these centripetal forces.</w:t>
      </w:r>
    </w:p>
    <w:p>
      <w:pPr>
        <w:pStyle w:val="Heading1"/>
      </w:pPr>
      <w:r>
        <w:rPr>
          <w:rFonts w:ascii="Times New Roman" w:hAnsi="Times New Roman"/>
          <w:b/>
          <w:color w:val="2F5496"/>
          <w:sz w:val="28"/>
        </w:rPr>
        <w:t>7.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sovereignty premium to capture governments’ preference for domestic data processing.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sovereignty premium rationalizes widespread domestic investment, shifting the majority of countries from import to domestic production, at a demand-weighted welfare cost of 6.0% of average compute spending, comparable in magnitude to the 0.2–10% welfare losses from trade barriers estimated for goods trade (</w:t>
      </w:r>
      <w:bookmarkStart w:id="247" w:name="EatonKortum2002txt"/>
      <w:hyperlink w:anchor="EatonKortum2002" w:history="1">
        <w:r>
          <w:rPr>
            <w:color w:val="1F3864"/>
            <w:u w:val="single"/>
          </w:rPr>
          <w:t xml:space="preserve">Eaton and Kortum 2002</w:t>
        </w:r>
      </w:hyperlink>
      <w:bookmarkEnd w:id="247"/>
      <w:r>
        <w:t xml:space="preserve">, </w:t>
      </w:r>
      <w:bookmarkStart w:id="254" w:name="ACR2012txt"/>
      <w:hyperlink w:anchor="ACR2012" w:history="1">
        <w:r>
          <w:rPr>
            <w:color w:val="1F3864"/>
            <w:u w:val="single"/>
          </w:rPr>
          <w:t xml:space="preserve">Arkolakis et al. 2012</w:t>
        </w:r>
      </w:hyperlink>
      <w:bookmarkEnd w:id="254"/>
      <w:r>
        <w:t xml:space="preserve">). The model generates a country taxonomy (full importers, training exporters, inference hubs, and hybrid regimes) that maps onto observed investment patterns. This geographic structure is consistent with </w:t>
      </w:r>
      <w:bookmarkStart w:id="230" w:name="Lehdonvirta2024txt"/>
      <w:hyperlink w:anchor="Lehdonvirta2024" w:history="1">
        <w:r>
          <w:rPr>
            <w:color w:val="1F3864"/>
            <w:u w:val="single"/>
          </w:rPr>
          <w:t xml:space="preserve">Lehdonvirta et al. (2024)</w:t>
        </w:r>
      </w:hyperlink>
      <w:bookmarkEnd w:id="230"/>
      <w:r>
        <w:t xml:space="preserve">, who independently find that training-capable GPU infrastructure is concentrated in roughly 30 countries, while the rest are limited to inference-grade hardware. A central finding is that electricity costs, while the main source of cross-country cost variation, are not the dominant determinant of actual data center location. Because hardware and networking costs are uniform and account for over 90% of per-GPU-hour costs, the cost spread across countries is narrow. Institutional quality, sovereignty preferences, and access to GPU hardware frequently outweigh these thin cost margins.</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1" w:name="vanderPloeg2011txt"/>
      <w:hyperlink w:anchor="vanderPloeg2011" w:history="1">
        <w:r>
          <w:rPr>
            <w:color w:val="1F3864"/>
            <w:u w:val="single"/>
          </w:rPr>
          <w:t xml:space="preserve">van der Ploeg 2011</w:t>
        </w:r>
      </w:hyperlink>
      <w:bookmarkEnd w:id="231"/>
      <w:r>
        <w:t xml:space="preserve">) cautions that concentrated export revenues can produce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political stability, data governance frameworks, and international connectivity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hyperlink w:anchor="ABD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2"/>
    </w:p>
    <w:p>
      <w:pPr>
        <w:spacing w:before="0" w:after="80" w:line="240" w:lineRule="exact"/>
        <w:ind w:hanging="720" w:left="720"/>
        <w:jc w:val="both"/>
      </w:pPr>
      <w:bookmarkStart w:id="503"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3"/>
    </w:p>
    <w:p>
      <w:pPr>
        <w:spacing w:before="0" w:after="80" w:line="240" w:lineRule="exact"/>
        <w:ind w:hanging="720" w:left="720"/>
        <w:jc w:val="both"/>
      </w:pPr>
      <w:bookmarkStart w:id="504"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4"/>
    </w:p>
    <w:p>
      <w:pPr>
        <w:spacing w:before="0" w:after="80" w:line="240" w:lineRule="exact"/>
        <w:ind w:hanging="720" w:left="720"/>
        <w:jc w:val="both"/>
      </w:pPr>
      <w:bookmarkStart w:id="505"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5"/>
    </w:p>
    <w:p>
      <w:pPr>
        <w:spacing w:before="0" w:after="80" w:line="240" w:lineRule="exact"/>
        <w:ind w:hanging="720" w:left="720"/>
        <w:jc w:val="both"/>
      </w:pPr>
      <w:bookmarkStart w:id="506"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6"/>
    </w:p>
    <w:p>
      <w:pPr>
        <w:spacing w:before="0" w:after="80" w:line="240" w:lineRule="exact"/>
        <w:ind w:hanging="720" w:left="720"/>
        <w:jc w:val="both"/>
      </w:pPr>
      <w:bookmarkStart w:id="507" w:name="Deloitte2020"/>
      <w:hyperlink w:anchor="Deloitte2020txt" w:history="1">
        <w:r>
          <w:rPr>
            <w:color w:val="1F3864"/>
            <w:u w:val="single"/>
          </w:rPr>
          <w:t xml:space="preserve">Deloitte and Google. (2020). </w:t>
        </w:r>
      </w:hyperlink>
      <w:r>
        <w:t>“Milliseconds Make Millions.” Deloitte Digital and Google.</w:t>
      </w:r>
      <w:bookmarkEnd w:id="507"/>
    </w:p>
    <w:p>
      <w:pPr>
        <w:spacing w:before="0" w:after="80" w:line="240" w:lineRule="exact"/>
        <w:ind w:hanging="720" w:left="720"/>
        <w:jc w:val="both"/>
      </w:pPr>
      <w:bookmarkStart w:id="508"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8"/>
    </w:p>
    <w:p>
      <w:pPr>
        <w:spacing w:before="0" w:after="80" w:line="240" w:lineRule="exact"/>
        <w:ind w:hanging="720" w:left="720"/>
        <w:jc w:val="both"/>
      </w:pPr>
      <w:bookmarkStart w:id="509"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09"/>
    </w:p>
    <w:p>
      <w:pPr>
        <w:spacing w:before="0" w:after="80" w:line="240" w:lineRule="exact"/>
        <w:ind w:hanging="720" w:left="720"/>
        <w:jc w:val="both"/>
      </w:pPr>
      <w:bookmarkStart w:id="510"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0"/>
    </w:p>
    <w:p>
      <w:pPr>
        <w:spacing w:before="0" w:after="80" w:line="240" w:lineRule="exact"/>
        <w:ind w:hanging="720" w:left="720"/>
        <w:jc w:val="both"/>
      </w:pPr>
      <w:bookmarkStart w:id="511" w:name="EpochAI2024"/>
      <w:hyperlink w:anchor="EpochAI2024txt" w:history="1">
        <w:r>
          <w:rPr>
            <w:color w:val="1F3864"/>
            <w:u w:val="single"/>
          </w:rPr>
          <w:t xml:space="preserve">Epoch AI. (2024). </w:t>
        </w:r>
      </w:hyperlink>
      <w:r>
        <w:t>“The Training Compute of Notable AI Models.” epochai.org.</w:t>
      </w:r>
      <w:bookmarkEnd w:id="511"/>
    </w:p>
    <w:p>
      <w:pPr>
        <w:spacing w:before="0" w:after="80" w:line="240" w:lineRule="exact"/>
        <w:ind w:hanging="720" w:left="720"/>
        <w:jc w:val="both"/>
      </w:pPr>
      <w:bookmarkStart w:id="512"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2"/>
    </w:p>
    <w:p>
      <w:pPr>
        <w:spacing w:before="0" w:after="80" w:line="240" w:lineRule="exact"/>
        <w:ind w:hanging="720" w:left="720"/>
        <w:jc w:val="both"/>
      </w:pPr>
      <w:bookmarkStart w:id="513"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3"/>
    </w:p>
    <w:p>
      <w:pPr>
        <w:spacing w:before="0" w:after="80" w:line="240" w:lineRule="exact"/>
        <w:ind w:hanging="720" w:left="720"/>
        <w:jc w:val="both"/>
      </w:pPr>
      <w:bookmarkStart w:id="514"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4"/>
    </w:p>
    <w:p>
      <w:pPr>
        <w:spacing w:before="0" w:after="80" w:line="240" w:lineRule="exact"/>
        <w:ind w:hanging="720" w:left="720"/>
        <w:jc w:val="both"/>
      </w:pPr>
      <w:bookmarkStart w:id="515"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5"/>
    </w:p>
    <w:p>
      <w:pPr>
        <w:spacing w:before="0" w:after="80" w:line="240" w:lineRule="exact"/>
        <w:ind w:hanging="720" w:left="720"/>
        <w:jc w:val="both"/>
      </w:pPr>
      <w:bookmarkStart w:id="516"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6"/>
    </w:p>
    <w:p>
      <w:pPr>
        <w:spacing w:before="0" w:after="80" w:line="240" w:lineRule="exact"/>
        <w:ind w:hanging="720" w:left="720"/>
        <w:jc w:val="both"/>
      </w:pPr>
      <w:bookmarkStart w:id="517" w:name="Google2024"/>
      <w:r>
        <w:rPr>
          <w:color w:val="1F3864"/>
          <w:u w:val="single"/>
        </w:rPr>
        <w:t xml:space="preserve">Google. </w:t>
      </w:r>
      <w:r>
        <w:t xml:space="preserve">(2024). </w:t>
      </w:r>
      <w:r>
        <w:rPr>
          <w:i/>
        </w:rPr>
        <w:t>2024 Environmental Report</w:t>
      </w:r>
      <w:r>
        <w:t>. sustainability.google.</w:t>
      </w:r>
      <w:bookmarkEnd w:id="517"/>
    </w:p>
    <w:p>
      <w:pPr>
        <w:spacing w:before="0" w:after="80" w:line="240" w:lineRule="exact"/>
        <w:ind w:hanging="720" w:left="720"/>
        <w:jc w:val="both"/>
      </w:pPr>
      <w:bookmarkStart w:id="518"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8"/>
    </w:p>
    <w:p>
      <w:pPr>
        <w:spacing w:before="0" w:after="80" w:line="240" w:lineRule="exact"/>
        <w:ind w:hanging="720" w:left="720"/>
        <w:jc w:val="both"/>
      </w:pPr>
      <w:bookmarkStart w:id="519"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19"/>
    </w:p>
    <w:p>
      <w:pPr>
        <w:spacing w:before="0" w:after="80" w:line="240" w:lineRule="exact"/>
        <w:ind w:hanging="720" w:left="720"/>
        <w:jc w:val="both"/>
      </w:pPr>
      <w:bookmarkStart w:id="520"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0"/>
    </w:p>
    <w:p>
      <w:pPr>
        <w:spacing w:before="0" w:after="80" w:line="240" w:lineRule="exact"/>
        <w:ind w:hanging="720" w:left="720"/>
        <w:jc w:val="both"/>
      </w:pPr>
      <w:bookmarkStart w:id="521"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21"/>
    </w:p>
    <w:p>
      <w:pPr>
        <w:spacing w:before="0" w:after="80" w:line="240" w:lineRule="exact"/>
        <w:ind w:hanging="720" w:left="720"/>
        <w:jc w:val="both"/>
      </w:pPr>
      <w:bookmarkStart w:id="522" w:name="IEA2025"/>
      <w:hyperlink w:anchor="IEA2025txt" w:history="1">
        <w:r>
          <w:rPr>
            <w:color w:val="1F3864"/>
            <w:u w:val="single"/>
          </w:rPr>
          <w:t xml:space="preserve">IEA. (2025). </w:t>
        </w:r>
      </w:hyperlink>
      <w:r>
        <w:t>“Energy Demand from AI.” Published online at iea.org.</w:t>
      </w:r>
      <w:bookmarkEnd w:id="522"/>
    </w:p>
    <w:p>
      <w:pPr>
        <w:spacing w:before="0" w:after="80" w:line="240" w:lineRule="exact"/>
        <w:ind w:hanging="720" w:left="720"/>
        <w:jc w:val="both"/>
      </w:pPr>
      <w:bookmarkStart w:id="523"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3"/>
    </w:p>
    <w:p>
      <w:pPr>
        <w:spacing w:before="0" w:after="80" w:line="240" w:lineRule="exact"/>
        <w:ind w:hanging="720" w:left="720"/>
        <w:jc w:val="both"/>
      </w:pPr>
      <w:bookmarkStart w:id="524"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4"/>
    </w:p>
    <w:p>
      <w:pPr>
        <w:spacing w:before="0" w:after="80" w:line="240" w:lineRule="exact"/>
        <w:ind w:hanging="720" w:left="720"/>
        <w:jc w:val="both"/>
      </w:pPr>
      <w:bookmarkStart w:id="525"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5"/>
    </w:p>
    <w:p>
      <w:pPr>
        <w:spacing w:before="0" w:after="80" w:line="240" w:lineRule="exact"/>
        <w:ind w:hanging="720" w:left="720"/>
        <w:jc w:val="both"/>
      </w:pPr>
      <w:bookmarkStart w:id="526"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6"/>
    </w:p>
    <w:p>
      <w:pPr>
        <w:spacing w:before="0" w:after="80" w:line="240" w:lineRule="exact"/>
        <w:ind w:hanging="720" w:left="720"/>
        <w:jc w:val="both"/>
      </w:pPr>
      <w:bookmarkStart w:id="527"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7"/>
    </w:p>
    <w:p>
      <w:pPr>
        <w:spacing w:before="0" w:after="80" w:line="240" w:lineRule="exact"/>
        <w:ind w:hanging="720" w:left="720"/>
        <w:jc w:val="both"/>
      </w:pPr>
      <w:bookmarkStart w:id="528"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2" w:name="WorldBank2024txt"/>
      <w:hyperlink w:anchor="WorldBank2024" w:history="1">
        <w:r>
          <w:rPr>
            <w:i/>
            <w:color w:val="1F3864"/>
            <w:u w:val="single"/>
          </w:rPr>
          <w:t xml:space="preserve">World Bank</w:t>
        </w:r>
      </w:hyperlink>
      <w:bookmarkEnd w:id="232"/>
      <w:r>
        <w:rPr>
          <w:i/>
        </w:rPr>
        <w:t xml:space="preserve"> Economic Review</w:t>
      </w:r>
      <w:r>
        <w:t>, 15(3): 451–479.</w:t>
      </w:r>
      <w:bookmarkEnd w:id="528"/>
    </w:p>
    <w:p>
      <w:pPr>
        <w:spacing w:before="0" w:after="80" w:line="240" w:lineRule="exact"/>
        <w:ind w:hanging="720" w:left="720"/>
        <w:jc w:val="both"/>
      </w:pPr>
      <w:bookmarkStart w:id="529"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29"/>
    </w:p>
    <w:p>
      <w:pPr>
        <w:spacing w:before="0" w:after="80" w:line="240" w:lineRule="exact"/>
        <w:ind w:hanging="720" w:left="720"/>
        <w:jc w:val="both"/>
      </w:pPr>
      <w:bookmarkStart w:id="530" w:name="NVIDIA2024"/>
      <w:hyperlink w:anchor="NVIDIA2024txt" w:history="1">
        <w:r>
          <w:rPr>
            <w:color w:val="1F3864"/>
            <w:u w:val="single"/>
          </w:rPr>
          <w:t xml:space="preserve">NVIDIA. </w:t>
        </w:r>
      </w:hyperlink>
      <w:r>
        <w:t xml:space="preserve">(2024). </w:t>
      </w:r>
      <w:r>
        <w:rPr>
          <w:i/>
        </w:rPr>
        <w:t>NVIDIA H100 Tensor Core GPU Datasheet</w:t>
      </w:r>
      <w:r>
        <w:t>. nvidia.com.</w:t>
      </w:r>
      <w:bookmarkEnd w:id="530"/>
    </w:p>
    <w:p>
      <w:pPr>
        <w:spacing w:before="0" w:after="80" w:line="240" w:lineRule="exact"/>
        <w:ind w:hanging="720" w:left="720"/>
        <w:jc w:val="both"/>
      </w:pPr>
      <w:bookmarkStart w:id="531"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1"/>
    </w:p>
    <w:p>
      <w:pPr>
        <w:spacing w:before="0" w:after="80" w:line="240" w:lineRule="exact"/>
        <w:ind w:hanging="720" w:left="720"/>
        <w:jc w:val="both"/>
      </w:pPr>
      <w:bookmarkStart w:id="532"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2"/>
    </w:p>
    <w:p>
      <w:pPr>
        <w:spacing w:before="0" w:after="80" w:line="240" w:lineRule="exact"/>
        <w:ind w:hanging="720" w:left="720"/>
        <w:jc w:val="both"/>
      </w:pPr>
      <w:bookmarkStart w:id="533" w:name="Sastry2024"/>
      <w:hyperlink w:anchor="Sastry2024txt" w:history="1">
        <w:r>
          <w:rPr>
            <w:color w:val="1F3864"/>
            <w:u w:val="single"/>
          </w:rPr>
          <w:t xml:space="preserve">Sastry, G., L. Heim, et al. (2024). </w:t>
        </w:r>
      </w:hyperlink>
      <w:r>
        <w:t>“Computing Power and the Governance of Artificial Intelligence.” arXiv:2402.08797.</w:t>
      </w:r>
      <w:bookmarkEnd w:id="533"/>
    </w:p>
    <w:p>
      <w:pPr>
        <w:spacing w:before="0" w:after="80" w:line="240" w:lineRule="exact"/>
        <w:ind w:hanging="720" w:left="720"/>
        <w:jc w:val="both"/>
      </w:pPr>
      <w:bookmarkStart w:id="534"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4"/>
    </w:p>
    <w:p>
      <w:pPr>
        <w:spacing w:before="0" w:after="80" w:line="240" w:lineRule="exact"/>
        <w:ind w:hanging="720" w:left="720"/>
        <w:jc w:val="both"/>
      </w:pPr>
      <w:bookmarkStart w:id="535"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5"/>
    </w:p>
    <w:p>
      <w:pPr>
        <w:spacing w:before="0" w:after="80" w:line="240" w:lineRule="exact"/>
        <w:ind w:hanging="720" w:left="720"/>
        <w:jc w:val="both"/>
      </w:pPr>
      <w:bookmarkStart w:id="536" w:name="TurnerLee2025"/>
      <w:hyperlink w:anchor="TurnerLee2025txt" w:history="1">
        <w:r>
          <w:rPr>
            <w:color w:val="1F3864"/>
            <w:u w:val="single"/>
          </w:rPr>
          <w:t xml:space="preserve">Turner Lee, N., and D. West. (2025). </w:t>
        </w:r>
      </w:hyperlink>
      <w:r>
        <w:t>“The Future of Data Centers.” Brookings Institution, November 2025.</w:t>
      </w:r>
      <w:bookmarkEnd w:id="536"/>
    </w:p>
    <w:p>
      <w:pPr>
        <w:spacing w:before="0" w:after="80" w:line="240" w:lineRule="exact"/>
        <w:ind w:hanging="720" w:left="720"/>
        <w:jc w:val="both"/>
      </w:pPr>
      <w:bookmarkStart w:id="537" w:name="DOJFTC2010"/>
      <w:r>
        <w:rPr>
          <w:color w:val="1F3864"/>
          <w:u w:val="single"/>
        </w:rPr>
        <w:t xml:space="preserve">U.S. Department of Justice and Federal Trade Commission. </w:t>
      </w:r>
      <w:r>
        <w:t xml:space="preserve">(2010). </w:t>
      </w:r>
      <w:r>
        <w:rPr>
          <w:i/>
        </w:rPr>
        <w:t>Horizontal Merger Guidelines</w:t>
      </w:r>
      <w:r>
        <w:t>. Washington, DC.</w:t>
      </w:r>
      <w:bookmarkEnd w:id="537"/>
    </w:p>
    <w:p>
      <w:pPr>
        <w:spacing w:before="0" w:after="80" w:line="240" w:lineRule="exact"/>
        <w:ind w:hanging="720" w:left="720"/>
        <w:jc w:val="both"/>
      </w:pPr>
      <w:bookmarkStart w:id="538" w:name="UNCTAD2025"/>
      <w:r>
        <w:rPr>
          <w:color w:val="1F3864"/>
          <w:u w:val="single"/>
        </w:rPr>
        <w:t xml:space="preserve">UNCTAD. </w:t>
      </w:r>
      <w:r>
        <w:t xml:space="preserve">(2025). </w:t>
      </w:r>
      <w:r>
        <w:rPr>
          <w:i/>
        </w:rPr>
        <w:t>Technology and Innovation Report 2025</w:t>
      </w:r>
      <w:r>
        <w:t>. Geneva: United Nations.</w:t>
      </w:r>
      <w:bookmarkEnd w:id="538"/>
    </w:p>
    <w:p>
      <w:pPr>
        <w:spacing w:before="0" w:after="80" w:line="240" w:lineRule="exact"/>
        <w:ind w:hanging="720" w:left="720"/>
        <w:jc w:val="both"/>
      </w:pPr>
      <w:bookmarkStart w:id="539"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39"/>
    </w:p>
    <w:p>
      <w:pPr>
        <w:spacing w:before="0" w:after="80" w:line="240" w:lineRule="exact"/>
        <w:ind w:hanging="720" w:left="720"/>
        <w:jc w:val="both"/>
      </w:pPr>
      <w:bookmarkStart w:id="540"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0"/>
    </w:p>
    <w:p>
      <w:pPr>
        <w:spacing w:before="0" w:after="80" w:line="240" w:lineRule="exact"/>
        <w:ind w:hanging="720" w:left="720"/>
        <w:jc w:val="both"/>
      </w:pPr>
      <w:bookmarkStart w:id="541"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1"/>
    </w:p>
    <w:p>
      <w:pPr>
        <w:spacing w:before="0" w:after="80" w:line="240" w:lineRule="exact"/>
        <w:ind w:hanging="720" w:left="720"/>
        <w:jc w:val="both"/>
      </w:pPr>
      <w:bookmarkStart w:id="542"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2"/>
    </w:p>
    <w:p>
      <w:pPr>
        <w:spacing w:before="0" w:after="80" w:line="240" w:lineRule="exact"/>
        <w:ind w:hanging="720" w:left="720"/>
        <w:jc w:val="both"/>
      </w:pPr>
      <w:bookmarkStart w:id="543"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3" w:name="WorldBank2024txt"/>
      <w:hyperlink w:anchor="WorldBank2024" w:history="1">
        <w:r>
          <w:rPr>
            <w:color w:val="1F3864"/>
            <w:u w:val="single"/>
          </w:rPr>
          <w:t xml:space="preserve">World Bank</w:t>
        </w:r>
      </w:hyperlink>
      <w:bookmarkEnd w:id="233"/>
      <w:r>
        <w:t xml:space="preserve">.</w:t>
      </w:r>
      <w:bookmarkEnd w:id="543"/>
    </w:p>
    <w:p>
      <w:pPr>
        <w:spacing w:before="0" w:after="0"/>
      </w:pPr>
      <w:r>
        <w:br w:type="page"/>
      </w:r>
    </w:p>
    <w:p>
      <w:pPr>
        <w:spacing w:before="120" w:after="80"/>
        <w:ind w:firstLine="0"/>
        <w:jc w:val="both"/>
      </w:pPr>
      <w:bookmarkStart w:id="120" w:name="Figure1"/>
      <w:hyperlink w:anchor="Figure1txt" w:history="1">
        <w:r>
          <w:rPr>
            <w:b/>
            <w:sz w:val="20"/>
            <w:color w:val="1F3864"/>
            <w:u w:val="single"/>
          </w:rPr>
          <w:t>Figure 1</w:t>
        </w:r>
      </w:hyperlink>
      <w:bookmarkEnd w:id="120"/>
      <w:r>
        <w:rPr>
          <w:b/>
          <w:sz w:val="20"/>
        </w:rPr>
        <w:t>. Rank change with reliability adjustment</w:t>
      </w:r>
    </w:p>
    <w:p>
      <w:pPr>
        <w:spacing w:before="80" w:after="80"/>
        <w:jc w:val="center"/>
      </w:pPr>
      <w:r>
        <w:drawing>
          <wp:inline xmlns:a="http://schemas.openxmlformats.org/drawingml/2006/main" xmlns:pic="http://schemas.openxmlformats.org/drawingml/2006/picture">
            <wp:extent cx="4114800" cy="411480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reliability adjustment; countries below it fall. Stars (★) indicate countries with active data center construction announcements. Values in parentheses show the reliability index ξ. Even countries with ξ ≈ 1 shift off the diagonal because penalizing low-ξ competitors pushes them down, mechanically raising higher-ξ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5</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5</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5</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Notes: ✓ = feasible in equilibrium. ✗ = ruled out. Grey cells cannot arise. Roman numerals correspond to regime labels in Proposition 1. Letter codes (EE, IE, ID, DD, II) denote training status (first letter: E = export, I = import, D = domestic) and inference status (second letter), used in Table 3.</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Sovereignty premium</w:t>
            </w:r>
          </w:p>
        </w:tc>
        <w:tc>
          <w:tcPr>
            <w:tcW w:type="dxa" w:w="864"/>
          </w:tcPr>
          <w:p>
            <w:pPr>
              <w:jc w:val="center"/>
              <w:spacing w:before="10" w:after="10"/>
            </w:pPr>
            <w:r/>
            <w:r>
              <w:rPr>
                <w:rFonts w:ascii="Times New Roman" w:hAnsi="Times New Roman"/>
                <w:sz w:val="20"/>
              </w:rPr>
              <w:t>λ</w:t>
            </w:r>
          </w:p>
        </w:tc>
        <w:tc>
          <w:tcPr>
            <w:tcW w:type="dxa" w:w="2160"/>
          </w:tcPr>
          <w:p>
            <w:pPr>
              <w:jc w:val="center"/>
              <w:spacing w:before="10" w:after="10"/>
            </w:pPr>
            <w:r/>
            <w:r>
              <w:rPr>
                <w:rFonts w:ascii="Times New Roman" w:hAnsi="Times New Roman"/>
                <w:sz w:val="20"/>
              </w:rPr>
              <w:t>0.10</w:t>
            </w:r>
          </w:p>
        </w:tc>
        <w:tc>
          <w:tcPr>
            <w:tcW w:type="dxa" w:w="2592"/>
          </w:tcPr>
          <w:p>
            <w:pPr>
              <w:jc w:val="left"/>
              <w:spacing w:before="10" w:after="10"/>
            </w:pPr>
            <w:r/>
            <w:hyperlink w:anchor="UNCTAD2025" w:history="1">
              <w:r>
                <w:rPr>
                  <w:sz w:val="20"/>
                  <w:rFonts w:ascii="Times New Roman" w:hAnsi="Times New Roman"/>
                  <w:color w:val="1F3864"/>
                  <w:u w:val="single"/>
                </w:rPr>
                <w:t xml:space="preserve">UNCTAD (2025)</w:t>
              </w:r>
            </w:hyperlink>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Reliability index (baseline)</w:t>
            </w:r>
          </w:p>
        </w:tc>
        <w:tc>
          <w:tcPr>
            <w:tcW w:type="dxa" w:w="864"/>
            <w:tcBorders>
              <w:bottom w:val="double" w:sz="4" w:space="0" w:color="auto"/>
            </w:tcBorders>
          </w:tcPr>
          <w:p>
            <w:pPr>
              <w:jc w:val="center"/>
              <w:spacing w:before="10" w:after="10"/>
            </w:pPr>
            <w:r/>
            <m:oMath>
              <m:sSub>
                <m:sSubPr/>
                <m:e>
                  <m:r>
                    <m:rPr>
                      <m:sty m:val="i"/>
                    </m:rPr>
                    <w:rPr>
                      <w:rFonts w:ascii="Cambria Math" w:hAnsi="Cambria Math"/>
                    </w:rPr>
                    <m:t xml:space="preserve">ξ</m:t>
                  </m:r>
                </m:e>
                <m:sub>
                  <m:r>
                    <m:rPr>
                      <m:sty m:val="i"/>
                    </m:rPr>
                    <w:rPr>
                      <w:rFonts w:ascii="Cambria Math" w:hAnsi="Cambria Math"/>
                    </w:rPr>
                    <m:t xml:space="preserve">j</m:t>
                  </m:r>
                </m:sub>
              </m:sSub>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reliability index ξⱼ combines governance quality, grid reliability, and sanctions exposure (equation 2). The baseline calibration sets ξⱼ = 1 for all countries.</w:t>
      </w:r>
    </w:p>
    <w:p>
      <w:pPr>
        <w:spacing w:before="0" w:after="60"/>
        <w:ind w:firstLine="0"/>
        <w:jc w:val="both"/>
      </w:pPr>
      <w:bookmarkStart w:id="111" w:name="Table3"/>
      <w:hyperlink w:anchor="Table3txt" w:history="1">
        <w:r>
          <w:rPr>
            <w:b/>
            <w:sz w:val="20"/>
            <w:color w:val="1F3864"/>
            <w:u w:val="single"/>
          </w:rPr>
          <w:t>Table 3</w:t>
        </w:r>
      </w:hyperlink>
      <w:bookmarkEnd w:id="111"/>
      <w:r>
        <w:rPr>
          <w:b/>
          <w:sz w:val="20"/>
        </w:rPr>
        <w:t>. Country rankings under alternative pricing assumptions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(3) Reliability-Adj.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(4) Sovereignty (σ̄=10%)</w:t>
            </w:r>
          </w:p>
        </w:tc>
        <w:tc>
          <w:tcPr>
            <w:tcBorders>
              <w:top w:val="single" w:sz="4" w:space="0" w:color="auto"/>
            </w:tcBorders>
            <w:tcW w:w="540" w:type="dxa"/>
          </w:tcPr>
          <w:p>
            <w:pPr>
              <w:jc w:val="center"/>
              <w:spacing w:before="10" w:after="10"/>
            </w:pPr>
            <w:r/>
            <w:r>
              <w:rPr>
                <w:rFonts w:ascii="Times New Roman" w:hAnsi="Times New Roman"/>
                <w:sz w:val="16"/>
              </w:rPr>
            </w:r>
          </w:p>
        </w:tc>
      </w:tr>
      <w:tr>
        <w:tc>
          <w:tcPr>
            <w:tcBorders>
              <w:bottom w:val="single" w:sz="4" w:space="0" w:color="auto"/>
            </w:tcBorders>
            <w:tcW w:w="1800" w:type="dxa"/>
          </w:tcPr>
          <w:p>
            <w:pPr>
              <w:jc w:val="left"/>
              <w:spacing w:before="10" w:after="10"/>
            </w:pPr>
            <w:r/>
            <w:r>
              <w:rPr>
                <w:rFonts w:ascii="Times New Roman" w:hAnsi="Times New Roman"/>
                <w:b/>
                <w:sz w:val="16"/>
              </w:rPr>
              <w:t>Country</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pⱼ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+31</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+30</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+32</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+19</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b/>
                <w:sz w:val="16"/>
              </w:rPr>
              <w:t>26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+47</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b/>
                <w:sz w:val="16"/>
              </w:rPr>
              <w:t>28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+49</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b/>
                <w:sz w:val="16"/>
              </w:rPr>
              <w:t>30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37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-19</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38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-16</w:t>
            </w:r>
          </w:p>
        </w:tc>
      </w:tr>
      <w:tr>
        <w:tc>
          <w:tcPr>
            <w:tcW w:w="1800" w:type="dxa"/>
          </w:tcPr>
          <w:p>
            <w:pPr>
              <w:jc w:val="left"/>
              <w:spacing w:before="10" w:after="10"/>
            </w:pPr>
            <w:r/>
            <w:r>
              <w:rPr>
                <w:rFonts w:ascii="Times New Roman" w:hAnsi="Times New Roman"/>
                <w:sz w:val="16"/>
              </w:rPr>
              <w:t>Saudi Arabia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sz w:val="16"/>
              </w:rPr>
              <w:t>39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b/>
                <w:sz w:val="16"/>
              </w:rPr>
              <w:t>39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-11</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53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53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-44</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$1.69</w:t>
            </w:r>
          </w:p>
        </w:tc>
        <w:tc>
          <w:tcPr>
            <w:tcW w:w="540" w:type="dxa"/>
          </w:tcPr>
          <w:p>
            <w:pPr>
              <w:jc w:val="center"/>
              <w:spacing w:before="10" w:after="10"/>
            </w:pPr>
            <w:r/>
            <w:r>
              <w:rPr>
                <w:rFonts w:ascii="Times New Roman" w:hAnsi="Times New Roman"/>
                <w:sz w:val="16"/>
              </w:rPr>
              <w:t>68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68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-64</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$1.69</w:t>
            </w:r>
          </w:p>
        </w:tc>
        <w:tc>
          <w:tcPr>
            <w:tcW w:w="540" w:type="dxa"/>
          </w:tcPr>
          <w:p>
            <w:pPr>
              <w:jc w:val="center"/>
              <w:spacing w:before="10" w:after="10"/>
            </w:pPr>
            <w:r/>
            <w:r>
              <w:rPr>
                <w:rFonts w:ascii="Times New Roman" w:hAnsi="Times New Roman"/>
                <w:sz w:val="16"/>
              </w:rPr>
              <w:t>69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69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$1.43</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$1.71</w:t>
            </w:r>
          </w:p>
        </w:tc>
        <w:tc>
          <w:tcPr>
            <w:tcW w:w="540" w:type="dxa"/>
          </w:tcPr>
          <w:p>
            <w:pPr>
              <w:jc w:val="center"/>
              <w:spacing w:before="10" w:after="10"/>
            </w:pPr>
            <w:r/>
            <w:r>
              <w:rPr>
                <w:rFonts w:ascii="Times New Roman" w:hAnsi="Times New Roman"/>
                <w:sz w:val="16"/>
              </w:rPr>
              <w:t>71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71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-66</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$1.74</w:t>
            </w:r>
          </w:p>
        </w:tc>
        <w:tc>
          <w:tcPr>
            <w:tcW w:w="540" w:type="dxa"/>
          </w:tcPr>
          <w:p>
            <w:pPr>
              <w:jc w:val="center"/>
              <w:spacing w:before="10" w:after="10"/>
            </w:pPr>
            <w:r/>
            <w:r>
              <w:rPr>
                <w:rFonts w:ascii="Times New Roman" w:hAnsi="Times New Roman"/>
                <w:sz w:val="16"/>
              </w:rPr>
              <w:t>75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75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$1.76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77</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-74</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$1.88</w:t>
            </w:r>
          </w:p>
        </w:tc>
        <w:tc>
          <w:tcPr>
            <w:tcW w:w="540" w:type="dxa"/>
          </w:tcPr>
          <w:p>
            <w:pPr>
              <w:jc w:val="center"/>
              <w:spacing w:before="10" w:after="10"/>
            </w:pPr>
            <w:r/>
            <w:r>
              <w:rPr>
                <w:rFonts w:ascii="Times New Roman" w:hAnsi="Times New Roman"/>
                <w:sz w:val="16"/>
              </w:rPr>
              <w:t>82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82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-74</w:t>
            </w:r>
          </w:p>
        </w:tc>
      </w:tr>
      <w:tr>
        <w:tc>
          <w:tcPr>
            <w:tcW w:w="1800" w:type="dxa"/>
          </w:tcPr>
          <w:p>
            <w:pPr>
              <w:jc w:val="left"/>
              <w:spacing w:before="10" w:after="10"/>
            </w:pPr>
            <w:r/>
            <w:r>
              <w:rPr>
                <w:rFonts w:ascii="Times New Roman" w:hAnsi="Times New Roman"/>
                <w:sz w:val="16"/>
              </w:rPr>
              <w:t>Turkmenistan</w:t>
            </w:r>
          </w:p>
        </w:tc>
        <w:tc>
          <w:tcPr>
            <w:tcW w:w="900" w:type="dxa"/>
          </w:tcPr>
          <w:p>
            <w:pPr>
              <w:jc w:val="center"/>
              <w:spacing w:before="10" w:after="10"/>
            </w:pPr>
            <w:r/>
            <w:r>
              <w:rPr>
                <w:rFonts w:ascii="Times New Roman" w:hAnsi="Times New Roman"/>
                <w:sz w:val="16"/>
              </w:rPr>
              <w:t>$1.41</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$1.89</w:t>
            </w:r>
          </w:p>
        </w:tc>
        <w:tc>
          <w:tcPr>
            <w:tcW w:w="540" w:type="dxa"/>
          </w:tcPr>
          <w:p>
            <w:pPr>
              <w:jc w:val="center"/>
              <w:spacing w:before="10" w:after="10"/>
            </w:pPr>
            <w:r/>
            <w:r>
              <w:rPr>
                <w:rFonts w:ascii="Times New Roman" w:hAnsi="Times New Roman"/>
                <w:sz w:val="16"/>
              </w:rPr>
              <w:t>83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83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-81</w:t>
            </w:r>
          </w:p>
        </w:tc>
      </w:tr>
      <w:tr>
        <w:tc>
          <w:tcPr>
            <w:tcBorders>
              <w:bottom w:val="double" w:sz="4" w:space="0" w:color="auto"/>
            </w:tcBorders>
            <w:tcW w:w="1800" w:type="dxa"/>
          </w:tcPr>
          <w:p>
            <w:pPr>
              <w:jc w:val="left"/>
              <w:spacing w:before="10" w:after="10"/>
            </w:pPr>
            <w:r/>
            <w:r>
              <w:rPr>
                <w:rFonts w:ascii="Times New Roman" w:hAnsi="Times New Roman"/>
                <w:sz w:val="16"/>
              </w:rPr>
              <w:t>Iran</w:t>
            </w:r>
          </w:p>
        </w:tc>
        <w:tc>
          <w:tcPr>
            <w:tcBorders>
              <w:bottom w:val="double" w:sz="4" w:space="0" w:color="auto"/>
            </w:tcBorders>
            <w:tcW w:w="900" w:type="dxa"/>
          </w:tcPr>
          <w:p>
            <w:pPr>
              <w:jc w:val="center"/>
              <w:spacing w:before="10" w:after="10"/>
            </w:pPr>
            <w:r/>
            <w:r>
              <w:rPr>
                <w:rFonts w:ascii="Times New Roman" w:hAnsi="Times New Roman"/>
                <w:sz w:val="16"/>
              </w:rPr>
              <w:t>$1.40</w:t>
            </w:r>
          </w:p>
        </w:tc>
        <w:tc>
          <w:tcPr>
            <w:tcBorders>
              <w:bottom w:val="double" w:sz="4" w:space="0" w:color="auto"/>
            </w:tcBorders>
            <w:tcW w:w="540" w:type="dxa"/>
          </w:tcPr>
          <w:p>
            <w:pPr>
              <w:jc w:val="center"/>
              <w:spacing w:before="10" w:after="10"/>
            </w:pPr>
            <w:r/>
            <w:r>
              <w:rPr>
                <w:rFonts w:ascii="Times New Roman" w:hAnsi="Times New Roman"/>
                <w:sz w:val="16"/>
              </w:rPr>
              <w:t>1</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21</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$1.97</w:t>
            </w:r>
          </w:p>
        </w:tc>
        <w:tc>
          <w:tcPr>
            <w:tcBorders>
              <w:bottom w:val="double" w:sz="4" w:space="0" w:color="auto"/>
            </w:tcBorders>
            <w:tcW w:w="540" w:type="dxa"/>
          </w:tcPr>
          <w:p>
            <w:pPr>
              <w:jc w:val="center"/>
              <w:spacing w:before="10" w:after="10"/>
            </w:pPr>
            <w:r/>
            <w:r>
              <w:rPr>
                <w:rFonts w:ascii="Times New Roman" w:hAnsi="Times New Roman"/>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$1.64</w:t>
            </w:r>
          </w:p>
        </w:tc>
        <w:tc>
          <w:tcPr>
            <w:tcBorders>
              <w:bottom w:val="double" w:sz="4" w:space="0" w:color="auto"/>
            </w:tcBorders>
            <w:tcW w:w="540" w:type="dxa"/>
          </w:tcPr>
          <w:p>
            <w:pPr>
              <w:jc w:val="center"/>
              <w:spacing w:before="10" w:after="10"/>
            </w:pPr>
            <w:r/>
            <w:r>
              <w:rPr>
                <w:rFonts w:ascii="Times New Roman" w:hAnsi="Times New Roman"/>
                <w:b/>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-84</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Columns show unit cost ($/GPU-hr), rank among 85 countries, and regime type (EE = training + inference exporter; IE = inference exporter; DD = domestic producer; II = full importer). (1) Raw: observed electricity tariffs. (2) Cost-recovery: subsidized tariffs replaced with LRMC. (3) Reliability-adjusted: cost-recovery price divided by institutional reliability index ξⱼ (preferred specification). (4) Sovereignty: σ̄ = 10% autarky threshold applied to (3); p* = $1.49/hr. Δ = rank change from (1) to (3); positive values indicate improvement. 25 selected countries; see Table A2 for all 85 countries.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0.99</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0.82</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0.93</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0.86</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0.90</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0.78</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0.92</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0.78</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0.86</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0.90</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0.89</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0.92</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0.83</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0.78</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1.00</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0.90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0.97</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0.97</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0.97</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0.93</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0.95</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0.96</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0.97</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0.99</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0.96</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1.00</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0.99</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0.98</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5" w:name="Eq3txt905"/>
      <w:hyperlink w:anchor="Eq3" w:history="1">
        <w:r>
          <w:rPr>
            <w:sz w:val="20"/>
            <w:color w:val="1F3864"/>
            <w:u w:val="single"/>
          </w:rPr>
          <w:t xml:space="preserve">equation (3)</w:t>
        </w:r>
      </w:hyperlink>
      <w:bookmarkEnd w:id="905"/>
      <w:r>
        <w:rPr>
          <w:sz w:val="20"/>
        </w:rPr>
        <w:t xml:space="preserve">. ξⱼ = reliability index combining governance quality, grid reliability, and sanctions exposure.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pricing assumptions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(3) Reliability-Adj.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(4) Sovereignty (σ̄=10%)</w:t>
            </w:r>
          </w:p>
        </w:tc>
        <w:tc>
          <w:tcPr>
            <w:tcBorders>
              <w:top w:val="single" w:sz="4" w:space="0" w:color="auto"/>
            </w:tcBorders>
            <w:tcW w:w="540" w:type="dxa"/>
          </w:tcPr>
          <w:p>
            <w:pPr>
              <w:jc w:val="center"/>
              <w:spacing w:before="5" w:after="5"/>
            </w:pPr>
            <w:r/>
            <w:r>
              <w:rPr>
                <w:rFonts w:ascii="Times New Roman" w:hAnsi="Times New Roman"/>
                <w:sz w:val="14"/>
              </w:rPr>
            </w:r>
          </w:p>
        </w:tc>
      </w:tr>
      <w:tr>
        <w:tc>
          <w:tcPr>
            <w:tcBorders>
              <w:bottom w:val="single" w:sz="4" w:space="0" w:color="auto"/>
            </w:tcBorders>
            <w:tcW w:w="1800" w:type="dxa"/>
          </w:tcPr>
          <w:p>
            <w:pPr>
              <w:jc w:val="left"/>
              <w:spacing w:before="5" w:after="5"/>
            </w:pPr>
            <w:r/>
            <w:r>
              <w:rPr>
                <w:rFonts w:ascii="Times New Roman" w:hAnsi="Times New Roman"/>
                <w:b/>
                <w:sz w:val="14"/>
              </w:rPr>
              <w:t>Country</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cⱼ/ξⱼ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pⱼ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+46</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+50</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-66</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$1.89</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Borders>
              <w:bottom w:val="double" w:sz="4" w:space="0" w:color="auto"/>
            </w:tcBorders>
            <w:tcW w:w="1800" w:type="dxa"/>
          </w:tcPr>
          <w:p>
            <w:pPr>
              <w:jc w:val="left"/>
              <w:spacing w:before="5" w:after="5"/>
            </w:pPr>
            <w:r/>
            <w:r>
              <w:rPr>
                <w:rFonts w:ascii="Times New Roman" w:hAnsi="Times New Roman"/>
                <w:sz w:val="14"/>
              </w:rPr>
              <w:t>Iran</w:t>
            </w:r>
          </w:p>
        </w:tc>
        <w:tc>
          <w:tcPr>
            <w:tcBorders>
              <w:bottom w:val="double" w:sz="4" w:space="0" w:color="auto"/>
            </w:tcBorders>
            <w:tcW w:w="900" w:type="dxa"/>
          </w:tcPr>
          <w:p>
            <w:pPr>
              <w:jc w:val="center"/>
              <w:spacing w:before="5" w:after="5"/>
            </w:pPr>
            <w:r/>
            <w:r>
              <w:rPr>
                <w:rFonts w:ascii="Times New Roman" w:hAnsi="Times New Roman"/>
                <w:sz w:val="14"/>
              </w:rPr>
              <w:t>$1.40</w:t>
            </w:r>
          </w:p>
        </w:tc>
        <w:tc>
          <w:tcPr>
            <w:tcBorders>
              <w:bottom w:val="double" w:sz="4" w:space="0" w:color="auto"/>
            </w:tcBorders>
            <w:tcW w:w="540" w:type="dxa"/>
          </w:tcPr>
          <w:p>
            <w:pPr>
              <w:jc w:val="center"/>
              <w:spacing w:before="5" w:after="5"/>
            </w:pPr>
            <w:r/>
            <w:r>
              <w:rPr>
                <w:rFonts w:ascii="Times New Roman" w:hAnsi="Times New Roman"/>
                <w:sz w:val="14"/>
              </w:rPr>
              <w:t>1</w:t>
            </w:r>
          </w:p>
        </w:tc>
        <w:tc>
          <w:tcPr>
            <w:tcBorders>
              <w:bottom w:val="double" w:sz="4" w:space="0" w:color="auto"/>
            </w:tcBorders>
            <w:tcW w:w="540" w:type="dxa"/>
          </w:tcPr>
          <w:p>
            <w:pPr>
              <w:jc w:val="center"/>
              <w:spacing w:before="5" w:after="5"/>
            </w:pPr>
            <w:r/>
            <w:r>
              <w:rPr>
                <w:rFonts w:ascii="Times New Roman" w:hAnsi="Times New Roman"/>
                <w:sz w:val="14"/>
              </w:rPr>
              <w:t>EE</w:t>
            </w:r>
          </w:p>
        </w:tc>
        <w:tc>
          <w:tcPr>
            <w:tcBorders>
              <w:bottom w:val="double" w:sz="4" w:space="0" w:color="auto"/>
            </w:tcBorders>
            <w:tcW w:w="900" w:type="dxa"/>
          </w:tcPr>
          <w:p>
            <w:pPr>
              <w:jc w:val="center"/>
              <w:spacing w:before="5" w:after="5"/>
            </w:pPr>
            <w:r/>
            <w:r>
              <w:rPr>
                <w:rFonts w:ascii="Times New Roman" w:hAnsi="Times New Roman"/>
                <w:sz w:val="14"/>
              </w:rPr>
              <w:t>$1.48</w:t>
            </w:r>
          </w:p>
        </w:tc>
        <w:tc>
          <w:tcPr>
            <w:tcBorders>
              <w:bottom w:val="double" w:sz="4" w:space="0" w:color="auto"/>
            </w:tcBorders>
            <w:tcW w:w="540" w:type="dxa"/>
          </w:tcPr>
          <w:p>
            <w:pPr>
              <w:jc w:val="center"/>
              <w:spacing w:before="5" w:after="5"/>
            </w:pPr>
            <w:r/>
            <w:r>
              <w:rPr>
                <w:rFonts w:ascii="Times New Roman" w:hAnsi="Times New Roman"/>
                <w:sz w:val="14"/>
              </w:rPr>
              <w:t>21</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$1.97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-84</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See Table 3 notes for column definitions. Countries sorted by specification (3) rank (ascending). p* = $1.49/hr.</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6" w:name="Eq1txt906"/>
      <w:hyperlink w:anchor="Eq1" w:history="1">
        <w:r>
          <w:rPr>
            <w:color w:val="1F3864"/>
            <w:u w:val="single"/>
          </w:rPr>
          <w:t xml:space="preserve">equation (1)</w:t>
        </w:r>
      </w:hyperlink>
      <w:bookmarkEnd w:id="906"/>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7" w:name="Eq3txt907"/>
      <w:hyperlink w:anchor="Eq3" w:history="1">
        <w:r>
          <w:rPr>
            <w:color w:val="1F3864"/>
            <w:u w:val="single"/>
          </w:rPr>
          <w:t xml:space="preserve">equation (3)</w:t>
        </w:r>
      </w:hyperlink>
      <w:bookmarkEnd w:id="907"/>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The welfare cost has two components.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(1+λ)</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left"/>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reliability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6">
    <w:p>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 In retail markets, inference is increasingly priced per token (dollars per million tokens) and training per GPU-hour or per job. Because tokens per GPU-hour are determined by model architecture and serving software—not by country of production—the choice of unit does not affect cross-country cost comparisons.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4">
    <w:p>
      <w:pPr>
        <w:pStyle w:val="FootnoteText"/>
      </w:pPr>
      <w:r>
        <w:rPr>
          <w:rStyle w:val="FootnoteReference"/>
        </w:rPr>
        <w:footnoteRef/>
      </w:r>
      <w:r>
        <w:t xml:space="preserve"> The Deloitte (2020) estimate is based on 30 million user sessions across multiple retail and travel sites.</w:t>
      </w:r>
    </w:p>
  </w:footnote>
  <w:footnote w:id="15">
    <w:p>
      <w:pPr>
        <w:pStyle w:val="FootnoteText"/>
      </w:pPr>
      <w:r>
        <w:rPr>
          <w:rStyle w:val="FootnoteReference"/>
        </w:rPr>
        <w:footnoteRef/>
      </w:r>
      <w:r>
        <w:t xml:space="preserve"> The 10% sovereignty premium is conservative. Survey evidence on data localization suggests enterprises pay 15–30% more for guaranteed domestic data residency (UNCTAD 2025).</w:t>
      </w:r>
    </w:p>
  </w:footnote>
  <w:footnote w:id="16">
    <w:p>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