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24, 2026  19:48</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reflecting the enclave character of data center operations.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 international arbitration, dedicated infrastructure, and special economic zone provisions — consistent with evidence that zone-level governance outperforms national averages (</w:t>
      </w:r>
      <w:bookmarkStart w:id="255" w:name="Farole2011txt"/>
      <w:hyperlink w:anchor="Farole2011" w:history="1">
        <w:r>
          <w:rPr>
            <w:color w:val="1F3864"/>
            <w:u w:val="single"/>
          </w:rPr>
          <w:t xml:space="preserve">Farole 2011</w:t>
        </w:r>
      </w:hyperlink>
      <w:bookmarkEnd w:id="255"/>
      <w:r>
        <w:t xml:space="preserve">; </w:t>
      </w:r>
      <w:bookmarkStart w:id="246" w:name="WorldBank2017txt"/>
      <w:hyperlink w:anchor="WorldBank2017" w:history="1">
        <w:r>
          <w:rPr>
            <w:color w:val="1F3864"/>
            <w:u w:val="single"/>
          </w:rPr>
          <w:t xml:space="preserve">World Bank 2017</w:t>
        </w:r>
      </w:hyperlink>
      <w:bookmarkEnd w:id="246"/>
      <w:r>
        <w:t xml:space="preserve">; </w:t>
      </w:r>
      <w:bookmarkStart w:id="213" w:name="Frick2019txt"/>
      <w:hyperlink w:anchor="Frick2019" w:history="1">
        <w:r>
          <w:rPr>
            <w:color w:val="1F3864"/>
            <w:u w:val="single"/>
          </w:rPr>
          <w:t xml:space="preserve">Frick, Rodríguez-Pose, and Wong 2019</w:t>
        </w:r>
      </w:hyperlink>
      <w:bookmarkEnd w:id="213"/>
      <w:r>
        <w:t xml:space="preserve">).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efficiency adjustment applies only to the non-hardware cost component: since hardware is priced on global markets, governance penalties operate on local costs (energy, cooling, construction) rather than on the full unit cost (see equation 3).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While data centers can mitigate grid unreliability through private infrastructure, governance weaknesses — contract enforcement, expropriation risk, regulatory instability — cannot be engineered away. Because hardware costs are globally uniform, the efficiency adjustment applies only to the country-specific cost component — energy procurement, cooling infrastructure, construction, and grid connection —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 Turkmenistan, Tajikistan, Russia — lose ground. Because hardware accounts for roughly 90% of cost-recovery costs, the non-hardware spread is narrow, and even modest governance penalties on local costs can reshuffle adjacent ranks.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89% of global inference demand (HHI = 0.30). </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extends the sovereignty logic to routine commercial computation.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This sensitivity reinforces the structural argument — the finding that energy-rich developing countries can compete depends primarily on the observation that hardware is globally priced, not on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3" w:name="vanderPloeg2011txt"/>
      <w:hyperlink w:anchor="vanderPloeg2011" w:history="1">
        <w:r>
          <w:rPr>
            <w:color w:val="1F3864"/>
            <w:u w:val="single"/>
          </w:rPr>
          <w:t xml:space="preserve">van der Ploeg 2011</w:t>
        </w:r>
      </w:hyperlink>
      <w:bookmarkEnd w:id="233"/>
      <w:r>
        <w:t xml:space="preserve">) warns that concentrated export revenues can lead to Dutch disease, institutional degradation, and volatility. Whether FLOP exporting countries share these risks depends on the revenue-sharing model they adopt: a sovereign wealth fund approach (Norway) versus elite capture (Dutch disease).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