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v22  —  February 21, 2026  21:08</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sovereignty premium captures governments’ preference for domestic data processing. Calibration across 85 countries shows that energy-abundant economies have a comparative advantage in training compute, while regional inference hubs form around major demand centers. Because hardware costs are globally uniform, cross-country cost differences are small, making institutional quality, reliability,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3" w:name="EpochAI2024txt"/>
      <w:hyperlink w:anchor="EpochAI2024" w:history="1">
        <w:r>
          <w:rPr>
            <w:color w:val="1F3864"/>
            <w:u w:val="single"/>
          </w:rPr>
          <w:t xml:space="preserve">Epoch AI 2024</w:t>
        </w:r>
      </w:hyperlink>
      <w:bookmarkEnd w:id="233"/>
      <w:r>
        <w:t xml:space="preserve">). Data centers accounted for approximately 1.5% of global electricity demand in 2024—more than the electricity consumption of France—a share projected to more than double by 2030 (</w:t>
      </w:r>
      <w:bookmarkStart w:id="247" w:name="IEA2025txt"/>
      <w:hyperlink w:anchor="IEA2025" w:history="1">
        <w:r>
          <w:rPr>
            <w:color w:val="1F3864"/>
            <w:u w:val="single"/>
          </w:rPr>
          <w:t xml:space="preserve">IEA 2025</w:t>
        </w:r>
      </w:hyperlink>
      <w:bookmarkEnd w:id="247"/>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4" w:name="WorldBank2024txt"/>
      <w:hyperlink w:anchor="WorldBank2024" w:history="1">
        <w:r>
          <w:rPr>
            <w:color w:val="1F3864"/>
            <w:u w:val="single"/>
          </w:rPr>
          <w:t xml:space="preserve">World Bank 2024</w:t>
        </w:r>
      </w:hyperlink>
      <w:bookmarkEnd w:id="234"/>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5" w:name="Sastry2024txt"/>
      <w:hyperlink w:anchor="Sastry2024" w:history="1">
        <w:r>
          <w:rPr>
            <w:color w:val="1F3864"/>
            <w:u w:val="single"/>
          </w:rPr>
          <w:t xml:space="preserve">Sastry et al. 2024</w:t>
        </w:r>
      </w:hyperlink>
      <w:bookmarkEnd w:id="235"/>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6" w:name="Pilz2025txt"/>
      <w:hyperlink w:anchor="Pilz2025" w:history="1">
        <w:r>
          <w:rPr>
            <w:color w:val="1F3864"/>
            <w:u w:val="single"/>
          </w:rPr>
          <w:t xml:space="preserve">Pilz et al. 2025</w:t>
        </w:r>
      </w:hyperlink>
      <w:bookmarkEnd w:id="236"/>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Capacity ceilings generate market-clearing prices and scarcity rents, yielding predictions about market concentration, export patterns, and the value of grid expansion.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across 85 countries. Since electricity and construction account for only a small share of total cost, cross-country cost differences are narrow. Once reliability penalties for grid outages, weak governance, and sanctions exposure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reliability and institutional quality alongside low energy costs.</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8" w:name="Hausmann2007txt"/>
      <w:hyperlink w:anchor="Hausmann2007" w:history="1">
        <w:r>
          <w:rPr>
            <w:color w:val="1F3864"/>
            <w:u w:val="single"/>
          </w:rPr>
          <w:t xml:space="preserve">Hausmann et al. (2007)</w:t>
        </w:r>
      </w:hyperlink>
      <w:bookmarkEnd w:id="248"/>
      <w:r>
        <w:t xml:space="preserve">, who show that what a country exports matters for growth. </w:t>
      </w:r>
      <w:bookmarkStart w:id="237" w:name="Limao2001txt"/>
      <w:hyperlink w:anchor="Limao2001" w:history="1">
        <w:r>
          <w:rPr>
            <w:color w:val="1F3864"/>
            <w:u w:val="single"/>
          </w:rPr>
          <w:t xml:space="preserve">Limão and Venables (2001)</w:t>
        </w:r>
      </w:hyperlink>
      <w:bookmarkEnd w:id="237"/>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9" w:name="Liu2023txt"/>
      <w:hyperlink w:anchor="Liu2023" w:history="1">
        <w:r>
          <w:rPr>
            <w:color w:val="1F3864"/>
            <w:u w:val="single"/>
          </w:rPr>
          <w:t xml:space="preserve">Liu et al. (2023)</w:t>
        </w:r>
      </w:hyperlink>
      <w:bookmarkEnd w:id="249"/>
      <w:r>
        <w:t xml:space="preserve"> study data center placement under renewable energy constraints. These studies focus on where firms should build data centers. In international trade theory, </w:t>
      </w:r>
      <w:bookmarkStart w:id="254" w:name="Brainard1997txt"/>
      <w:hyperlink w:anchor="Brainard1997" w:history="1">
        <w:r>
          <w:rPr>
            <w:color w:val="1F3864"/>
            <w:u w:val="single"/>
          </w:rPr>
          <w:t xml:space="preserve">Brainard (1997)</w:t>
        </w:r>
      </w:hyperlink>
      <w:bookmarkEnd w:id="254"/>
      <w:r>
        <w:t xml:space="preserve"> formalizes the proximity-concentration trade-off between serving a market locally and concentrating production abroad, and </w:t>
      </w:r>
      <w:bookmarkStart w:id="238" w:name="HMY2004txt"/>
      <w:hyperlink w:anchor="HMY2004" w:history="1">
        <w:r>
          <w:rPr>
            <w:color w:val="1F3864"/>
            <w:u w:val="single"/>
          </w:rPr>
          <w:t xml:space="preserve">Helpman et al. (2004)</w:t>
        </w:r>
      </w:hyperlink>
      <w:bookmarkEnd w:id="238"/>
      <w:r>
        <w:t xml:space="preserve"> extend this to heterogeneous firms choosing between exporting and FDI.</w:t>
      </w:r>
    </w:p>
    <w:p>
      <w:pPr>
        <w:spacing w:before="0" w:after="160"/>
        <w:ind w:firstLine="0"/>
        <w:jc w:val="both"/>
      </w:pPr>
      <w:r>
        <w:t xml:space="preserve">On the governance side, </w:t>
      </w:r>
      <w:bookmarkStart w:id="239" w:name="Sastry2024txt"/>
      <w:hyperlink w:anchor="Sastry2024" w:history="1">
        <w:r>
          <w:rPr>
            <w:color w:val="1F3864"/>
            <w:u w:val="single"/>
          </w:rPr>
          <w:t xml:space="preserve">Sastry et al. (2024)</w:t>
        </w:r>
      </w:hyperlink>
      <w:bookmarkEnd w:id="239"/>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5" w:name="Pilz2025txt"/>
      <w:hyperlink w:anchor="Pilz2025" w:history="1">
        <w:r>
          <w:rPr>
            <w:color w:val="1F3864"/>
            <w:u w:val="single"/>
          </w:rPr>
          <w:t xml:space="preserve">Pilz et al. (2025)</w:t>
        </w:r>
      </w:hyperlink>
      <w:bookmarkEnd w:id="255"/>
      <w:r>
        <w:t xml:space="preserve"> project that AI data center power demand could reach 327 GW by 2030 and that domestic power shortages may push compute infrastructure abroad. The </w:t>
      </w:r>
      <w:bookmarkStart w:id="256" w:name="WorldBank2025txt"/>
      <w:hyperlink w:anchor="WorldBank2025" w:history="1">
        <w:r>
          <w:rPr>
            <w:color w:val="1F3864"/>
            <w:u w:val="single"/>
          </w:rPr>
          <w:t xml:space="preserve">World Bank (2025)</w:t>
        </w:r>
      </w:hyperlink>
      <w:bookmarkEnd w:id="256"/>
      <w:r>
        <w:t xml:space="preserve"> documents the resulting global compute divide: high-income countries hold 77% of colocation data center capacity and account for 87% of cloud computing exports (</w:t>
      </w:r>
      <w:bookmarkStart w:id="250" w:name="Stojkoski2024txt"/>
      <w:hyperlink w:anchor="Stojkoski2024" w:history="1">
        <w:r>
          <w:rPr>
            <w:color w:val="1F3864"/>
            <w:u w:val="single"/>
          </w:rPr>
          <w:t xml:space="preserve">Stojkoski et al. 2024</w:t>
        </w:r>
      </w:hyperlink>
      <w:bookmarkEnd w:id="250"/>
      <w:r>
        <w:t xml:space="preserve">), but the report offers descriptive evidence without a formal framework linking production costs to trade patterns. On the industrial organization side, </w:t>
      </w:r>
      <w:bookmarkStart w:id="240" w:name="Biglaiser2024txt"/>
      <w:hyperlink w:anchor="Biglaiser2024" w:history="1">
        <w:r>
          <w:rPr>
            <w:color w:val="1F3864"/>
            <w:u w:val="single"/>
          </w:rPr>
          <w:t xml:space="preserve">Biglaiser et al. (2024)</w:t>
        </w:r>
      </w:hyperlink>
      <w:bookmarkEnd w:id="240"/>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160"/>
        <w:ind w:firstLine="0"/>
        <w:jc w:val="both"/>
      </w:pPr>
      <w:r>
        <w:t xml:space="preserve">Governments and firms may prefer to process data domestically for national security, regulatory compliance, or political reasons. This is captured by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seller,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institutions and reliable power, and falls well below one where outages or sanctions reduce effective delivery.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0" w:name="Hummels2013txt"/>
      <w:hyperlink w:anchor="Hummels2013" w:history="1">
        <w:r>
          <w:rPr>
            <w:color w:val="1F3864"/>
            <w:u w:val="single"/>
          </w:rPr>
          <w:t xml:space="preserve">Hummels and Schaur (2013)</w:t>
        </w:r>
      </w:hyperlink>
      <w:bookmarkEnd w:id="210"/>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sovereignty premium, is lower than producing domestically: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5,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sovereignty premium </w:t>
      </w:r>
      <m:oMath>
        <m:r>
          <m:rPr>
            <m:sty m:val="i"/>
          </m:rPr>
          <w:rPr>
            <w:rFonts w:ascii="Cambria Math" w:hAnsi="Cambria Math"/>
          </w:rPr>
          <m:t xml:space="preserve">λ</m:t>
        </m:r>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so the sovereignty premium is large enough to justify domestic production of both training and inference.(v)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5).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(Shadow Value and Grid Expansion). </w:t>
      </w:r>
      <w:r>
        <w:t xml:space="preserve">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least profitable active use (Section 3.4). Grid expansion is warranted if and only if the amortized per-GPU-hour cost of grid infrastructure </w:t>
      </w:r>
      <m:oMath>
        <m:sSub>
          <m:sSubPr/>
          <m:e>
            <m:r>
              <m:rPr>
                <m:sty m:val="i"/>
              </m:rPr>
              <w:rPr>
                <w:rFonts w:ascii="Cambria Math" w:hAnsi="Cambria Math"/>
              </w:rPr>
              <m:t xml:space="preserve">g</m:t>
            </m:r>
          </m:e>
          <m:sub>
            <m:r>
              <m:rPr>
                <m:sty m:val="i"/>
              </m:rPr>
              <w:rPr>
                <w:rFonts w:ascii="Cambria Math" w:hAnsi="Cambria Math"/>
              </w:rPr>
              <m:t xml:space="preserve">j</m:t>
            </m:r>
          </m:sub>
        </m:sSub>
      </m:oMath>
      <w:r>
        <w:t xml:space="preserve"> satisfies </w:t>
      </w:r>
      <m:oMath>
        <m:sSub>
          <m:sSubPr/>
          <m:e>
            <m:r>
              <m:rPr>
                <m:sty m:val="i"/>
              </m:rPr>
              <w:rPr>
                <w:rFonts w:ascii="Cambria Math" w:hAnsi="Cambria Math"/>
              </w:rPr>
              <m:t xml:space="preserve">g</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μ</m:t>
            </m:r>
          </m:e>
          <m:sub>
            <m:r>
              <m:rPr>
                <m:sty m:val="i"/>
              </m:rPr>
              <w:rPr>
                <w:rFonts w:ascii="Cambria Math" w:hAnsi="Cambria Math"/>
              </w:rPr>
              <m:t xml:space="preserve">j</m:t>
            </m:r>
          </m:sub>
        </m:sSub>
      </m:oMath>
      <w:r>
        <w:t>. This follows directly from the concavity of the rent function.</w:t>
      </w:r>
    </w:p>
    <w:p>
      <w:pPr>
        <w:spacing w:before="0" w:after="160"/>
        <w:ind w:firstLine="0"/>
        <w:jc w:val="both"/>
      </w:pPr>
      <w:r>
        <w:rPr>
          <w:b/>
          <w:i/>
        </w:rPr>
        <w:t xml:space="preserve">Proposition 5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 (2), and (3) requires data on electricity prices, temperatures, construction costs, and bilateral latencies.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1" w:name="Eurostat2025txt"/>
      <w:hyperlink w:anchor="Eurostat2025" w:history="1">
        <w:r>
          <w:rPr>
            <w:color w:val="1F3864"/>
            <w:u w:val="single"/>
          </w:rPr>
          <w:t xml:space="preserve">Eurostat 2025</w:t>
        </w:r>
      </w:hyperlink>
      <w:bookmarkEnd w:id="241"/>
      <w:r>
        <w:t xml:space="preserve">). For non-European countries, the prices are obtained from national regulator tariff sheets and secondary sources, including the U.S. Energy Information Administration (</w:t>
      </w:r>
      <w:bookmarkStart w:id="251" w:name="EIA2025txt"/>
      <w:hyperlink w:anchor="EIA2025" w:history="1">
        <w:r>
          <w:rPr>
            <w:color w:val="1F3864"/>
            <w:u w:val="single"/>
          </w:rPr>
          <w:t xml:space="preserve">EIA 2025</w:t>
        </w:r>
      </w:hyperlink>
      <w:bookmarkEnd w:id="251"/>
      <w:r>
        <w:t xml:space="preserve">) for the United States, KEPCO for South Korea,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3txt901"/>
      <w:hyperlink w:anchor="Eq3" w:history="1">
        <w:r>
          <w:rPr>
            <w:color w:val="1F3864"/>
            <w:u w:val="single"/>
          </w:rPr>
          <w:t xml:space="preserve">equation (3)</w:t>
        </w:r>
      </w:hyperlink>
      <w:bookmarkEnd w:id="901"/>
      <w:r>
        <w:t xml:space="preserve">. For the top 15 markets, capacity estimates come from industry reports (Synergy Research, Cushman &amp; Wakefield, CBRE, Mordor Intelligence).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thermal design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w:t>
      </w:r>
      <w:bookmarkStart w:id="252" w:name="NVIDIA2024txt"/>
      <w:hyperlink w:anchor="NVIDIA2024" w:history="1">
        <w:r>
          <w:rPr>
            <w:color w:val="1F3864"/>
            <w:u w:val="single"/>
          </w:rPr>
          <w:t xml:space="preserve">NVIDIA 2024</w:t>
        </w:r>
      </w:hyperlink>
      <w:bookmarkEnd w:id="252"/>
      <w:r>
        <w:t xml:space="preserve">). Google’s fleet-wide GPU utilization, after years of optimization with custom schedulers and workload packing, runs in the 60–75% range (</w:t>
      </w:r>
      <w:bookmarkStart w:id="242" w:name="Barroso2018txt"/>
      <w:hyperlink w:anchor="Barroso2018" w:history="1">
        <w:r>
          <w:rPr>
            <w:color w:val="1F3864"/>
            <w:u w:val="single"/>
          </w:rPr>
          <w:t xml:space="preserve">Barroso et al. 2018</w:t>
        </w:r>
      </w:hyperlink>
      <w:bookmarkEnd w:id="242"/>
      <w:r>
        <w:t xml:space="preserve">). A new entrant would likely achieve 40–60% utilization in the early years, roughly doubling the effective hardware cost per useful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InfiniBand interconnect fabric amortized over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Table A1.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Since hardware amortization remains 80–85 percent of total cost across GPU generations, the qualitative findings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1" w:name="Deloitte2020txt"/>
      <w:hyperlink w:anchor="Deloitte2020" w:history="1">
        <w:r>
          <w:rPr>
            <w:color w:val="1F3864"/>
            <w:u w:val="single"/>
          </w:rPr>
          <w:t xml:space="preserve">Deloitte (2020)</w:t>
        </w:r>
      </w:hyperlink>
      <w:bookmarkEnd w:id="221"/>
      <w:r>
        <w:t xml:space="preserve"> that a 0.1-second improvement in page load time raises e-commerce conversion rates by 8.4%.</w:t>
      </w:r>
      <w:r>
        <w:rPr>
          <w:rStyle w:val="FootnoteReference"/>
        </w:rPr>
        <w:footnoteReference w:id="14"/>
      </w:r>
      <w:r>
        <w:t xml:space="preserve"> The sovereignty premium is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Reliability. </w:t>
      </w:r>
      <w:r>
        <w:t xml:space="preserve">The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w:t>
      </w:r>
      <w:bookmarkStart w:id="902" w:name="Eq2txt902"/>
      <w:hyperlink w:anchor="Eq2" w:history="1">
        <w:r>
          <w:rPr>
            <w:color w:val="1F3864"/>
            <w:u w:val="single"/>
          </w:rPr>
          <w:t xml:space="preserve">equation (2)</w:t>
        </w:r>
      </w:hyperlink>
      <w:bookmarkEnd w:id="902"/>
      <w:r>
        <w:t xml:space="preserve"> is constructed as the product of three normalized scores for governance quality (</w:t>
      </w:r>
      <w:bookmarkStart w:id="223" w:name="WorldBank2024txt"/>
      <w:hyperlink w:anchor="WorldBank2024" w:history="1">
        <w:r>
          <w:rPr>
            <w:color w:val="1F3864"/>
            <w:u w:val="single"/>
          </w:rPr>
          <w:t xml:space="preserve">World Bank</w:t>
        </w:r>
      </w:hyperlink>
      <w:bookmarkEnd w:id="223"/>
      <w:r>
        <w:t xml:space="preserve"> Worldwide Governance Indicators, Rule of Law percentile, rescaled to [0, 1]), grid reliability (inverse of hours without electricity per firm per year, from the </w:t>
      </w:r>
      <w:bookmarkStart w:id="243" w:name="WorldBank2024txt"/>
      <w:hyperlink w:anchor="WorldBank2024" w:history="1">
        <w:r>
          <w:rPr>
            <w:color w:val="1F3864"/>
            <w:u w:val="single"/>
          </w:rPr>
          <w:t xml:space="preserve">World Bank</w:t>
        </w:r>
      </w:hyperlink>
      <w:bookmarkEnd w:id="243"/>
      <w:r>
        <w:t xml:space="preserve"> Enterprise Surveys), and sanctions exposure (0 for unrestricted, 0.5 for comprehensive sanctions). For OECD countries with negligible outages and no sanctions,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For countries under heavy sanctions (Iran, Russia, Belarus),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tight cross-country cost spread (≈20%) means small reliability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12" w:name="Table3txt"/>
      <w:hyperlink w:anchor="Table3" w:history="1">
        <w:r>
          <w:rPr>
            <w:color w:val="1F3864"/>
            <w:u w:val="single"/>
          </w:rPr>
          <w:t xml:space="preserve">Table 3</w:t>
        </w:r>
      </w:hyperlink>
      <w:bookmarkEnd w:id="112"/>
      <w:r>
        <w:t xml:space="preserve"> ranks all countries under four alternative pricing specifications, moving from raw electricity tariffs to the paper’s preferred reliability-adjusted measure. </w:t>
      </w:r>
      <w:bookmarkStart w:id="100" w:name="TableA1txt"/>
      <w:hyperlink w:anchor="TableA1" w:history="1">
        <w:r>
          <w:rPr>
            <w:color w:val="1F3864"/>
            <w:u w:val="single"/>
          </w:rPr>
          <w:t xml:space="preserve">Table A1</w:t>
        </w:r>
      </w:hyperlink>
      <w:bookmarkEnd w:id="100"/>
      <w:r>
        <w:t xml:space="preserve"> in the Appendix reports the full calibration parameters for all </w:t>
      </w:r>
      <m:oMath>
        <m:r>
          <m:rPr>
            <m:sty m:val="i"/>
          </m:rPr>
          <w:rPr>
            <w:rFonts w:ascii="Cambria Math" w:hAnsi="Cambria Math"/>
          </w:rPr>
          <m:t xml:space="preserve">N</m:t>
        </m:r>
        <m:r>
          <m:rPr>
            <m:sty m:val="p"/>
          </m:rPr>
          <w:rPr>
            <w:rFonts w:ascii="Cambria Math" w:hAnsi="Cambria Math"/>
          </w:rPr>
          <m:t xml:space="preserve"> = 85</m:t>
        </m:r>
      </m:oMath>
      <w:r>
        <w:t xml:space="preserve"> countries; </w:t>
      </w:r>
      <w:bookmarkStart w:id="141" w:name="TableA2txt"/>
      <w:hyperlink w:anchor="TableA2" w:history="1">
        <w:r>
          <w:rPr>
            <w:color w:val="1F3864"/>
            <w:u w:val="single"/>
          </w:rPr>
          <w:t xml:space="preserve">Table A2</w:t>
        </w:r>
      </w:hyperlink>
      <w:bookmarkEnd w:id="141"/>
      <w:r>
        <w:t xml:space="preserve"> extends the rankings to all countries. Rankings shift dramatically across specifications: the country ranked first under raw tariffs falls to the bottom quintile once subsidies and institutional quality are accounted for. Because hardware and networking costs account for over 90% of engineering costs and are identical everywhere, the cross-country cost spread is narrow (about 12%), so even modest analytical corrections reshuffle the ordering.</w:t>
      </w:r>
    </w:p>
    <w:p>
      <w:pPr>
        <w:spacing w:before="0" w:after="160"/>
        <w:ind w:firstLine="0"/>
        <w:jc w:val="both"/>
      </w:pPr>
      <w:r>
        <w:rPr>
          <w:rFonts w:ascii="Times New Roman" w:hAnsi="Times New Roman"/>
          <w:b w:val="0"/>
          <w:i/>
          <w:sz w:val="24"/>
        </w:rPr>
        <w:t xml:space="preserve">Column (1): Raw electricity tariffs. </w:t>
      </w:r>
      <w:r>
        <w:t>Under observed electricity tariffs, the three cheapest producers are Iran ($1.41/hr), Turkmenistan ($1.42/hr), and Ethiopia ($1.43/hr). But this ranking conflates subsidies with endowments. Iran’s headline cost rests on electricity priced at $0.005/kWh, sustained by one of the world’s largest fossil fuel subsidies. Turkmenistan, Algeria, Qatar, and several other low-cost producers face similar distortions.</w:t>
      </w:r>
    </w:p>
    <w:p>
      <w:pPr>
        <w:spacing w:before="0" w:after="160"/>
        <w:ind w:firstLine="0"/>
        <w:jc w:val="both"/>
      </w:pPr>
      <w:r>
        <w:rPr>
          <w:rFonts w:ascii="Times New Roman" w:hAnsi="Times New Roman"/>
          <w:b w:val="0"/>
          <w:i/>
          <w:sz w:val="24"/>
        </w:rPr>
        <w:t xml:space="preserve">Column (2): Cost-recovery prices. </w:t>
      </w:r>
      <w:r>
        <w:t xml:space="preserve">To distinguish genuine comparative advantage from fiscal artifact, the calibration replaces subsidized tariffs with cost-recovery prices—the long-run marginal cost (LRMC) of the dominant generation technology at opportunity-cost fuel prices (</w:t>
      </w:r>
      <w:bookmarkStart w:id="244" w:name="IMF2025txt"/>
      <w:hyperlink w:anchor="IMF2025" w:history="1">
        <w:r>
          <w:rPr>
            <w:color w:val="1F3864"/>
            <w:u w:val="single"/>
          </w:rPr>
          <w:t xml:space="preserve">IMF 2025</w:t>
        </w:r>
      </w:hyperlink>
      <w:bookmarkEnd w:id="244"/>
      <w:r>
        <w:t xml:space="preserve">, </w:t>
      </w:r>
      <w:bookmarkStart w:id="224" w:name="Lazard2025txt"/>
      <w:hyperlink w:anchor="Lazard2025" w:history="1">
        <w:r>
          <w:rPr>
            <w:color w:val="1F3864"/>
            <w:u w:val="single"/>
          </w:rPr>
          <w:t xml:space="preserve">Lazard 2025</w:t>
        </w:r>
      </w:hyperlink>
      <w:bookmarkEnd w:id="224"/>
      <w:r>
        <w:t xml:space="preserve">). This adjustment is applied to 13 countries whose retail electricity prices fall below the estimated LRMC. The top of the ranking shifts toward hydropower-rich countries: Kyrgyzstan ($1.58/hr), Canada ($1.59/hr), Ethiopia ($1.59/hr), Kosovo ($1.60/hr), and Tajikistan ($1.60/hr).</w:t>
      </w:r>
    </w:p>
    <w:p>
      <w:pPr>
        <w:spacing w:before="0" w:after="160"/>
        <w:ind w:firstLine="0"/>
        <w:jc w:val="both"/>
      </w:pPr>
      <w:r>
        <w:rPr>
          <w:rFonts w:ascii="Times New Roman" w:hAnsi="Times New Roman"/>
          <w:b w:val="0"/>
          <w:i/>
          <w:sz w:val="24"/>
        </w:rPr>
        <w:t xml:space="preserve">Column (3): Reliability-adjusted (preferred specification). </w:t>
      </w:r>
      <w:r>
        <w:t xml:space="preserve">Dividing cost-recovery costs by the institutional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w:t>
      </w:r>
      <w:bookmarkStart w:id="903" w:name="Eq2txt903"/>
      <w:hyperlink w:anchor="Eq2" w:history="1">
        <w:r>
          <w:rPr>
            <w:color w:val="1F3864"/>
            <w:u w:val="single"/>
          </w:rPr>
          <w:t xml:space="preserve">equation (2)</w:t>
        </w:r>
      </w:hyperlink>
      <w:bookmarkEnd w:id="903"/>
      <w:r>
        <w:t xml:space="preserve"> penalizes countries with weak governance, unreliable grids, or sanctions exposure. The five cheapest producers are </w:t>
      </w:r>
      <w:r>
        <w:t xml:space="preserve">Canada ($1.61/hr), Norway ($1.62/hr), Finland ($1.62/hr), Sweden ($1.63/hr), and Iceland ($1.64/hr). Nine of the ten cheapest countries under the raw-tariff ranking fall out of the top ten after reliability adjustment. </w:t>
      </w:r>
      <w:r>
        <w:t xml:space="preserve">The Δ column of Table 3 records the rank change from specification (1) to (3). </w:t>
      </w:r>
      <w:r>
        <w:t>Iran drops 84 places</w:t>
      </w:r>
      <w:r>
        <w:t xml:space="preserve"> and Kyrgyzstan drops 64</w:t>
      </w:r>
      <w:r>
        <w:t>, while Austria rises 56 places</w:t>
      </w:r>
      <w:r>
        <w:t xml:space="preserve"> and Switzerland rises 50</w:t>
      </w:r>
      <w:r>
        <w:t xml:space="preserve">. An engineering cost advantage is therefore necessary but not sufficient for FLOP exporting; governance quality can easily dominate the thin cost margins. </w:t>
      </w:r>
      <w:bookmarkStart w:id="121" w:name="Figure1txt"/>
      <w:hyperlink w:anchor="Figure1" w:history="1">
        <w:r>
          <w:rPr>
            <w:color w:val="1F3864"/>
            <w:u w:val="single"/>
          </w:rPr>
          <w:t xml:space="preserve">Figure 1</w:t>
        </w:r>
      </w:hyperlink>
      <w:bookmarkEnd w:id="121"/>
      <w:r>
        <w:t xml:space="preserve"> illustrates the resulting rank reshuffling.</w:t>
      </w:r>
    </w:p>
    <w:p>
      <w:pPr>
        <w:spacing w:before="0" w:after="160"/>
        <w:ind w:firstLine="0"/>
        <w:jc w:val="both"/>
      </w:pPr>
      <w:r>
        <w:rPr>
          <w:rFonts w:ascii="Times New Roman" w:hAnsi="Times New Roman"/>
          <w:b w:val="0"/>
          <w:i/>
          <w:sz w:val="24"/>
        </w:rPr>
        <w:t xml:space="preserve">Column (4): Sovereignty. </w:t>
      </w:r>
      <w:r>
        <w:t xml:space="preserve">Specification (4) applies a </w:t>
      </w:r>
      <m:oMath>
        <m:bar>
          <m:barPr>
            <m:pos m:val="top"/>
          </m:barPr>
          <m:e>
            <m:r>
              <m:rPr>
                <m:sty m:val="i"/>
              </m:rPr>
              <w:rPr>
                <w:rFonts w:ascii="Cambria Math" w:hAnsi="Cambria Math"/>
              </w:rPr>
              <m:t xml:space="preserve">σ</m:t>
            </m:r>
          </m:e>
        </m:bar>
        <m:r>
          <m:rPr>
            <m:sty m:val="p"/>
          </m:rPr>
          <w:rPr>
            <w:rFonts w:ascii="Cambria Math" w:hAnsi="Cambria Math"/>
          </w:rPr>
          <m:t xml:space="preserve"> = 10%</m:t>
        </m:r>
      </m:oMath>
      <w:r>
        <w:t xml:space="preserve"> autarky threshold: countries whose reliability-adjusted cost exceeds the frontier price p* = $1.49/hr by more than 10% import at the frontier markup, while near-frontier countries produce domestically (type DD). </w:t>
      </w:r>
      <w:r>
        <w:t xml:space="preserve">Near-frontier countries switch to domestic production with minimal sovereignty premia. Kyrgyzstan requires only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-0.9%</m:t>
        </m:r>
      </m:oMath>
      <w:r>
        <w:t xml:space="preserve">, China 0.8%, and the United States 2.6%. High-cost countries require much larger premia: Germany needs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6.4%</m:t>
        </m:r>
      </m:oMath>
      <w:r>
        <w:t xml:space="preserve"> and Japan 6.9%. </w:t>
      </w: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 The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3txt904"/>
      <w:hyperlink w:anchor="Eq3" w:history="1">
        <w:r>
          <w:rPr>
            <w:color w:val="1F3864"/>
            <w:u w:val="single"/>
          </w:rPr>
          <w:t xml:space="preserve">equation (3)</w:t>
        </w:r>
      </w:hyperlink>
      <w:bookmarkEnd w:id="904"/>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consistent with Proposition 4. </w:t>
      </w:r>
      <w:r>
        <w:t>Inference is more dispersed, with the top five suppliers being Canada (46%), Kyrgyzstan (26%), Kosovo (6%), the United Kingdom (3%), and India (3%), collectively accounting for 84% of global inference demand (HHI = 0.29). Under the 10% sovereignty premium, most training demand is served domestically, and the smaller export market is served by 1 exporter (HHI = 1.00) at $1.58/hr.</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with two components, an import markup (importers pay </w:t>
      </w:r>
      <m:oMath>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6.0% of average compute spending, comparable to the 0.2–10% welfare losses from trade barriers estimated for goods trade (</w:t>
      </w:r>
      <w:bookmarkStart w:id="225" w:name="EatonKortum2002txt"/>
      <w:hyperlink w:anchor="EatonKortum2002" w:history="1">
        <w:r>
          <w:rPr>
            <w:color w:val="1F3864"/>
            <w:u w:val="single"/>
          </w:rPr>
          <w:t xml:space="preserve">Eaton and Kortum 2002</w:t>
        </w:r>
      </w:hyperlink>
      <w:bookmarkEnd w:id="225"/>
      <w:r>
        <w:t xml:space="preserve">, </w:t>
      </w:r>
      <w:bookmarkStart w:id="245" w:name="ACR2012txt"/>
      <w:hyperlink w:anchor="ACR2012" w:history="1">
        <w:r>
          <w:rPr>
            <w:color w:val="1F3864"/>
            <w:u w:val="single"/>
          </w:rPr>
          <w:t xml:space="preserve">Arkolakis et al. 2012</w:t>
        </w:r>
      </w:hyperlink>
      <w:bookmarkEnd w:id="245"/>
      <w:r>
        <w:t xml:space="preserve">).</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($1.65/hr), for the United Kingdom domestically ($1.66/hr), and for France from Kosovo ($1.66/hr). For China, the cheapest source of inference is Kyrgyzstan ($1.63/hr), a neighboring country with hydropower-based electricity. These patterns illustrate the model’s core prediction that inference organizes around latency-bounded regional hubs, and each major market has a distinct optimal supplier determined by geography. With a 10%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rPr>
          <w:rFonts w:ascii="Times New Roman" w:hAnsi="Times New Roman"/>
          <w:b w:val="0"/>
          <w:i/>
          <w:sz w:val="24"/>
        </w:rPr>
        <w:t xml:space="preserve">Governance and political economy. </w:t>
      </w:r>
      <w:r>
        <w:t xml:space="preserve">These cost rankings assume globally uniform hardware prices and abstract from institutional heterogeneity.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The </w:t>
      </w:r>
      <w:bookmarkStart w:id="226" w:name="WorldBank2025txt"/>
      <w:hyperlink w:anchor="WorldBank2025" w:history="1">
        <w:r>
          <w:rPr>
            <w:color w:val="1F3864"/>
            <w:u w:val="single"/>
          </w:rPr>
          <w:t xml:space="preserve">World Bank (2025)</w:t>
        </w:r>
      </w:hyperlink>
      <w:bookmarkEnd w:id="226"/>
      <w:r>
        <w:t xml:space="preserve"> frames this as the central policy choice: whether to build domestic compute capacity or secure affordable access to international cloud services, a trade-off the present model formalizes through the sovereignty premium and capacity constraints.</w:t>
      </w:r>
    </w:p>
    <w:p>
      <w:pPr>
        <w:spacing w:before="0" w:after="160"/>
        <w:ind w:firstLine="0"/>
        <w:jc w:val="both"/>
      </w:pPr>
      <w:r>
        <w:t xml:space="preserve">The EU’s GDPR and AI Act segment the compute market along regulatory lines, reinforcing the sovereignty premium </w:t>
      </w:r>
      <m:oMath>
        <m:r>
          <m:rPr>
            <m:sty m:val="i"/>
          </m:rPr>
          <w:rPr>
            <w:rFonts w:ascii="Cambria Math" w:hAnsi="Cambria Math"/>
          </w:rPr>
          <m:t xml:space="preserve">λ</m:t>
        </m:r>
      </m:oMath>
      <w:r>
        <w:t xml:space="preserve"> as a structural feature. U.S. export controls on advanced GPUs (October 2022 and October 2023 rules, expanded in 2025) create a hard binary constraint for certain jurisdictions—H100-class GPUs cannot legally be shipped there at all, making the relevant question availability rather than price. For countries not under outright bans but subject to per-chip caps, the effective hardware cost </w:t>
      </w:r>
      <m:oMath>
        <m:r>
          <m:rPr>
            <m:sty m:val="i"/>
          </m:rPr>
          <w:rPr>
            <w:rFonts w:ascii="Cambria Math" w:hAnsi="Cambria Math"/>
          </w:rPr>
          <m:t xml:space="preserve">ρ</m:t>
        </m:r>
      </m:oMath>
      <w:r>
        <w:t xml:space="preserve"> rises through grey-market procurement, potentially offsetting any electricity cost advantage and discouraging long-term investment. As shown above, once reliability and governance are factored into costs, viable compute exporters are a strict subset of low-cost producers—those that combine cheap energy with adequate institutional quality, such as the Nordic countries, Canada, and parts of the Gulf and Central Asia. Water is another constraint. Evaporative cooling consumes large volumes, and several of the cheapest producers (Iran, Turkmenistan, Egypt, Saudi Arabia) are water-scarce. Liquid cooling reduces water needs but does not eliminate them.</w:t>
      </w:r>
    </w:p>
    <w:p>
      <w:pPr>
        <w:spacing w:before="0" w:after="160"/>
        <w:ind w:firstLine="0"/>
        <w:jc w:val="both"/>
      </w:pPr>
      <w:r>
        <w:t>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w:t>
      </w:r>
    </w:p>
    <w:p>
      <w:pPr>
        <w:spacing w:before="0" w:after="160"/>
        <w:ind w:firstLine="0"/>
        <w:jc w:val="both"/>
      </w:pPr>
      <w:r>
        <w:rPr>
          <w:rFonts w:ascii="Times New Roman" w:hAnsi="Times New Roman"/>
          <w:b w:val="0"/>
          <w:i/>
          <w:sz w:val="24"/>
        </w:rPr>
        <w:t xml:space="preserve">Subsidy adjustment. </w:t>
      </w: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export scale, this fiscal arithmetic becomes unsustainable. Even cost-recovery prices may understate the true resource cost.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 Iran drops from first to 24th. Eleven countries change trade regime.</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Table A1, a hyperscale data center can be large relative to the host grid. Kyrgyzstan’s installed generation capacity is approximately 3,800 MW (</w:t>
      </w:r>
      <w:bookmarkStart w:id="227" w:name="ABD2020txt"/>
      <w:hyperlink w:anchor="ABD2020" w:history="1">
        <w:r>
          <w:rPr>
            <w:color w:val="1F3864"/>
            <w:u w:val="single"/>
          </w:rPr>
          <w:t xml:space="preserve">ABD 2020</w:t>
        </w:r>
      </w:hyperlink>
      <w:bookmarkEnd w:id="227"/>
      <w:r>
        <w:t xml:space="preserve">), and a single 100 MW facility would consume roughly 3% of national electricity output.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7"/>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Table A1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amortizes hardware and construction costs using straight-line depreciation, implicitly assuming a zero discount rate and uniform financing costs across countries. In practice, the cost of capital varies substantially. An OECD-based hyperscaler financing at a weighted average cost of capital (WACC) of 8% faces an annualized hardware cost of $1.58 per GPU-hour, compared with $1.36 under straight-line depreciation. A locally financed facility in a developing country, facing a WACC of 18% owing to sovereign risk, currency risk, and shallow domestic capital markets, would pay $1.87 per GPU-hour for the same hardware—a financing gap of $0.29 per GPU-hour on hardware alone. Including construction (at 15-year facility life), the total financing gap between an OECD and a developing-country operator widens to approximately $0.37 per GPU-hour, roughly four times the entire electricity cost spread across the top 20 countries in the baseline ranking. The effect on comparative advantage depends on the ownership model. If hyperscalers finance facilities at their own WACC regardless of host country, financing costs are approximately uniform and the baseline rankings hold. If local entrepreneurs or sovereign wealth funds finance at domestic rates, the cost-of-capital channel reinforces the reliability adjustment: the same institutional weaknesses that lower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also raise the country risk premium, compounding the disadvantage of low-income producers. The calibration’s implicit assumption of uniform financing is therefore conservative in the sense that it overstates developing-country cost competitiveness relative to a scenario with heterogeneous cost of capital.</w:t>
      </w:r>
    </w:p>
    <w:p>
      <w:pPr>
        <w:spacing w:before="0" w:after="160"/>
        <w:ind w:firstLine="0"/>
        <w:jc w:val="both"/>
      </w:pPr>
      <w:r>
        <w:rPr>
          <w:rFonts w:ascii="Times New Roman" w:hAnsi="Times New Roman"/>
          <w:b w:val="0"/>
          <w:i/>
          <w:sz w:val="24"/>
        </w:rPr>
        <w:t xml:space="preserve">Sensitivity analysis. </w:t>
      </w:r>
      <w:r>
        <w:t xml:space="preserve">The cost rankings in Table A1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accommodate endogenous capacity investment, allowing countries to optimally choose their capacity ceiling rather than taking grid limits as given.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 Country-specific cost of capital can replace the uniform straight-line amortization with annuity-based depreciation at heterogeneous discount rates, introducing a financing channel that compounds the reliability disadvantage of high-risk countries (see Section 6.3). New undersea cables, terrestrial fiber, and CDN expansions could cut bilateral latencies enough to redraw inference trade patterns, opening distant low-cost producers to markets they cannot currently reach.</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8" w:name="Krugman1991txt"/>
      <w:hyperlink w:anchor="Krugman1991" w:history="1">
        <w:r>
          <w:rPr>
            <w:color w:val="1F3864"/>
            <w:u w:val="single"/>
          </w:rPr>
          <w:t xml:space="preserve">Krugman 1991</w:t>
        </w:r>
      </w:hyperlink>
      <w:bookmarkEnd w:id="228"/>
      <w:r>
        <w:t xml:space="preserve">). The concentration of data centers in locations such as Northern Virginia reflects these centripetal forces.</w:t>
      </w:r>
    </w:p>
    <w:p>
      <w:pPr>
        <w:spacing w:before="0" w:after="160"/>
        <w:ind w:firstLine="0"/>
        <w:jc w:val="both"/>
      </w:pPr>
      <w:r>
        <w:t>The model’s contribution is to identify which countries satisfy the necessary cost condition for competitive supply. Even under increasing returns, hyperscalers expanding internationally will favor locations with the lowest electricity, cooling, and construction costs, conditional on meeting minimum infrastructure thresholds. The cost ranking in Table A1 thus identifies the feasibility frontier. Cost-competitive countries have a prerequisite for attracting investment, though cost competitiveness alone is not sufficient. The thin margins documented above (a 12% spread between the cheapest and the most expensive) reinforce this point. Since unit cost advantages are modest, institutional and agglomeration factors are often decisive in determining which countries are cost-competitive and attract investment.</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0.2–10% welfare losses from trade barriers estimated for goods trade (</w:t>
      </w:r>
      <w:bookmarkStart w:id="246" w:name="EatonKortum2002txt"/>
      <w:hyperlink w:anchor="EatonKortum2002" w:history="1">
        <w:r>
          <w:rPr>
            <w:color w:val="1F3864"/>
            <w:u w:val="single"/>
          </w:rPr>
          <w:t xml:space="preserve">Eaton and Kortum 2002</w:t>
        </w:r>
      </w:hyperlink>
      <w:bookmarkEnd w:id="246"/>
      <w:r>
        <w:t xml:space="preserve">, </w:t>
      </w:r>
      <w:bookmarkStart w:id="253" w:name="ACR2012txt"/>
      <w:hyperlink w:anchor="ACR2012" w:history="1">
        <w:r>
          <w:rPr>
            <w:color w:val="1F3864"/>
            <w:u w:val="single"/>
          </w:rPr>
          <w:t xml:space="preserve">Arkolakis et al. 2012</w:t>
        </w:r>
      </w:hyperlink>
      <w:bookmarkEnd w:id="253"/>
      <w:r>
        <w:t xml:space="preserve">). The model generates a country taxonomy (full importers, training exporters, inference hubs, and hybrid regimes) that maps onto observed investment patterns. This geographic structure is consistent with </w:t>
      </w:r>
      <w:bookmarkStart w:id="229" w:name="Lehdonvirta2024txt"/>
      <w:hyperlink w:anchor="Lehdonvirta2024" w:history="1">
        <w:r>
          <w:rPr>
            <w:color w:val="1F3864"/>
            <w:u w:val="single"/>
          </w:rPr>
          <w:t xml:space="preserve">Lehdonvirta et al. (2024)</w:t>
        </w:r>
      </w:hyperlink>
      <w:bookmarkEnd w:id="229"/>
      <w:r>
        <w:t xml:space="preserve">, who independently find that training-capable GPU infrastructure is concentrated in roughly 30 countries, while the rest are limited to inference-grade hardware. A central finding is that electricity costs, while the main source of cross-country cost variation, are not the dominant determinant of actual data center location. Because hardware and networking costs are uniform and account for over 90% of per-GPU-hour costs, the cost spread across countries is narrow. Institutional quality, sovereignty preferences, and access to GPU hardware frequently outweigh these thin cost margins.</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0" w:name="vanderPloeg2011txt"/>
      <w:hyperlink w:anchor="vanderPloeg2011" w:history="1">
        <w:r>
          <w:rPr>
            <w:color w:val="1F3864"/>
            <w:u w:val="single"/>
          </w:rPr>
          <w:t xml:space="preserve">van der Ploeg 2011</w:t>
        </w:r>
      </w:hyperlink>
      <w:bookmarkEnd w:id="230"/>
      <w:r>
        <w:t xml:space="preserve">) cautions that concentrated export revenues can produce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2"/>
    </w:p>
    <w:p>
      <w:pPr>
        <w:spacing w:before="0" w:after="80" w:line="240" w:lineRule="exact"/>
        <w:ind w:hanging="720" w:left="720"/>
        <w:jc w:val="both"/>
      </w:pPr>
      <w:bookmarkStart w:id="503"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3"/>
    </w:p>
    <w:p>
      <w:pPr>
        <w:spacing w:before="0" w:after="80" w:line="240" w:lineRule="exact"/>
        <w:ind w:hanging="720" w:left="720"/>
        <w:jc w:val="both"/>
      </w:pPr>
      <w:bookmarkStart w:id="504"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4"/>
    </w:p>
    <w:p>
      <w:pPr>
        <w:spacing w:before="0" w:after="80" w:line="240" w:lineRule="exact"/>
        <w:ind w:hanging="720" w:left="720"/>
        <w:jc w:val="both"/>
      </w:pPr>
      <w:bookmarkStart w:id="505"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5"/>
    </w:p>
    <w:p>
      <w:pPr>
        <w:spacing w:before="0" w:after="80" w:line="240" w:lineRule="exact"/>
        <w:ind w:hanging="720" w:left="720"/>
        <w:jc w:val="both"/>
      </w:pPr>
      <w:bookmarkStart w:id="506" w:name="Deloitte2020"/>
      <w:hyperlink w:anchor="Deloitte2020txt" w:history="1">
        <w:r>
          <w:rPr>
            <w:color w:val="1F3864"/>
            <w:u w:val="single"/>
          </w:rPr>
          <w:t xml:space="preserve">Deloitte and Google. (2020). </w:t>
        </w:r>
      </w:hyperlink>
      <w:r>
        <w:t>“Milliseconds Make Millions.” Deloitte Digital and Google.</w:t>
      </w:r>
      <w:bookmarkEnd w:id="506"/>
    </w:p>
    <w:p>
      <w:pPr>
        <w:spacing w:before="0" w:after="80" w:line="240" w:lineRule="exact"/>
        <w:ind w:hanging="720" w:left="720"/>
        <w:jc w:val="both"/>
      </w:pPr>
      <w:bookmarkStart w:id="507"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7"/>
    </w:p>
    <w:p>
      <w:pPr>
        <w:spacing w:before="0" w:after="80" w:line="240" w:lineRule="exact"/>
        <w:ind w:hanging="720" w:left="720"/>
        <w:jc w:val="both"/>
      </w:pPr>
      <w:bookmarkStart w:id="508"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08"/>
    </w:p>
    <w:p>
      <w:pPr>
        <w:spacing w:before="0" w:after="80" w:line="240" w:lineRule="exact"/>
        <w:ind w:hanging="720" w:left="720"/>
        <w:jc w:val="both"/>
      </w:pPr>
      <w:bookmarkStart w:id="509"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09"/>
    </w:p>
    <w:p>
      <w:pPr>
        <w:spacing w:before="0" w:after="80" w:line="240" w:lineRule="exact"/>
        <w:ind w:hanging="720" w:left="720"/>
        <w:jc w:val="both"/>
      </w:pPr>
      <w:bookmarkStart w:id="510" w:name="EpochAI2024"/>
      <w:hyperlink w:anchor="EpochAI2024txt" w:history="1">
        <w:r>
          <w:rPr>
            <w:color w:val="1F3864"/>
            <w:u w:val="single"/>
          </w:rPr>
          <w:t xml:space="preserve">Epoch AI. (2024). </w:t>
        </w:r>
      </w:hyperlink>
      <w:r>
        <w:t>“The Training Compute of Notable AI Models.” epochai.org.</w:t>
      </w:r>
      <w:bookmarkEnd w:id="510"/>
    </w:p>
    <w:p>
      <w:pPr>
        <w:spacing w:before="0" w:after="80" w:line="240" w:lineRule="exact"/>
        <w:ind w:hanging="720" w:left="720"/>
        <w:jc w:val="both"/>
      </w:pPr>
      <w:bookmarkStart w:id="511"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1"/>
    </w:p>
    <w:p>
      <w:pPr>
        <w:spacing w:before="0" w:after="80" w:line="240" w:lineRule="exact"/>
        <w:ind w:hanging="720" w:left="720"/>
        <w:jc w:val="both"/>
      </w:pPr>
      <w:bookmarkStart w:id="512"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2"/>
    </w:p>
    <w:p>
      <w:pPr>
        <w:spacing w:before="0" w:after="80" w:line="240" w:lineRule="exact"/>
        <w:ind w:hanging="720" w:left="720"/>
        <w:jc w:val="both"/>
      </w:pPr>
      <w:bookmarkStart w:id="513"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3"/>
    </w:p>
    <w:p>
      <w:pPr>
        <w:spacing w:before="0" w:after="80" w:line="240" w:lineRule="exact"/>
        <w:ind w:hanging="720" w:left="720"/>
        <w:jc w:val="both"/>
      </w:pPr>
      <w:bookmarkStart w:id="514"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4"/>
    </w:p>
    <w:p>
      <w:pPr>
        <w:spacing w:before="0" w:after="80" w:line="240" w:lineRule="exact"/>
        <w:ind w:hanging="720" w:left="720"/>
        <w:jc w:val="both"/>
      </w:pPr>
      <w:bookmarkStart w:id="515"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5"/>
    </w:p>
    <w:p>
      <w:pPr>
        <w:spacing w:before="0" w:after="80" w:line="240" w:lineRule="exact"/>
        <w:ind w:hanging="720" w:left="720"/>
        <w:jc w:val="both"/>
      </w:pPr>
      <w:bookmarkStart w:id="516" w:name="Google2024"/>
      <w:r>
        <w:rPr>
          <w:color w:val="1F3864"/>
          <w:u w:val="single"/>
        </w:rPr>
        <w:t xml:space="preserve">Google. </w:t>
      </w:r>
      <w:r>
        <w:t xml:space="preserve">(2024). </w:t>
      </w:r>
      <w:r>
        <w:rPr>
          <w:i/>
        </w:rPr>
        <w:t>2024 Environmental Report</w:t>
      </w:r>
      <w:r>
        <w:t>. sustainability.google.</w:t>
      </w:r>
      <w:bookmarkEnd w:id="516"/>
    </w:p>
    <w:p>
      <w:pPr>
        <w:spacing w:before="0" w:after="80" w:line="240" w:lineRule="exact"/>
        <w:ind w:hanging="720" w:left="720"/>
        <w:jc w:val="both"/>
      </w:pPr>
      <w:bookmarkStart w:id="517"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7"/>
    </w:p>
    <w:p>
      <w:pPr>
        <w:spacing w:before="0" w:after="80" w:line="240" w:lineRule="exact"/>
        <w:ind w:hanging="720" w:left="720"/>
        <w:jc w:val="both"/>
      </w:pPr>
      <w:bookmarkStart w:id="518"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18"/>
    </w:p>
    <w:p>
      <w:pPr>
        <w:spacing w:before="0" w:after="80" w:line="240" w:lineRule="exact"/>
        <w:ind w:hanging="720" w:left="720"/>
        <w:jc w:val="both"/>
      </w:pPr>
      <w:bookmarkStart w:id="519"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19"/>
    </w:p>
    <w:p>
      <w:pPr>
        <w:spacing w:before="0" w:after="80" w:line="240" w:lineRule="exact"/>
        <w:ind w:hanging="720" w:left="720"/>
        <w:jc w:val="both"/>
      </w:pPr>
      <w:bookmarkStart w:id="520"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0"/>
    </w:p>
    <w:p>
      <w:pPr>
        <w:spacing w:before="0" w:after="80" w:line="240" w:lineRule="exact"/>
        <w:ind w:hanging="720" w:left="720"/>
        <w:jc w:val="both"/>
      </w:pPr>
      <w:bookmarkStart w:id="521" w:name="IEA2025"/>
      <w:hyperlink w:anchor="IEA2025txt" w:history="1">
        <w:r>
          <w:rPr>
            <w:color w:val="1F3864"/>
            <w:u w:val="single"/>
          </w:rPr>
          <w:t xml:space="preserve">IEA. (2025). </w:t>
        </w:r>
      </w:hyperlink>
      <w:r>
        <w:t>“Energy Demand from AI.” Published online at iea.org.</w:t>
      </w:r>
      <w:bookmarkEnd w:id="521"/>
    </w:p>
    <w:p>
      <w:pPr>
        <w:spacing w:before="0" w:after="80" w:line="240" w:lineRule="exact"/>
        <w:ind w:hanging="720" w:left="720"/>
        <w:jc w:val="both"/>
      </w:pPr>
      <w:bookmarkStart w:id="522"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2"/>
    </w:p>
    <w:p>
      <w:pPr>
        <w:spacing w:before="0" w:after="80" w:line="240" w:lineRule="exact"/>
        <w:ind w:hanging="720" w:left="720"/>
        <w:jc w:val="both"/>
      </w:pPr>
      <w:bookmarkStart w:id="523"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3"/>
    </w:p>
    <w:p>
      <w:pPr>
        <w:spacing w:before="0" w:after="80" w:line="240" w:lineRule="exact"/>
        <w:ind w:hanging="720" w:left="720"/>
        <w:jc w:val="both"/>
      </w:pPr>
      <w:bookmarkStart w:id="524"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4"/>
    </w:p>
    <w:p>
      <w:pPr>
        <w:spacing w:before="0" w:after="80" w:line="240" w:lineRule="exact"/>
        <w:ind w:hanging="720" w:left="720"/>
        <w:jc w:val="both"/>
      </w:pPr>
      <w:bookmarkStart w:id="525"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5"/>
    </w:p>
    <w:p>
      <w:pPr>
        <w:spacing w:before="0" w:after="80" w:line="240" w:lineRule="exact"/>
        <w:ind w:hanging="720" w:left="720"/>
        <w:jc w:val="both"/>
      </w:pPr>
      <w:bookmarkStart w:id="526"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6"/>
    </w:p>
    <w:p>
      <w:pPr>
        <w:spacing w:before="0" w:after="80" w:line="240" w:lineRule="exact"/>
        <w:ind w:hanging="720" w:left="720"/>
        <w:jc w:val="both"/>
      </w:pPr>
      <w:bookmarkStart w:id="527"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1" w:name="WorldBank2024txt"/>
      <w:hyperlink w:anchor="WorldBank2024" w:history="1">
        <w:r>
          <w:rPr>
            <w:i/>
            <w:color w:val="1F3864"/>
            <w:u w:val="single"/>
          </w:rPr>
          <w:t xml:space="preserve">World Bank</w:t>
        </w:r>
      </w:hyperlink>
      <w:bookmarkEnd w:id="231"/>
      <w:r>
        <w:rPr>
          <w:i/>
        </w:rPr>
        <w:t xml:space="preserve"> Economic Review</w:t>
      </w:r>
      <w:r>
        <w:t>, 15(3): 451–479.</w:t>
      </w:r>
      <w:bookmarkEnd w:id="527"/>
    </w:p>
    <w:p>
      <w:pPr>
        <w:spacing w:before="0" w:after="80" w:line="240" w:lineRule="exact"/>
        <w:ind w:hanging="720" w:left="720"/>
        <w:jc w:val="both"/>
      </w:pPr>
      <w:bookmarkStart w:id="528"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8"/>
    </w:p>
    <w:p>
      <w:pPr>
        <w:spacing w:before="0" w:after="80" w:line="240" w:lineRule="exact"/>
        <w:ind w:hanging="720" w:left="720"/>
        <w:jc w:val="both"/>
      </w:pPr>
      <w:bookmarkStart w:id="529" w:name="NVIDIA2024"/>
      <w:hyperlink w:anchor="NVIDIA2024txt" w:history="1">
        <w:r>
          <w:rPr>
            <w:color w:val="1F3864"/>
            <w:u w:val="single"/>
          </w:rPr>
          <w:t xml:space="preserve">NVIDIA. </w:t>
        </w:r>
      </w:hyperlink>
      <w:r>
        <w:t xml:space="preserve">(2024). </w:t>
      </w:r>
      <w:r>
        <w:rPr>
          <w:i/>
        </w:rPr>
        <w:t>NVIDIA H100 Tensor Core GPU Datasheet</w:t>
      </w:r>
      <w:r>
        <w:t>. nvidia.com.</w:t>
      </w:r>
      <w:bookmarkEnd w:id="529"/>
    </w:p>
    <w:p>
      <w:pPr>
        <w:spacing w:before="0" w:after="80" w:line="240" w:lineRule="exact"/>
        <w:ind w:hanging="720" w:left="720"/>
        <w:jc w:val="both"/>
      </w:pPr>
      <w:bookmarkStart w:id="530"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0"/>
    </w:p>
    <w:p>
      <w:pPr>
        <w:spacing w:before="0" w:after="80" w:line="240" w:lineRule="exact"/>
        <w:ind w:hanging="720" w:left="720"/>
        <w:jc w:val="both"/>
      </w:pPr>
      <w:bookmarkStart w:id="531"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1"/>
    </w:p>
    <w:p>
      <w:pPr>
        <w:spacing w:before="0" w:after="80" w:line="240" w:lineRule="exact"/>
        <w:ind w:hanging="720" w:left="720"/>
        <w:jc w:val="both"/>
      </w:pPr>
      <w:bookmarkStart w:id="532" w:name="Sastry2024"/>
      <w:hyperlink w:anchor="Sastry2024txt" w:history="1">
        <w:r>
          <w:rPr>
            <w:color w:val="1F3864"/>
            <w:u w:val="single"/>
          </w:rPr>
          <w:t xml:space="preserve">Sastry, G., L. Heim, et al. (2024). </w:t>
        </w:r>
      </w:hyperlink>
      <w:r>
        <w:t>“Computing Power and the Governance of Artificial Intelligence.” arXiv:2402.08797.</w:t>
      </w:r>
      <w:bookmarkEnd w:id="532"/>
    </w:p>
    <w:p>
      <w:pPr>
        <w:spacing w:before="0" w:after="80" w:line="240" w:lineRule="exact"/>
        <w:ind w:hanging="720" w:left="720"/>
        <w:jc w:val="both"/>
      </w:pPr>
      <w:bookmarkStart w:id="533"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3"/>
    </w:p>
    <w:p>
      <w:pPr>
        <w:spacing w:before="0" w:after="80" w:line="240" w:lineRule="exact"/>
        <w:ind w:hanging="720" w:left="720"/>
        <w:jc w:val="both"/>
      </w:pPr>
      <w:bookmarkStart w:id="534"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4"/>
    </w:p>
    <w:p>
      <w:pPr>
        <w:spacing w:before="0" w:after="80" w:line="240" w:lineRule="exact"/>
        <w:ind w:hanging="720" w:left="720"/>
        <w:jc w:val="both"/>
      </w:pPr>
      <w:bookmarkStart w:id="535" w:name="TurnerLee2025"/>
      <w:hyperlink w:anchor="TurnerLee2025txt" w:history="1">
        <w:r>
          <w:rPr>
            <w:color w:val="1F3864"/>
            <w:u w:val="single"/>
          </w:rPr>
          <w:t xml:space="preserve">Turner Lee, N., and D. West. (2025). </w:t>
        </w:r>
      </w:hyperlink>
      <w:r>
        <w:t>“The Future of Data Centers.” Brookings Institution, November 2025.</w:t>
      </w:r>
      <w:bookmarkEnd w:id="535"/>
    </w:p>
    <w:p>
      <w:pPr>
        <w:spacing w:before="0" w:after="80" w:line="240" w:lineRule="exact"/>
        <w:ind w:hanging="720" w:left="720"/>
        <w:jc w:val="both"/>
      </w:pPr>
      <w:bookmarkStart w:id="536" w:name="DOJFTC2010"/>
      <w:r>
        <w:rPr>
          <w:color w:val="1F3864"/>
          <w:u w:val="single"/>
        </w:rPr>
        <w:t xml:space="preserve">U.S. Department of Justice and Federal Trade Commission. </w:t>
      </w:r>
      <w:r>
        <w:t xml:space="preserve">(2010). </w:t>
      </w:r>
      <w:r>
        <w:rPr>
          <w:i/>
        </w:rPr>
        <w:t>Horizontal Merger Guidelines</w:t>
      </w:r>
      <w:r>
        <w:t>. Washington, DC.</w:t>
      </w:r>
      <w:bookmarkEnd w:id="536"/>
    </w:p>
    <w:p>
      <w:pPr>
        <w:spacing w:before="0" w:after="80" w:line="240" w:lineRule="exact"/>
        <w:ind w:hanging="720" w:left="720"/>
        <w:jc w:val="both"/>
      </w:pPr>
      <w:bookmarkStart w:id="537" w:name="UNCTAD2025"/>
      <w:r>
        <w:rPr>
          <w:color w:val="1F3864"/>
          <w:u w:val="single"/>
        </w:rPr>
        <w:t xml:space="preserve">UNCTAD. </w:t>
      </w:r>
      <w:r>
        <w:t xml:space="preserve">(2025). </w:t>
      </w:r>
      <w:r>
        <w:rPr>
          <w:i/>
        </w:rPr>
        <w:t>Technology and Innovation Report 2025</w:t>
      </w:r>
      <w:r>
        <w:t>. Geneva: United Nations.</w:t>
      </w:r>
      <w:bookmarkEnd w:id="537"/>
    </w:p>
    <w:p>
      <w:pPr>
        <w:spacing w:before="0" w:after="80" w:line="240" w:lineRule="exact"/>
        <w:ind w:hanging="720" w:left="720"/>
        <w:jc w:val="both"/>
      </w:pPr>
      <w:bookmarkStart w:id="538"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8"/>
    </w:p>
    <w:p>
      <w:pPr>
        <w:spacing w:before="0" w:after="80" w:line="240" w:lineRule="exact"/>
        <w:ind w:hanging="720" w:left="720"/>
        <w:jc w:val="both"/>
      </w:pPr>
      <w:bookmarkStart w:id="539"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39"/>
    </w:p>
    <w:p>
      <w:pPr>
        <w:spacing w:before="0" w:after="80" w:line="240" w:lineRule="exact"/>
        <w:ind w:hanging="720" w:left="720"/>
        <w:jc w:val="both"/>
      </w:pPr>
      <w:bookmarkStart w:id="540"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0"/>
    </w:p>
    <w:p>
      <w:pPr>
        <w:spacing w:before="0" w:after="80" w:line="240" w:lineRule="exact"/>
        <w:ind w:hanging="720" w:left="720"/>
        <w:jc w:val="both"/>
      </w:pPr>
      <w:bookmarkStart w:id="541"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1"/>
    </w:p>
    <w:p>
      <w:pPr>
        <w:spacing w:before="0" w:after="80" w:line="240" w:lineRule="exact"/>
        <w:ind w:hanging="720" w:left="720"/>
        <w:jc w:val="both"/>
      </w:pPr>
      <w:bookmarkStart w:id="542"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2" w:name="WorldBank2024txt"/>
      <w:hyperlink w:anchor="WorldBank2024" w:history="1">
        <w:r>
          <w:rPr>
            <w:color w:val="1F3864"/>
            <w:u w:val="single"/>
          </w:rPr>
          <w:t xml:space="preserve">World Bank</w:t>
        </w:r>
      </w:hyperlink>
      <w:bookmarkEnd w:id="232"/>
      <w:r>
        <w:t xml:space="preserve">.</w:t>
      </w:r>
      <w:bookmarkEnd w:id="542"/>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reliability adjustment</w:t>
      </w:r>
    </w:p>
    <w:p>
      <w:pPr>
        <w:spacing w:before="80" w:after="8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both"/>
      </w:pPr>
      <w:r>
        <w:rPr>
          <w:rFonts w:ascii="Times New Roman" w:hAnsi="Times New Roman"/>
          <w:b w:val="0"/>
          <w:i/>
          <w:sz w:val="24"/>
        </w:rPr>
        <w:t>Notes: ✓ = feasible in equilibrium. ✗ = ruled out. Grey cells cannot arise. Roman numerals correspond to regime labels in Proposition 1. Letter codes (EE, IE, ID, DD, II) denote training status (first letter: E = export, I = import, D = domestic) and inference status (second letter), used in Table 3.</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1584"/>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3168"/>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1584"/>
          </w:tcPr>
          <w:p>
            <w:pPr>
              <w:jc w:val="center"/>
              <w:spacing w:before="10" w:after="10"/>
            </w:pPr>
            <w:r/>
            <w:r>
              <w:rPr>
                <w:rFonts w:ascii="Times New Roman" w:hAnsi="Times New Roman"/>
                <w:sz w:val="20"/>
              </w:rPr>
              <w:t>0.700 kW</w:t>
            </w:r>
          </w:p>
        </w:tc>
        <w:tc>
          <w:tcPr>
            <w:tcW w:type="dxa" w:w="3168"/>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sz w:val="20"/>
              </w:rPr>
              <w:t>Pᴳᴘᴜ</w:t>
            </w:r>
          </w:p>
        </w:tc>
        <w:tc>
          <w:tcPr>
            <w:tcW w:type="dxa" w:w="1584"/>
          </w:tcPr>
          <w:p>
            <w:pPr>
              <w:jc w:val="center"/>
              <w:spacing w:before="10" w:after="10"/>
            </w:pPr>
            <w:r/>
            <w:r>
              <w:rPr>
                <w:rFonts w:ascii="Times New Roman" w:hAnsi="Times New Roman"/>
                <w:sz w:val="20"/>
              </w:rPr>
              <w:t>$25,000</w:t>
            </w:r>
          </w:p>
        </w:tc>
        <w:tc>
          <w:tcPr>
            <w:tcW w:type="dxa" w:w="3168"/>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1584"/>
          </w:tcPr>
          <w:p>
            <w:pPr>
              <w:jc w:val="center"/>
              <w:spacing w:before="10" w:after="10"/>
            </w:pPr>
            <w:r/>
            <w:r>
              <w:rPr>
                <w:rFonts w:ascii="Times New Roman" w:hAnsi="Times New Roman"/>
                <w:sz w:val="20"/>
              </w:rPr>
              <w:t>3 years</w:t>
            </w:r>
          </w:p>
        </w:tc>
        <w:tc>
          <w:tcPr>
            <w:tcW w:type="dxa" w:w="3168"/>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1584"/>
          </w:tcPr>
          <w:p>
            <w:pPr>
              <w:jc w:val="center"/>
              <w:spacing w:before="10" w:after="10"/>
            </w:pPr>
            <w:r/>
            <w:r>
              <w:rPr>
                <w:rFonts w:ascii="Times New Roman" w:hAnsi="Times New Roman"/>
                <w:sz w:val="20"/>
              </w:rPr>
              <w:t>0.70</w:t>
            </w:r>
          </w:p>
        </w:tc>
        <w:tc>
          <w:tcPr>
            <w:tcW w:type="dxa" w:w="3168"/>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1584"/>
          </w:tcPr>
          <w:p>
            <w:pPr>
              <w:jc w:val="center"/>
              <w:spacing w:before="10" w:after="10"/>
            </w:pPr>
            <w:r/>
            <w:r>
              <w:rPr>
                <w:rFonts w:ascii="Times New Roman" w:hAnsi="Times New Roman"/>
                <w:sz w:val="20"/>
              </w:rPr>
              <w:t>8766 hr/yr</w:t>
            </w:r>
          </w:p>
        </w:tc>
        <w:tc>
          <w:tcPr>
            <w:tcW w:type="dxa" w:w="3168"/>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1584"/>
          </w:tcPr>
          <w:p>
            <w:pPr>
              <w:jc w:val="center"/>
              <w:spacing w:before="10" w:after="10"/>
            </w:pPr>
            <w:r/>
            <w:r>
              <w:rPr>
                <w:rFonts w:ascii="Times New Roman" w:hAnsi="Times New Roman"/>
                <w:sz w:val="20"/>
              </w:rPr>
              <w:t>$1.36/hr</w:t>
            </w:r>
          </w:p>
        </w:tc>
        <w:tc>
          <w:tcPr>
            <w:tcW w:type="dxa" w:w="3168"/>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1584"/>
          </w:tcPr>
          <w:p>
            <w:pPr>
              <w:jc w:val="center"/>
              <w:spacing w:before="10" w:after="10"/>
            </w:pPr>
            <w:r/>
            <w:r>
              <w:rPr>
                <w:rFonts w:ascii="Times New Roman" w:hAnsi="Times New Roman"/>
                <w:sz w:val="20"/>
              </w:rPr>
              <w:t>$0.15/hr</w:t>
            </w:r>
          </w:p>
        </w:tc>
        <w:tc>
          <w:tcPr>
            <w:tcW w:type="dxa" w:w="3168"/>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1584"/>
          </w:tcPr>
          <w:p>
            <w:pPr>
              <w:jc w:val="center"/>
              <w:spacing w:before="10" w:after="10"/>
            </w:pPr>
            <w:r/>
            <w:r>
              <w:rPr>
                <w:rFonts w:ascii="Times New Roman" w:hAnsi="Times New Roman"/>
                <w:sz w:val="20"/>
              </w:rPr>
              <w:t>1.08</w:t>
            </w:r>
          </w:p>
        </w:tc>
        <w:tc>
          <w:tcPr>
            <w:tcW w:type="dxa" w:w="3168"/>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1584"/>
          </w:tcPr>
          <w:p>
            <w:pPr>
              <w:jc w:val="center"/>
              <w:spacing w:before="10" w:after="10"/>
            </w:pPr>
            <w:r/>
            <w:r>
              <w:rPr>
                <w:rFonts w:ascii="Times New Roman" w:hAnsi="Times New Roman"/>
                <w:sz w:val="20"/>
              </w:rPr>
              <w:t>0.015 per C</w:t>
            </w:r>
          </w:p>
        </w:tc>
        <w:tc>
          <w:tcPr>
            <w:tcW w:type="dxa" w:w="3168"/>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w:r>
              <w:rPr>
                <w:rFonts w:ascii="Times New Roman" w:hAnsi="Times New Roman"/>
                <w:sz w:val="20"/>
              </w:rPr>
              <w:t>θ̄</w:t>
            </w:r>
          </w:p>
        </w:tc>
        <w:tc>
          <w:tcPr>
            <w:tcW w:type="dxa" w:w="1584"/>
          </w:tcPr>
          <w:p>
            <w:pPr>
              <w:jc w:val="center"/>
              <w:spacing w:before="10" w:after="10"/>
            </w:pPr>
            <w:r/>
            <w:r>
              <w:rPr>
                <w:rFonts w:ascii="Times New Roman" w:hAnsi="Times New Roman"/>
                <w:sz w:val="20"/>
              </w:rPr>
              <w:t>15 C</w:t>
            </w:r>
          </w:p>
        </w:tc>
        <w:tc>
          <w:tcPr>
            <w:tcW w:type="dxa" w:w="3168"/>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1584"/>
          </w:tcPr>
          <w:p>
            <w:pPr>
              <w:jc w:val="center"/>
              <w:spacing w:before="10" w:after="10"/>
            </w:pPr>
            <w:r/>
            <w:r>
              <w:rPr>
                <w:rFonts w:ascii="Times New Roman" w:hAnsi="Times New Roman"/>
                <w:sz w:val="20"/>
              </w:rPr>
              <w:t>15 years</w:t>
            </w:r>
          </w:p>
        </w:tc>
        <w:tc>
          <w:tcPr>
            <w:tcW w:type="dxa" w:w="3168"/>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1584"/>
          </w:tcPr>
          <w:p>
            <w:pPr>
              <w:jc w:val="center"/>
              <w:spacing w:before="10" w:after="10"/>
            </w:pPr>
            <w:r/>
            <w:r>
              <w:rPr>
                <w:rFonts w:ascii="Times New Roman" w:hAnsi="Times New Roman"/>
                <w:sz w:val="20"/>
              </w:rPr>
              <w:t>0.0008 per ms</w:t>
            </w:r>
          </w:p>
        </w:tc>
        <w:tc>
          <w:tcPr>
            <w:tcW w:type="dxa" w:w="3168"/>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Sovereignty premium</w:t>
            </w:r>
          </w:p>
        </w:tc>
        <w:tc>
          <w:tcPr>
            <w:tcW w:type="dxa" w:w="864"/>
          </w:tcPr>
          <w:p>
            <w:pPr>
              <w:jc w:val="center"/>
              <w:spacing w:before="10" w:after="10"/>
            </w:pPr>
            <w:r/>
            <w:r>
              <w:rPr>
                <w:rFonts w:ascii="Times New Roman" w:hAnsi="Times New Roman"/>
                <w:sz w:val="20"/>
              </w:rPr>
              <w:t>λ</w:t>
            </w:r>
          </w:p>
        </w:tc>
        <w:tc>
          <w:tcPr>
            <w:tcW w:type="dxa" w:w="1584"/>
          </w:tcPr>
          <w:p>
            <w:pPr>
              <w:jc w:val="center"/>
              <w:spacing w:before="10" w:after="10"/>
            </w:pPr>
            <w:r/>
            <w:r>
              <w:rPr>
                <w:rFonts w:ascii="Times New Roman" w:hAnsi="Times New Roman"/>
                <w:sz w:val="20"/>
              </w:rPr>
              <w:t>0.10</w:t>
            </w:r>
          </w:p>
        </w:tc>
        <w:tc>
          <w:tcPr>
            <w:tcW w:type="dxa" w:w="3168"/>
          </w:tcPr>
          <w:p>
            <w:pPr>
              <w:jc w:val="left"/>
              <w:spacing w:before="10" w:after="10"/>
            </w:pPr>
            <w:r/>
            <w:hyperlink w:anchor="UNCTAD2025" w:history="1">
              <w:r>
                <w:rPr>
                  <w:sz w:val="20"/>
                  <w:rFonts w:ascii="Times New Roman" w:hAnsi="Times New Roman"/>
                  <w:color w:val="1F3864"/>
                  <w:u w:val="single"/>
                </w:rPr>
                <w:t xml:space="preserve">UNCTAD (2025)</w:t>
              </w:r>
            </w:hyperlink>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1584"/>
          </w:tcPr>
          <w:p>
            <w:pPr>
              <w:jc w:val="center"/>
              <w:spacing w:before="10" w:after="10"/>
            </w:pPr>
            <w:r/>
            <w:r>
              <w:rPr>
                <w:rFonts w:ascii="Times New Roman" w:hAnsi="Times New Roman"/>
                <w:sz w:val="20"/>
              </w:rPr>
              <w:t>0.50</w:t>
            </w:r>
          </w:p>
        </w:tc>
        <w:tc>
          <w:tcPr>
            <w:tcW w:type="dxa" w:w="3168"/>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1584"/>
          </w:tcPr>
          <w:p>
            <w:pPr>
              <w:jc w:val="center"/>
              <w:spacing w:before="10" w:after="10"/>
            </w:pPr>
            <w:r/>
            <w:r>
              <w:rPr>
                <w:rFonts w:ascii="Times New Roman" w:hAnsi="Times New Roman"/>
                <w:sz w:val="20"/>
              </w:rPr>
              <w:t>6×10¹⁰ GPU-hr/yr</w:t>
            </w:r>
          </w:p>
        </w:tc>
        <w:tc>
          <w:tcPr>
            <w:tcW w:type="dxa" w:w="3168"/>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Reliability index (baseline)</w:t>
            </w:r>
          </w:p>
        </w:tc>
        <w:tc>
          <w:tcPr>
            <w:tcW w:type="dxa" w:w="864"/>
            <w:tcBorders>
              <w:bottom w:val="double" w:sz="4" w:space="0" w:color="auto"/>
            </w:tcBorders>
          </w:tcPr>
          <w:p>
            <w:pPr>
              <w:jc w:val="center"/>
              <w:spacing w:before="10" w:after="10"/>
            </w:pPr>
            <w:r/>
            <w:r>
              <w:rPr>
                <w:rFonts w:ascii="Times New Roman" w:hAnsi="Times New Roman"/>
                <w:sz w:val="20"/>
              </w:rPr>
              <w:t>ξⱼ</w:t>
            </w:r>
          </w:p>
        </w:tc>
        <w:tc>
          <w:tcPr>
            <w:tcW w:type="dxa" w:w="1584"/>
            <w:tcBorders>
              <w:bottom w:val="double" w:sz="4" w:space="0" w:color="auto"/>
            </w:tcBorders>
          </w:tcPr>
          <w:p>
            <w:pPr>
              <w:jc w:val="center"/>
              <w:spacing w:before="10" w:after="10"/>
            </w:pPr>
            <w:r/>
            <w:r>
              <w:rPr>
                <w:rFonts w:ascii="Times New Roman" w:hAnsi="Times New Roman"/>
                <w:sz w:val="20"/>
              </w:rPr>
              <w:t>1.00</w:t>
            </w:r>
          </w:p>
        </w:tc>
        <w:tc>
          <w:tcPr>
            <w:tcW w:type="dxa" w:w="3168"/>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both"/>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Pᴳᴘᴜ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pPr>
        <w:spacing w:before="0" w:after="60"/>
        <w:ind w:firstLine="0"/>
        <w:jc w:val="both"/>
      </w:pPr>
      <w:bookmarkStart w:id="111" w:name="Table3"/>
      <w:hyperlink w:anchor="Table3txt" w:history="1">
        <w:r>
          <w:rPr>
            <w:b/>
            <w:sz w:val="22"/>
            <w:color w:val="1F3864"/>
            <w:u w:val="single"/>
          </w:rPr>
          <w:t>Table 3</w:t>
        </w:r>
      </w:hyperlink>
      <w:bookmarkEnd w:id="111"/>
      <w:r>
        <w:rPr>
          <w:b/>
          <w:sz w:val="22"/>
        </w:rPr>
        <w:t>. Country rankings under alternative pricing assumptions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Sovereignty (σ̄=10%)</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pⱼ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+31</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+32</w:t>
            </w:r>
          </w:p>
        </w:tc>
      </w:tr>
      <w:tr>
        <w:tc>
          <w:tcPr>
            <w:tcW w:w="1800" w:type="dxa"/>
          </w:tcPr>
          <w:p>
            <w:pPr>
              <w:jc w:val="left"/>
              <w:spacing w:before="10" w:after="10"/>
            </w:pPr>
            <w:r/>
            <w:r>
              <w:rPr>
                <w:rFonts w:ascii="Times New Roman" w:hAnsi="Times New Roman"/>
                <w:sz w:val="16"/>
              </w:rPr>
              <w:t>United States of 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Netherlands</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+46</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South Korea</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+40</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Spain</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Chile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+18</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+47</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Switzerland</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79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79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29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29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+50</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Malaysia</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Singapore</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sz w:val="16"/>
              </w:rPr>
              <w:t>80</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sz w:val="16"/>
              </w:rPr>
              <w:t>80</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sz w:val="16"/>
              </w:rPr>
              <w:t>32</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sz w:val="16"/>
              </w:rPr>
              <w:t>32</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+48</w:t>
            </w:r>
          </w:p>
        </w:tc>
      </w:tr>
    </w:tbl>
    <w:p>
      <w:pPr>
        <w:spacing w:before="0" w:after="120" w:line="240" w:lineRule="auto"/>
        <w:ind w:firstLine="0"/>
        <w:jc w:val="both"/>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i/>
          <w:sz w:val="20"/>
        </w:rPr>
        <w:t>Columns show unit cost ($/GPU-hr), rank among 85 countries, and regime type (EE = training + inference exporter; IE = inference exporter; DD = domestic producer; II = full importer). (1) Raw: observed electricity tariffs. (2) Cost-recovery: subsidized tariffs replaced with LRMC. (3) Reliability-adjusted: cost-recovery price divided by institutional reliability index ξⱼ (preferred specification). (4) Sovereignty: σ̄ = 10% autarky threshold applied to (3); p* = $1.49/hr. Δ = rank change from (1) to (3); positive values indicate improvement. Top 20 countries shown by specification (3); see Table A2 for all 85 countries.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0.99</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0.82</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0.93</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0.90</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0.78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0.92</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0.90</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0.89</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0.92</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0.95</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0.97</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0.99</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0.99</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0.98</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both"/>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3txt905"/>
      <w:hyperlink w:anchor="Eq3" w:history="1">
        <w:r>
          <w:rPr>
            <w:sz w:val="20"/>
            <w:color w:val="1F3864"/>
            <w:u w:val="single"/>
          </w:rPr>
          <w:t xml:space="preserve">equation (3)</w:t>
        </w:r>
      </w:hyperlink>
      <w:bookmarkEnd w:id="905"/>
      <w:r>
        <w:rPr>
          <w:sz w:val="20"/>
        </w:rPr>
        <w:t xml:space="preserve">. ξⱼ = reliability index combining governance quality, grid reliability, and sanctions exposure.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pricing assumptions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Sovereignty (σ̄=10%)</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Iran</w:t>
            </w:r>
          </w:p>
        </w:tc>
        <w:tc>
          <w:tcPr>
            <w:tcBorders>
              <w:bottom w:val="double" w:sz="4" w:space="0" w:color="auto"/>
            </w:tcBorders>
            <w:tcW w:w="900" w:type="dxa"/>
          </w:tcPr>
          <w:p>
            <w:pPr>
              <w:jc w:val="center"/>
              <w:spacing w:before="5" w:after="5"/>
            </w:pPr>
            <w:r/>
            <w:r>
              <w:rPr>
                <w:rFonts w:ascii="Times New Roman" w:hAnsi="Times New Roman"/>
                <w:sz w:val="14"/>
              </w:rPr>
              <w:t>$1.40</w:t>
            </w:r>
          </w:p>
        </w:tc>
        <w:tc>
          <w:tcPr>
            <w:tcBorders>
              <w:bottom w:val="double" w:sz="4" w:space="0" w:color="auto"/>
            </w:tcBorders>
            <w:tcW w:w="540" w:type="dxa"/>
          </w:tcPr>
          <w:p>
            <w:pPr>
              <w:jc w:val="center"/>
              <w:spacing w:before="5" w:after="5"/>
            </w:pPr>
            <w:r/>
            <w:r>
              <w:rPr>
                <w:rFonts w:ascii="Times New Roman" w:hAnsi="Times New Roman"/>
                <w:sz w:val="14"/>
              </w:rPr>
              <w:t>1</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$1.48</w:t>
            </w:r>
          </w:p>
        </w:tc>
        <w:tc>
          <w:tcPr>
            <w:tcBorders>
              <w:bottom w:val="double" w:sz="4" w:space="0" w:color="auto"/>
            </w:tcBorders>
            <w:tcW w:w="540" w:type="dxa"/>
          </w:tcPr>
          <w:p>
            <w:pPr>
              <w:jc w:val="center"/>
              <w:spacing w:before="5" w:after="5"/>
            </w:pPr>
            <w:r/>
            <w:r>
              <w:rPr>
                <w:rFonts w:ascii="Times New Roman" w:hAnsi="Times New Roman"/>
                <w:sz w:val="14"/>
              </w:rPr>
              <w:t>21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$1.97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-84</w:t>
            </w:r>
          </w:p>
        </w:tc>
      </w:tr>
    </w:tbl>
    <w:p>
      <w:pPr>
        <w:spacing w:before="0" w:after="120" w:line="240" w:lineRule="auto"/>
        <w:ind w:firstLine="0"/>
        <w:jc w:val="both"/>
        <w:sectPr>
          <w:pgSz w:w="15840" w:h="12240" w:orient="landscape"/>
          <w:pgMar w:top="1080" w:right="1080" w:bottom="1080" w:left="1080" w:header="720" w:footer="720"/>
        </w:sectPr>
      </w:pPr>
      <w:r>
        <w:rPr>
          <w:b/>
          <w:sz w:val="20"/>
        </w:rPr>
        <w:t xml:space="preserve">Notes: </w:t>
      </w:r>
      <w:r>
        <w:rPr>
          <w:i/>
          <w:sz w:val="20"/>
        </w:rPr>
        <w:t>See Table 3 notes for column definitions. Countries sorted by specification (3) rank (ascending). p* = $1.49/hr.</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3txt907"/>
      <w:hyperlink w:anchor="Eq3" w:history="1">
        <w:r>
          <w:rPr>
            <w:color w:val="1F3864"/>
            <w:u w:val="single"/>
          </w:rPr>
          <w:t xml:space="preserve">equation (3)</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The welfare cost has two components.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(1+λ)</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both"/>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both"/>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both"/>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