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0"/>
        <w:jc w:val="center"/>
      </w:pPr>
      <w:r>
        <w:rPr>
          <w:rFonts w:ascii="Times New Roman" w:hAnsi="Times New Roman"/>
          <w:b w:val="0"/>
          <w:sz w:val="32"/>
        </w:rPr>
        <w:t>Cheap Energy Might Not Be Enough:</w:t>
        <w:br/>
      </w:r>
      <w:r>
        <w:rPr>
          <w:rFonts w:ascii="Times New Roman" w:hAnsi="Times New Roman"/>
          <w:b w:val="0"/>
          <w:sz w:val="32"/>
        </w:rPr>
        <w:t>A Trade Model of AI Compute Services</w:t>
      </w:r>
    </w:p>
    <w:p>
      <w:pPr>
        <w:spacing w:before="240" w:after="240" w:line="360" w:lineRule="auto"/>
        <w:ind w:firstLine="0"/>
        <w:jc w:val="center"/>
      </w:pPr>
      <w:r>
        <w:rPr>
          <w:i/>
        </w:rPr>
        <w:t>Michael Lokshin</w:t>
      </w:r>
      <w:r>
        <w:rPr>
          <w:rStyle w:val="FootnoteReference"/>
        </w:rPr>
        <w:footnoteReference w:id="1"/>
      </w:r>
    </w:p>
    <w:p>
      <w:pPr>
        <w:spacing w:before="40" w:after="240" w:line="360" w:lineRule="auto"/>
        <w:ind w:firstLine="0"/>
        <w:jc w:val="center"/>
      </w:pPr>
      <w:r>
        <w:rPr>
          <w:rFonts w:ascii="Times New Roman" w:hAnsi="Times New Roman"/>
          <w:color w:val="808080"/>
          <w:sz w:val="18"/>
        </w:rPr>
        <w:t>v32  —  April 11, 2026  00:41</w:t>
      </w:r>
    </w:p>
    <w:p>
      <w:pPr>
        <w:spacing w:before="240" w:after="0" w:line="240" w:lineRule="auto"/>
        <w:ind w:firstLine="0" w:left="720" w:right="720"/>
        <w:jc w:val="both"/>
      </w:pPr>
      <w:r>
        <w:rPr>
          <w:b/>
        </w:rPr>
        <w:t>Abstract</w:t>
      </w:r>
      <w:r>
        <w:t>: Energy-rich developing countries could convert cheap electricity into high-value AI compute exports. This paper develops a trade model of compute services that distinguishes latency-insensitive training from latency-sensitive inference and incorporates a bilateral sovereignty premium. Calibration across 85 countries shows that several developing countries rank among the cheapest producers under cost-recovery pricing, but bilateral trust deficits sharply curtail developing-country exports. Because hardware dominates unit cost, the cross-country cost spread is only 12–20 percent, making compute the easiest sector for developing countries to enter on cost grounds and the most vulnerable to small policy-induced frictions. The binding constraint for FLOP exporting is not electricity cost, but the institutional credibility needed to overcome bilateral trust deficits.</w:t>
      </w:r>
    </w:p>
    <w:p>
      <w:pPr>
        <w:spacing w:before="0" w:after="0" w:line="240" w:lineRule="auto"/>
        <w:ind w:firstLine="0"/>
        <w:jc w:val="both"/>
      </w:pPr>
    </w:p>
    <w:p>
      <w:pPr>
        <w:spacing w:before="0" w:after="0" w:line="240" w:lineRule="auto"/>
        <w:ind w:firstLine="0"/>
        <w:jc w:val="both"/>
      </w:pPr>
    </w:p>
    <w:p>
      <w:pPr>
        <w:spacing w:before="0" w:after="0" w:line="240" w:lineRule="auto"/>
        <w:ind w:firstLine="0"/>
        <w:jc w:val="both"/>
      </w:pPr>
    </w:p>
    <w:p>
      <w:pPr>
        <w:spacing w:before="0" w:after="160" w:line="240" w:lineRule="auto"/>
        <w:ind w:firstLine="0" w:left="720" w:right="720"/>
        <w:jc w:val="both"/>
      </w:pPr>
      <w:r>
        <w:rPr>
          <w:b/>
        </w:rPr>
        <w:t xml:space="preserve">JEL Classification: </w:t>
      </w:r>
      <w:r>
        <w:t>F14, F18, L86, O14, O33, Q40</w:t>
      </w:r>
    </w:p>
    <w:p>
      <w:pPr>
        <w:spacing w:before="40" w:after="160" w:line="240" w:lineRule="auto"/>
        <w:ind w:firstLine="0" w:left="720" w:right="720"/>
        <w:jc w:val="both"/>
      </w:pPr>
      <w:r>
        <w:rPr>
          <w:b/>
        </w:rPr>
        <w:t xml:space="preserve">Keywords: </w:t>
      </w:r>
      <w:r>
        <w:t>compute trade, FLOPs, artificial intelligence, data centers, comparative advantage, electricity costs, developing countries</w:t>
      </w:r>
    </w:p>
    <w:p>
      <w:pPr>
        <w:spacing w:before="0" w:after="0"/>
      </w:pPr>
      <w:r>
        <w:br w:type="page"/>
      </w:r>
    </w:p>
    <w:p>
      <w:pPr>
        <w:pStyle w:val="Heading1"/>
      </w:pPr>
      <w:r>
        <w:rPr>
          <w:rFonts w:ascii="Times New Roman" w:hAnsi="Times New Roman"/>
          <w:b/>
          <w:color w:val="2F5496"/>
          <w:sz w:val="28"/>
        </w:rPr>
        <w:t>1. Introduction</w:t>
      </w:r>
    </w:p>
    <w:p>
      <w:pPr>
        <w:spacing w:before="0" w:after="160" w:line="360" w:lineRule="auto"/>
        <w:ind w:firstLine="0"/>
        <w:jc w:val="both"/>
      </w:pPr>
      <w:r>
        <w:t xml:space="preserve">The expansion of artificial intelligence drives the demand for computational resources. The compute used to train the largest AI models has been doubling every six months since 2010 (</w:t>
      </w:r>
      <w:bookmarkStart w:id="200" w:name="EpochAI2024txt"/>
      <w:hyperlink w:anchor="EpochAI2024" w:history="1">
        <w:r>
          <w:rPr>
            <w:color w:val="1F3864"/>
            <w:u w:val="single"/>
          </w:rPr>
          <w:t xml:space="preserve">Epoch AI 2024</w:t>
        </w:r>
      </w:hyperlink>
      <w:bookmarkEnd w:id="200"/>
      <w:r>
        <w:t xml:space="preserve">). Data centers accounted for approximately 1.5% of global electricity demand in 2024, and that share is projected to more than double by 2030 (</w:t>
      </w:r>
      <w:bookmarkStart w:id="237" w:name="IEA2025txt"/>
      <w:hyperlink w:anchor="IEA2025" w:history="1">
        <w:r>
          <w:rPr>
            <w:color w:val="1F3864"/>
            <w:u w:val="single"/>
          </w:rPr>
          <w:t xml:space="preserve">IEA 2025</w:t>
        </w:r>
      </w:hyperlink>
      <w:bookmarkEnd w:id="237"/>
      <w:r>
        <w:t xml:space="preserve">).</w:t>
      </w:r>
    </w:p>
    <w:p>
      <w:pPr>
        <w:spacing w:before="0" w:after="160" w:line="360" w:lineRule="auto"/>
        <w:ind w:firstLine="0"/>
        <w:jc w:val="both"/>
      </w:pPr>
      <w:r>
        <w:t xml:space="preserve">This surge in demand for compute creates an export opportunity. We refer to the production of compute services in one country for consumption in another as </w:t>
      </w:r>
      <w:r>
        <w:rPr>
          <w:i/>
        </w:rPr>
        <w:t>FLOP exporting</w:t>
      </w:r>
      <w:r>
        <w:t>. Rather than exporting raw energy resources as primary commodities, countries can use cheap electricity to produce higher-value-added digital services. For resource-rich developing countries, FLOP exporting could offer a route up the value chain.</w:t>
      </w:r>
    </w:p>
    <w:p>
      <w:pPr>
        <w:spacing w:before="0" w:after="160" w:line="360" w:lineRule="auto"/>
        <w:ind w:firstLine="0"/>
        <w:jc w:val="both"/>
      </w:pPr>
      <w:r>
        <w:t xml:space="preserve">Several megaprojects confirm that FLOP exporting is technically and commercially feasible. Armenia is deploying 50,000 GPUs in a $4 billion investment (</w:t>
      </w:r>
      <w:bookmarkStart w:id="238" w:name="Firebird2026txt"/>
      <w:hyperlink w:anchor="Firebird2026" w:history="1">
        <w:r>
          <w:rPr>
            <w:color w:val="1F3864"/>
            <w:u w:val="single"/>
          </w:rPr>
          <w:t xml:space="preserve">Firebird 2026</w:t>
        </w:r>
      </w:hyperlink>
      <w:bookmarkEnd w:id="238"/>
      <w:r>
        <w:t xml:space="preserve">), Kenya, Saudi Arabia, and Malaysia have each attracted billion-dollar data center commitments, Google has committed $15 billion to India, and OpenAI has proposed a $25 billion “Stargate Argentina” complex (</w:t>
      </w:r>
      <w:bookmarkStart w:id="201" w:name="StraubEtAl2026txt"/>
      <w:hyperlink w:anchor="StraubEtAl2026" w:history="1">
        <w:r>
          <w:rPr>
            <w:color w:val="1F3864"/>
            <w:u w:val="single"/>
          </w:rPr>
          <w:t xml:space="preserve">Straub et al. 2026</w:t>
        </w:r>
      </w:hyperlink>
      <w:bookmarkEnd w:id="201"/>
      <w:r>
        <w:t xml:space="preserve">). Announced global data-center FDI reached over $310 billion in 2025, with EMDEs accounting for roughly 40 percent of projects (</w:t>
      </w:r>
      <w:bookmarkStart w:id="239" w:name="AykutEtAl2026txt"/>
      <w:hyperlink w:anchor="AykutEtAl2026" w:history="1">
        <w:r>
          <w:rPr>
            <w:color w:val="1F3864"/>
            <w:u w:val="single"/>
          </w:rPr>
          <w:t xml:space="preserve">Aykut et al. 2026</w:t>
        </w:r>
      </w:hyperlink>
      <w:bookmarkEnd w:id="239"/>
      <w:r>
        <w:t xml:space="preserve">). Cloud computing exports already exceed $9 billion annually (</w:t>
      </w:r>
      <w:bookmarkStart w:id="253" w:name="WorldBank2025txt"/>
      <w:hyperlink w:anchor="WorldBank2025" w:history="1">
        <w:r>
          <w:rPr>
            <w:color w:val="1F3864"/>
            <w:u w:val="single"/>
          </w:rPr>
          <w:t xml:space="preserve">World Bank 2025</w:t>
        </w:r>
      </w:hyperlink>
      <w:bookmarkEnd w:id="253"/>
      <w:r>
        <w:t xml:space="preserve">). If Kyrgyzstan builds a 40 MW AI data center, it could generate annual revenue of $630–950 million at wholesale contract rates, equivalent to over 15% of Kyrgyzstan’s $3.8 billion in goods exports (</w:t>
      </w:r>
      <w:bookmarkStart w:id="259" w:name="WorldBank2024txt"/>
      <w:hyperlink w:anchor="WorldBank2024" w:history="1">
        <w:r>
          <w:rPr>
            <w:color w:val="1F3864"/>
            <w:u w:val="single"/>
          </w:rPr>
          <w:t xml:space="preserve">World Bank 2024</w:t>
        </w:r>
      </w:hyperlink>
      <w:bookmarkEnd w:id="259"/>
      <w:r>
        <w:t xml:space="preserve">).</w:t>
      </w:r>
      <w:r>
        <w:rPr>
          <w:rStyle w:val="FootnoteReference"/>
        </w:rPr>
        <w:footnoteReference w:id="5"/>
      </w:r>
    </w:p>
    <w:p>
      <w:pPr>
        <w:spacing w:before="0" w:after="160" w:line="360" w:lineRule="auto"/>
        <w:ind w:firstLine="0"/>
        <w:jc w:val="both"/>
      </w:pPr>
      <w:r>
        <w:t xml:space="preserve">Recent work examines compute governance and the geography of AI infrastructure (</w:t>
      </w:r>
      <w:bookmarkStart w:id="240" w:name="Sastry2024txt"/>
      <w:hyperlink w:anchor="Sastry2024" w:history="1">
        <w:r>
          <w:rPr>
            <w:color w:val="1F3864"/>
            <w:u w:val="single"/>
          </w:rPr>
          <w:t xml:space="preserve">Sastry et al. 2024</w:t>
        </w:r>
      </w:hyperlink>
      <w:bookmarkEnd w:id="240"/>
      <w:r>
        <w:t xml:space="preserve">, </w:t>
      </w:r>
      <w:bookmarkStart w:id="202" w:name="Lehdonvirta2024txt"/>
      <w:hyperlink w:anchor="Lehdonvirta2024" w:history="1">
        <w:r>
          <w:rPr>
            <w:color w:val="1F3864"/>
            <w:u w:val="single"/>
          </w:rPr>
          <w:t xml:space="preserve">Lehdonvirta et al. 2024</w:t>
        </w:r>
      </w:hyperlink>
      <w:bookmarkEnd w:id="202"/>
      <w:r>
        <w:t xml:space="preserve">, </w:t>
      </w:r>
      <w:bookmarkStart w:id="241" w:name="Pilz2025txt"/>
      <w:hyperlink w:anchor="Pilz2025" w:history="1">
        <w:r>
          <w:rPr>
            <w:color w:val="1F3864"/>
            <w:u w:val="single"/>
          </w:rPr>
          <w:t xml:space="preserve">Pilz et al. 2025</w:t>
        </w:r>
      </w:hyperlink>
      <w:bookmarkEnd w:id="241"/>
      <w:r>
        <w:t xml:space="preserve">), but no formal trade model of compute exists. This paper offers the first such model, making three contributions. First, it develops a capacity-constrained Ricardian model of compute trade with an iceberg trade cost for latency degradation and a bilateral sovereignty premium for geopolitical frictions. Second, it calibrates the model across 85 countries, correcting for energy subsidies that distort headline cost rankings. Third, it characterizes the resulting trade regimes and quantifies the welfare cost of sovereignty premia.</w:t>
      </w:r>
    </w:p>
    <w:p>
      <w:pPr>
        <w:spacing w:before="0" w:after="160" w:line="360" w:lineRule="auto"/>
        <w:ind w:firstLine="0"/>
        <w:jc w:val="both"/>
      </w:pPr>
      <w:r>
        <w:t>The calibration reveals that cheap electricity and favorable cooling conditions are necessary but not sufficient for competitive compute exporting. Hardware amortization accounts for approximately 90 percent of the compute unit cost and is identical across countries, compressing the total cost spread to 12–20 percent. Several developing countries rank among the cheapest producers under cost-recovery pricing, but under the bilateral sovereignty specification, trust deficits eliminate all developing-country exports. For energy-rich developing countries, the limiting factor is not electricity cost but the institutional credibility needed to overcome bilateral trust deficits.</w:t>
      </w:r>
    </w:p>
    <w:p>
      <w:pPr>
        <w:pStyle w:val="Heading1"/>
      </w:pPr>
      <w:r>
        <w:rPr>
          <w:rFonts w:ascii="Times New Roman" w:hAnsi="Times New Roman"/>
          <w:b/>
          <w:color w:val="2F5496"/>
          <w:sz w:val="28"/>
        </w:rPr>
        <w:t>2. Related Literature</w:t>
      </w:r>
    </w:p>
    <w:p>
      <w:pPr>
        <w:spacing w:before="0" w:after="160" w:line="360" w:lineRule="auto"/>
        <w:ind w:firstLine="0"/>
        <w:jc w:val="both"/>
      </w:pPr>
      <w:r>
        <w:t xml:space="preserve"/>
      </w:r>
      <w:bookmarkStart w:id="203" w:name="Goldfarb2018txt"/>
      <w:hyperlink w:anchor="Goldfarb2018" w:history="1">
        <w:r>
          <w:rPr>
            <w:color w:val="1F3864"/>
            <w:u w:val="single"/>
          </w:rPr>
          <w:t xml:space="preserve">Goldfarb and Trefler (2018)</w:t>
        </w:r>
      </w:hyperlink>
      <w:bookmarkEnd w:id="203"/>
      <w:r>
        <w:t xml:space="preserve"> argue that AI shifts comparative advantage toward data and human capital; our model shows that compute production depends instead on electricity costs and climate, so resource-rich countries could export compute without domestic AI industries. </w:t>
      </w:r>
      <w:bookmarkStart w:id="242" w:name="Korinek2021txt"/>
      <w:hyperlink w:anchor="Korinek2021" w:history="1">
        <w:r>
          <w:rPr>
            <w:color w:val="1F3864"/>
            <w:u w:val="single"/>
          </w:rPr>
          <w:t xml:space="preserve">Korinek and Stiglitz (2021)</w:t>
        </w:r>
      </w:hyperlink>
      <w:bookmarkEnd w:id="242"/>
      <w:r>
        <w:t xml:space="preserve"> warn that developing countries may be left behind in the AI revolution; FLOP exporting offers a route in. The concept relates to </w:t>
      </w:r>
      <w:bookmarkStart w:id="260" w:name="Hausmann2007txt"/>
      <w:hyperlink w:anchor="Hausmann2007" w:history="1">
        <w:r>
          <w:rPr>
            <w:color w:val="1F3864"/>
            <w:u w:val="single"/>
          </w:rPr>
          <w:t xml:space="preserve">Hausmann et al. (2007)</w:t>
        </w:r>
      </w:hyperlink>
      <w:bookmarkEnd w:id="260"/>
      <w:r>
        <w:t xml:space="preserve"> on export composition and growth, and to </w:t>
      </w:r>
      <w:bookmarkStart w:id="254" w:name="Limao2001txt"/>
      <w:hyperlink w:anchor="Limao2001" w:history="1">
        <w:r>
          <w:rPr>
            <w:color w:val="1F3864"/>
            <w:u w:val="single"/>
          </w:rPr>
          <w:t xml:space="preserve">Limão and Venables (2001)</w:t>
        </w:r>
      </w:hyperlink>
      <w:bookmarkEnd w:id="254"/>
      <w:r>
        <w:t xml:space="preserve"> on infrastructure as a trade cost determinant. In our setting, network latency plays an analogous role.</w:t>
      </w:r>
    </w:p>
    <w:p>
      <w:pPr>
        <w:spacing w:before="0" w:after="160" w:line="360" w:lineRule="auto"/>
        <w:ind w:firstLine="0"/>
        <w:jc w:val="both"/>
      </w:pPr>
      <w:r>
        <w:t xml:space="preserve">The closest precedent to our model is IT services offshoring, which is labor-intensive and skill-biased (</w:t>
      </w:r>
      <w:bookmarkStart w:id="204" w:name="Blinder2006txt"/>
      <w:hyperlink w:anchor="Blinder2006" w:history="1">
        <w:r>
          <w:rPr>
            <w:color w:val="1F3864"/>
            <w:u w:val="single"/>
          </w:rPr>
          <w:t xml:space="preserve">Blinder 2006</w:t>
        </w:r>
      </w:hyperlink>
      <w:bookmarkEnd w:id="204"/>
      <w:r>
        <w:t xml:space="preserve">), while FLOP exporting is capital- and energy-intensive, so the set of potential exporters is fundamentally different — energy-rich countries rather than labor-abundant ones. A bigger difference is structural: because the key traded input (GPUs) is globally priced, cross-country cost variation comes entirely from energy and facilities, which together account for a small share of unit cost. Comparative advantage in compute is therefore narrower and more fragile than in services offshoring, where factor-price gaps are large.</w:t>
      </w:r>
    </w:p>
    <w:p>
      <w:pPr>
        <w:spacing w:before="0" w:after="160" w:line="360" w:lineRule="auto"/>
        <w:ind w:firstLine="0"/>
        <w:jc w:val="both"/>
      </w:pPr>
      <w:r>
        <w:t xml:space="preserve">Several studies examine where firms should build data centers. </w:t>
      </w:r>
      <w:bookmarkStart w:id="205" w:name="Flucker2013txt"/>
      <w:hyperlink w:anchor="Flucker2013" w:history="1">
        <w:r>
          <w:rPr>
            <w:color w:val="1F3864"/>
            <w:u w:val="single"/>
          </w:rPr>
          <w:t xml:space="preserve">Flucker et al. (2013)</w:t>
        </w:r>
      </w:hyperlink>
      <w:bookmarkEnd w:id="205"/>
      <w:r>
        <w:t xml:space="preserve"> show that climate affects data center cooling costs. </w:t>
      </w:r>
      <w:bookmarkStart w:id="255" w:name="Liu2023txt"/>
      <w:hyperlink w:anchor="Liu2023" w:history="1">
        <w:r>
          <w:rPr>
            <w:color w:val="1F3864"/>
            <w:u w:val="single"/>
          </w:rPr>
          <w:t xml:space="preserve">Liu et al. (2023)</w:t>
        </w:r>
      </w:hyperlink>
      <w:bookmarkEnd w:id="255"/>
      <w:r>
        <w:t xml:space="preserve"> study data center placement under renewable energy constraints. In international trade theory, </w:t>
      </w:r>
      <w:bookmarkStart w:id="261" w:name="Brainard1997txt"/>
      <w:hyperlink w:anchor="Brainard1997" w:history="1">
        <w:r>
          <w:rPr>
            <w:color w:val="1F3864"/>
            <w:u w:val="single"/>
          </w:rPr>
          <w:t xml:space="preserve">Brainard (1997)</w:t>
        </w:r>
      </w:hyperlink>
      <w:bookmarkEnd w:id="261"/>
      <w:r>
        <w:t xml:space="preserve"> formalizes the proximity-concentration trade-off between serving a market locally and concentrating production abroad, and </w:t>
      </w:r>
      <w:bookmarkStart w:id="243" w:name="HMY2004txt"/>
      <w:hyperlink w:anchor="HMY2004" w:history="1">
        <w:r>
          <w:rPr>
            <w:color w:val="1F3864"/>
            <w:u w:val="single"/>
          </w:rPr>
          <w:t xml:space="preserve">Helpman et al. (2004)</w:t>
        </w:r>
      </w:hyperlink>
      <w:bookmarkEnd w:id="243"/>
      <w:r>
        <w:t xml:space="preserve"> extend this to heterogeneous firms choosing between exporting and FDI.</w:t>
      </w:r>
    </w:p>
    <w:p>
      <w:pPr>
        <w:spacing w:before="0" w:after="160" w:line="360" w:lineRule="auto"/>
        <w:ind w:firstLine="0"/>
        <w:jc w:val="both"/>
      </w:pPr>
      <w:r>
        <w:t xml:space="preserve">On governance, </w:t>
      </w:r>
      <w:bookmarkStart w:id="244" w:name="Sastry2024txt"/>
      <w:hyperlink w:anchor="Sastry2024" w:history="1">
        <w:r>
          <w:rPr>
            <w:color w:val="1F3864"/>
            <w:u w:val="single"/>
          </w:rPr>
          <w:t xml:space="preserve">Sastry et al. (2024)</w:t>
        </w:r>
      </w:hyperlink>
      <w:bookmarkEnd w:id="244"/>
      <w:r>
        <w:t xml:space="preserve"> argue that compute is well-suited for regulation. </w:t>
      </w:r>
      <w:bookmarkStart w:id="206" w:name="Lehdonvirta2024txt"/>
      <w:hyperlink w:anchor="Lehdonvirta2024" w:history="1">
        <w:r>
          <w:rPr>
            <w:color w:val="1F3864"/>
            <w:u w:val="single"/>
          </w:rPr>
          <w:t xml:space="preserve">Lehdonvirta et al. (2024)</w:t>
        </w:r>
      </w:hyperlink>
      <w:bookmarkEnd w:id="206"/>
      <w:r>
        <w:t xml:space="preserve"> map a “Compute North” with training-capable hardware versus a “Compute South” limited to inference chips. </w:t>
      </w:r>
      <w:bookmarkStart w:id="256" w:name="Pilz2025txt"/>
      <w:hyperlink w:anchor="Pilz2025" w:history="1">
        <w:r>
          <w:rPr>
            <w:color w:val="1F3864"/>
            <w:u w:val="single"/>
          </w:rPr>
          <w:t xml:space="preserve">Pilz et al. (2025)</w:t>
        </w:r>
      </w:hyperlink>
      <w:bookmarkEnd w:id="256"/>
      <w:r>
        <w:t xml:space="preserve"> project that data center power demand could reach 327 GW by 2030. The </w:t>
      </w:r>
      <w:bookmarkStart w:id="262" w:name="WorldBank2025txt"/>
      <w:hyperlink w:anchor="WorldBank2025" w:history="1">
        <w:r>
          <w:rPr>
            <w:color w:val="1F3864"/>
            <w:u w:val="single"/>
          </w:rPr>
          <w:t xml:space="preserve">World Bank (2025)</w:t>
        </w:r>
      </w:hyperlink>
      <w:bookmarkEnd w:id="262"/>
      <w:r>
        <w:t xml:space="preserve"> documents the resulting divide (high-income countries hold 77% of colocation capacity), but does not offer a formal framework linking costs to trade patterns. </w:t>
      </w:r>
      <w:bookmarkStart w:id="245" w:name="Biglaiser2024txt"/>
      <w:hyperlink w:anchor="Biglaiser2024" w:history="1">
        <w:r>
          <w:rPr>
            <w:color w:val="1F3864"/>
            <w:u w:val="single"/>
          </w:rPr>
          <w:t xml:space="preserve">Biglaiser et al. (2024)</w:t>
        </w:r>
      </w:hyperlink>
      <w:bookmarkEnd w:id="245"/>
      <w:r>
        <w:t xml:space="preserve"> survey cloud market IO, and </w:t>
      </w:r>
      <w:bookmarkStart w:id="257" w:name="Stojkoski2024txt"/>
      <w:hyperlink w:anchor="Stojkoski2024" w:history="1">
        <w:r>
          <w:rPr>
            <w:color w:val="1F3864"/>
            <w:u w:val="single"/>
          </w:rPr>
          <w:t xml:space="preserve">Stojkoski et al. (2024)</w:t>
        </w:r>
      </w:hyperlink>
      <w:bookmarkEnd w:id="257"/>
      <w:r>
        <w:t xml:space="preserve"> estimate cloud export geography but treat services as homogeneous. The present model adds supply-side cost structure and a training–inference distinction.</w:t>
      </w:r>
    </w:p>
    <w:p>
      <w:pPr>
        <w:pStyle w:val="Heading1"/>
      </w:pPr>
      <w:r>
        <w:rPr>
          <w:rFonts w:ascii="Times New Roman" w:hAnsi="Times New Roman"/>
          <w:b/>
          <w:color w:val="2F5496"/>
          <w:sz w:val="28"/>
        </w:rPr>
        <w:t>3. Model of Compute Production and Trade</w:t>
      </w:r>
    </w:p>
    <w:p>
      <w:pPr>
        <w:spacing w:before="0" w:after="160" w:line="360" w:lineRule="auto"/>
        <w:ind w:firstLine="0"/>
        <w:jc w:val="both"/>
      </w:pPr>
      <w:r>
        <w:t>This section models compute as a tradable good with country-specific production costs, a delivery cost that depends on whether the workload is training (latency-insensitive) or inference (latency-sensitive), and a sovereignty premium reflecting governments’ preference for domestic production.</w:t>
      </w:r>
    </w:p>
    <w:p>
      <w:pPr>
        <w:pStyle w:val="Heading2"/>
      </w:pPr>
      <w:r>
        <w:rPr>
          <w:rFonts w:ascii="Times New Roman" w:hAnsi="Times New Roman"/>
          <w:b w:val="0"/>
          <w:i/>
          <w:color w:val="2F5496"/>
          <w:sz w:val="24"/>
        </w:rPr>
        <w:t>3.1 Production Technology and Cost Structure</w:t>
      </w:r>
    </w:p>
    <w:p>
      <w:pPr>
        <w:spacing w:before="0" w:after="160" w:line="360" w:lineRule="auto"/>
        <w:ind w:firstLine="0"/>
        <w:jc w:val="both"/>
      </w:pPr>
      <w:r>
        <w:t xml:space="preserve">Consider </w:t>
      </w:r>
      <m:oMath>
        <m:r>
          <m:rPr>
            <m:sty m:val="i"/>
          </m:rPr>
          <w:rPr>
            <w:rFonts w:ascii="Cambria Math" w:hAnsi="Cambria Math"/>
          </w:rPr>
          <m:t xml:space="preserve">N</m:t>
        </m:r>
      </m:oMath>
      <w:r>
        <w:t xml:space="preserve"> countries, each capable of producing compute services. The cost of producing a unit of compute in country </w:t>
      </w:r>
      <m:oMath>
        <m:r>
          <m:rPr>
            <m:sty m:val="i"/>
          </m:rPr>
          <w:rPr>
            <w:rFonts w:ascii="Cambria Math" w:hAnsi="Cambria Math"/>
          </w:rPr>
          <m:t xml:space="preserve">j</m:t>
        </m:r>
      </m:oMath>
      <w:r>
        <w:t xml:space="preserve"> depends on three inputs: electricity, hardware, and data center construction.</w:t>
      </w:r>
    </w:p>
    <w:p>
      <w:pPr>
        <w:spacing w:before="0" w:after="80" w:line="360" w:lineRule="auto"/>
        <w:ind w:firstLine="0"/>
        <w:jc w:val="both"/>
      </w:pPr>
      <w:r>
        <w:t xml:space="preserve">A data center consumes electricity for its Graphics Processing Units (GPUs), cooling, power distribution, and lighting. This overhead is measured by the </w:t>
      </w:r>
      <w:r>
        <w:rPr>
          <w:i/>
        </w:rPr>
        <w:t>power usage effectiveness</w:t>
      </w:r>
      <w:r>
        <w:t xml:space="preserve"> (PUE), the ratio of total facility energy consumption to IT equipment energy consumption. The cost per GPU-hour in country </w:t>
      </w:r>
      <m:oMath>
        <m:r>
          <m:rPr>
            <m:sty m:val="i"/>
          </m:rPr>
          <w:rPr>
            <w:rFonts w:ascii="Cambria Math" w:hAnsi="Cambria Math"/>
          </w:rPr>
          <m:t xml:space="preserve">j</m:t>
        </m:r>
      </m:oMath>
      <w:r>
        <w:t xml:space="preserve"> is:</w:t>
      </w:r>
      <w:r>
        <w:rPr>
          <w:rStyle w:val="FootnoteReference"/>
        </w:rPr>
        <w:footnoteReference w:id="7"/>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γ</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E,j</m:t>
                  </m:r>
                </m:sub>
              </m:sSub>
              <m:r>
                <m:rPr>
                  <m:sty m:val="p"/>
                </m:rPr>
                <w:rPr>
                  <w:rFonts w:ascii="Cambria Math" w:hAnsi="Cambria Math"/>
                </w:rPr>
                <m:t xml:space="preserve"> + </m:t>
              </m:r>
              <m:r>
                <m:rPr>
                  <m:sty m:val="i"/>
                </m:rPr>
                <w:rPr>
                  <w:rFonts w:ascii="Cambria Math" w:hAnsi="Cambria Math"/>
                </w:rPr>
                <m:t xml:space="preserve">ρ</m:t>
              </m:r>
              <m:r>
                <m:rPr>
                  <m:sty m:val="p"/>
                </m:rPr>
                <w:rPr>
                  <w:rFonts w:ascii="Cambria Math" w:hAnsi="Cambria Math"/>
                </w:rPr>
                <m:t xml:space="preserve"> + </m:t>
              </m:r>
              <m:r>
                <m:rPr>
                  <m:sty m:val="i"/>
                </m:rPr>
                <w:rPr>
                  <w:rFonts w:ascii="Cambria Math" w:hAnsi="Cambria Math"/>
                </w:rPr>
                <m:t xml:space="preserve">η</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L,j</m:t>
                  </m:r>
                </m:sub>
              </m:sSub>
              <m:r>
                <m:rPr>
                  <m:sty m:val="p"/>
                </m:rPr>
                <w:rPr>
                  <w:rFonts w:ascii="Cambria Math" w:hAnsi="Cambria Math"/>
                </w:rPr>
                <m:t xml:space="preserve"> / (</m:t>
              </m:r>
              <m:r>
                <m:rPr>
                  <m:sty m:val="i"/>
                </m:rPr>
                <w:rPr>
                  <w:rFonts w:ascii="Cambria Math" w:hAnsi="Cambria Math"/>
                </w:rPr>
                <m:t xml:space="preserve">D</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m:t>
              </m:r>
            </m:oMath>
          </w:p>
        </w:tc>
        <w:tc>
          <w:tcPr>
            <w:tcW w:w="720" w:type="dxa"/>
            <w:vAlign w:val="center"/>
          </w:tcPr>
          <w:p>
            <w:pPr>
              <w:jc w:val="right"/>
              <w:spacing w:before="60" w:after="60"/>
            </w:pPr>
            <w:bookmarkStart w:id="801" w:name="Eq1"/>
            <w:r>
              <w:t>(1)</w:t>
            </w:r>
            <w:bookmarkEnd w:id="801"/>
          </w:p>
        </w:tc>
      </w:tr>
    </w:tbl>
    <w:p>
      <w:pPr>
        <w:spacing w:before="80" w:after="40" w:line="360" w:lineRule="auto"/>
        <w:ind w:firstLine="0"/>
        <w:jc w:val="both"/>
      </w:pPr>
      <w:r>
        <w:t xml:space="preserve">where </w:t>
      </w:r>
      <m:oMath>
        <m:r>
          <m:rPr>
            <m:sty m:val="i"/>
          </m:rPr>
          <w:rPr>
            <w:rFonts w:ascii="Cambria Math" w:hAnsi="Cambria Math"/>
          </w:rPr>
          <m:t xml:space="preserve">γ</m:t>
        </m:r>
      </m:oMath>
      <w:r>
        <w:t xml:space="preserve"> is GPU power draw (kW),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is the electricity price ($/kWh), </w:t>
      </w:r>
      <m:oMath>
        <m:r>
          <m:rPr>
            <m:sty m:val="i"/>
          </m:rPr>
          <w:rPr>
            <w:rFonts w:ascii="Cambria Math" w:hAnsi="Cambria Math"/>
          </w:rPr>
          <m:t xml:space="preserve">ρ</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GPU</m:t>
            </m:r>
          </m:sub>
        </m:sSub>
        <m:r>
          <m:rPr>
            <m:sty m:val="p"/>
          </m:rPr>
          <w:rPr>
            <w:rFonts w:ascii="Cambria Math" w:hAnsi="Cambria Math"/>
          </w:rPr>
          <m:t xml:space="preserve"> / (</m:t>
        </m:r>
        <m:r>
          <m:rPr>
            <m:sty m:val="i"/>
          </m:rPr>
          <w:rPr>
            <w:rFonts w:ascii="Cambria Math" w:hAnsi="Cambria Math"/>
          </w:rPr>
          <m:t xml:space="preserve">L</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 · </m:t>
        </m:r>
        <m:r>
          <m:rPr>
            <m:sty m:val="i"/>
          </m:rPr>
          <w:rPr>
            <w:rFonts w:ascii="Cambria Math" w:hAnsi="Cambria Math"/>
          </w:rPr>
          <m:t xml:space="preserve">β</m:t>
        </m:r>
        <m:r>
          <m:rPr>
            <m:sty m:val="p"/>
          </m:rPr>
          <w:rPr>
            <w:rFonts w:ascii="Cambria Math" w:hAnsi="Cambria Math"/>
          </w:rPr>
          <m:t xml:space="preserve">)</m:t>
        </m:r>
      </m:oMath>
      <w:r>
        <w:t xml:space="preserve"> is amortized hardware cost per GPU-hour (</w:t>
      </w:r>
      <m:oMath>
        <m:sSub>
          <m:sSubPr/>
          <m:e>
            <m:r>
              <m:rPr>
                <m:sty m:val="i"/>
              </m:rPr>
              <w:rPr>
                <w:rFonts w:ascii="Cambria Math" w:hAnsi="Cambria Math"/>
              </w:rPr>
              <m:t xml:space="preserve">P</m:t>
            </m:r>
          </m:e>
          <m:sub>
            <m:r>
              <m:rPr>
                <m:sty m:val="i"/>
              </m:rPr>
              <w:rPr>
                <w:rFonts w:ascii="Cambria Math" w:hAnsi="Cambria Math"/>
              </w:rPr>
              <m:t xml:space="preserve">GPU</m:t>
            </m:r>
          </m:sub>
        </m:sSub>
      </m:oMath>
      <w:r>
        <w:t xml:space="preserve"> = purchase price, </w:t>
      </w:r>
      <m:oMath>
        <m:r>
          <m:rPr>
            <m:sty m:val="i"/>
          </m:rPr>
          <w:rPr>
            <w:rFonts w:ascii="Cambria Math" w:hAnsi="Cambria Math"/>
          </w:rPr>
          <m:t xml:space="preserve">L</m:t>
        </m:r>
      </m:oMath>
      <w:r>
        <w:t xml:space="preserve"> = lifetime in years, </w:t>
      </w:r>
      <m:oMath>
        <m:r>
          <m:rPr>
            <m:sty m:val="i"/>
          </m:rPr>
          <w:rPr>
            <w:rFonts w:ascii="Cambria Math" w:hAnsi="Cambria Math"/>
          </w:rPr>
          <m:t xml:space="preserve">H</m:t>
        </m:r>
      </m:oMath>
      <w:r>
        <w:t xml:space="preserve"> = 8,766 hours per year, </w:t>
      </w:r>
      <m:oMath>
        <m:r>
          <m:rPr>
            <m:sty m:val="i"/>
          </m:rPr>
          <w:rPr>
            <w:rFonts w:ascii="Cambria Math" w:hAnsi="Cambria Math"/>
          </w:rPr>
          <m:t xml:space="preserve">β</m:t>
        </m:r>
      </m:oMath>
      <w:r>
        <w:t xml:space="preserve"> = utilization rate),</w:t>
      </w:r>
      <w:r>
        <w:rPr>
          <w:rStyle w:val="FootnoteReference"/>
        </w:rPr>
        <w:footnoteReference w:id="9"/>
      </w:r>
      <w:r>
        <w:t xml:space="preserve"> </w:t>
      </w:r>
      <m:oMath>
        <m:r>
          <m:rPr>
            <m:sty m:val="i"/>
          </m:rPr>
          <w:rPr>
            <w:rFonts w:ascii="Cambria Math" w:hAnsi="Cambria Math"/>
          </w:rPr>
          <m:t xml:space="preserve">η</m:t>
        </m:r>
      </m:oMath>
      <w:r>
        <w:t xml:space="preserve"> is amortized networking cost, and the last term amortizes per-GPU construction costs </w:t>
      </w:r>
      <m:oMath>
        <m:sSub>
          <m:sSubPr/>
          <m:e>
            <m:r>
              <m:rPr>
                <m:sty m:val="i"/>
              </m:rPr>
              <w:rPr>
                <w:rFonts w:ascii="Cambria Math" w:hAnsi="Cambria Math"/>
              </w:rPr>
              <m:t xml:space="preserve">p</m:t>
            </m:r>
          </m:e>
          <m:sub>
            <m:r>
              <m:rPr>
                <m:sty m:val="i"/>
              </m:rPr>
              <w:rPr>
                <w:rFonts w:ascii="Cambria Math" w:hAnsi="Cambria Math"/>
              </w:rPr>
              <m:t xml:space="preserve">L,j</m:t>
            </m:r>
          </m:sub>
        </m:sSub>
      </m:oMath>
      <w:r>
        <w:t xml:space="preserve"> (= per-watt cost × 700 W) over the facility’s lifetime </w:t>
      </w:r>
      <m:oMath>
        <m:r>
          <m:rPr>
            <m:sty m:val="i"/>
          </m:rPr>
          <w:rPr>
            <w:rFonts w:ascii="Cambria Math" w:hAnsi="Cambria Math"/>
          </w:rPr>
          <m:t xml:space="preserve">D</m:t>
        </m:r>
      </m:oMath>
      <w:r>
        <w:t xml:space="preserve">. Both </w:t>
      </w:r>
      <m:oMath>
        <m:r>
          <m:rPr>
            <m:sty m:val="i"/>
          </m:rPr>
          <w:rPr>
            <w:rFonts w:ascii="Cambria Math" w:hAnsi="Cambria Math"/>
          </w:rPr>
          <m:t xml:space="preserve">ρ</m:t>
        </m:r>
      </m:oMath>
      <w:r>
        <w:t xml:space="preserve"> and </w:t>
      </w:r>
      <m:oMath>
        <m:r>
          <m:rPr>
            <m:sty m:val="i"/>
          </m:rPr>
          <w:rPr>
            <w:rFonts w:ascii="Cambria Math" w:hAnsi="Cambria Math"/>
          </w:rPr>
          <m:t xml:space="preserve">η</m:t>
        </m:r>
      </m:oMath>
      <w:r>
        <w:t xml:space="preserve"> are determined in global hardware markets and are common across countries.</w:t>
      </w:r>
      <w:r>
        <w:rPr>
          <w:rStyle w:val="FootnoteReference"/>
        </w:rPr>
        <w:footnoteReference w:id="10"/>
      </w:r>
      <w:r>
        <w:t xml:space="preserve"> Cross-country variation in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therefore driven by electricity prices, climate, and construction costs. The PUE function captures temperature-dependent cooling overhead:</w:t>
      </w:r>
    </w:p>
    <w:p>
      <w:pPr>
        <w:spacing w:before="0" w:after="160" w:line="360" w:lineRule="auto"/>
        <w:ind w:firstLine="0"/>
        <w:jc w:val="both"/>
      </w:pPr>
      <m:oMathPara>
        <m:oMath>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φ</m:t>
          </m:r>
          <m:r>
            <m:rPr>
              <m:sty m:val="p"/>
            </m:rPr>
            <w:rPr>
              <w:rFonts w:ascii="Cambria Math" w:hAnsi="Cambria Math"/>
            </w:rPr>
            <m:t xml:space="preserve"> + </m:t>
          </m:r>
          <m:r>
            <m:rPr>
              <m:sty m:val="i"/>
            </m:rPr>
            <w:rPr>
              <w:rFonts w:ascii="Cambria Math" w:hAnsi="Cambria Math"/>
            </w:rPr>
            <m:t xml:space="preserve">δ</m:t>
          </m:r>
          <m:r>
            <m:rPr>
              <m:sty m:val="p"/>
            </m:rPr>
            <w:rPr>
              <w:rFonts w:ascii="Cambria Math" w:hAnsi="Cambria Math"/>
            </w:rPr>
            <m:t xml:space="preserve"> · max(0, </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bar>
            <m:barPr>
              <m:pos m:val="top"/>
            </m:barPr>
            <m:e>
              <m:r>
                <m:rPr>
                  <m:sty m:val="i"/>
                </m:rPr>
                <w:rPr>
                  <w:rFonts w:ascii="Cambria Math" w:hAnsi="Cambria Math"/>
                </w:rPr>
                <m:t xml:space="preserve">θ</m:t>
              </m:r>
            </m:e>
          </m:bar>
          <m:r>
            <m:rPr>
              <m:sty m:val="p"/>
            </m:rPr>
            <w:rPr>
              <w:rFonts w:ascii="Cambria Math" w:hAnsi="Cambria Math"/>
            </w:rPr>
            <m:t xml:space="preserve">),</m:t>
          </m:r>
        </m:oMath>
      </m:oMathPara>
      <w:r>
        <w:t xml:space="preserve">where </w:t>
      </w:r>
      <m:oMath>
        <m:r>
          <m:rPr>
            <m:sty m:val="i"/>
          </m:rPr>
          <w:rPr>
            <w:rFonts w:ascii="Cambria Math" w:hAnsi="Cambria Math"/>
          </w:rPr>
          <m:t xml:space="preserve">φ</m:t>
        </m:r>
      </m:oMath>
      <w:r>
        <w:t xml:space="preserve"> is the base PUE at or below the free-cooling threshold </w:t>
      </w:r>
      <m:oMath>
        <m:bar>
          <m:barPr>
            <m:pos m:val="top"/>
          </m:barPr>
          <m:e>
            <m:r>
              <m:rPr>
                <m:sty m:val="i"/>
              </m:rPr>
              <w:rPr>
                <w:rFonts w:ascii="Cambria Math" w:hAnsi="Cambria Math"/>
              </w:rPr>
              <m:t xml:space="preserve">θ</m:t>
            </m:r>
          </m:e>
        </m:bar>
      </m:oMath>
      <w:r>
        <w:t xml:space="preserve">, </w:t>
      </w:r>
      <m:oMath>
        <m:r>
          <m:rPr>
            <m:sty m:val="i"/>
          </m:rPr>
          <w:rPr>
            <w:rFonts w:ascii="Cambria Math" w:hAnsi="Cambria Math"/>
          </w:rPr>
          <m:t xml:space="preserve">δ</m:t>
        </m:r>
      </m:oMath>
      <w:r>
        <w:t xml:space="preserve"> is the marginal PUE penalty per °C above </w:t>
      </w:r>
      <m:oMath>
        <m:bar>
          <m:barPr>
            <m:pos m:val="top"/>
          </m:barPr>
          <m:e>
            <m:r>
              <m:rPr>
                <m:sty m:val="i"/>
              </m:rPr>
              <w:rPr>
                <w:rFonts w:ascii="Cambria Math" w:hAnsi="Cambria Math"/>
              </w:rPr>
              <m:t xml:space="preserve">θ</m:t>
            </m:r>
          </m:e>
        </m:bar>
      </m:oMath>
      <w:r>
        <w:t xml:space="preserve">, and </w:t>
      </w:r>
      <m:oMath>
        <m:sSub>
          <m:sSubPr/>
          <m:e>
            <m:r>
              <m:rPr>
                <m:sty m:val="i"/>
              </m:rPr>
              <w:rPr>
                <w:rFonts w:ascii="Cambria Math" w:hAnsi="Cambria Math"/>
              </w:rPr>
              <m:t xml:space="preserve">θ</m:t>
            </m:r>
          </m:e>
          <m:sub>
            <m:r>
              <m:rPr>
                <m:sty m:val="i"/>
              </m:rPr>
              <w:rPr>
                <w:rFonts w:ascii="Cambria Math" w:hAnsi="Cambria Math"/>
              </w:rPr>
              <m:t xml:space="preserve">j</m:t>
            </m:r>
          </m:sub>
        </m:sSub>
      </m:oMath>
      <w:r>
        <w:t xml:space="preserve"> is country j’s peak summer temperature.</w:t>
      </w:r>
    </w:p>
    <w:p>
      <w:pPr>
        <w:spacing w:before="0" w:after="160" w:line="360" w:lineRule="auto"/>
        <w:ind w:firstLine="0"/>
        <w:jc w:val="both"/>
      </w:pPr>
      <w:r>
        <w:t xml:space="preserve">Although the cost structure above is Ricardian (country-specific production costs driven by technology and input prices), the justification for resource-rich comparative advantage is closer to the Heckscher–Ohlin model: countries export goods intensive in their abundant factors (</w:t>
      </w:r>
      <w:bookmarkStart w:id="207" w:name="Heckscher1919txt"/>
      <w:hyperlink w:anchor="Heckscher1919" w:history="1">
        <w:r>
          <w:rPr>
            <w:color w:val="1F3864"/>
            <w:u w:val="single"/>
          </w:rPr>
          <w:t xml:space="preserve">Heckscher 1919</w:t>
        </w:r>
      </w:hyperlink>
      <w:bookmarkEnd w:id="207"/>
      <w:r>
        <w:t xml:space="preserve">, </w:t>
      </w:r>
      <w:bookmarkStart w:id="246" w:name="Ohlin1933txt"/>
      <w:hyperlink w:anchor="Ohlin1933" w:history="1">
        <w:r>
          <w:rPr>
            <w:color w:val="1F3864"/>
            <w:u w:val="single"/>
          </w:rPr>
          <w:t xml:space="preserve">Ohlin 1933</w:t>
        </w:r>
      </w:hyperlink>
      <w:bookmarkEnd w:id="246"/>
      <w:r>
        <w:t xml:space="preserve">). For compute production, the relevant endowment is not electricity, but the natural resources that generate it, such as hydropower (Kyrgyzstan, Ethiopia, Georgia), oil and gas (Iran, Turkmenistan, Qatar), solar irradiance (North Africa, the Gulf), and geothermal energy (Kenya, Iceland).</w:t>
      </w:r>
    </w:p>
    <w:p>
      <w:pPr>
        <w:pStyle w:val="Heading2"/>
      </w:pPr>
      <w:r>
        <w:rPr>
          <w:rFonts w:ascii="Times New Roman" w:hAnsi="Times New Roman"/>
          <w:b w:val="0"/>
          <w:i/>
          <w:color w:val="2F5496"/>
          <w:sz w:val="24"/>
        </w:rPr>
        <w:t>3.2 Trade Costs</w:t>
      </w:r>
    </w:p>
    <w:p>
      <w:pPr>
        <w:spacing w:before="0" w:after="160" w:line="360" w:lineRule="auto"/>
        <w:ind w:firstLine="0"/>
        <w:jc w:val="both"/>
      </w:pPr>
      <w:r>
        <w:t xml:space="preserve">Countries produce and trade two types of compute services that differ in their offshoring costs. </w:t>
      </w:r>
      <w:r>
        <w:rPr>
          <w:i/>
        </w:rPr>
        <w:t>Training services</w:t>
      </w:r>
      <w:r>
        <w:t xml:space="preserve"> (denoted T) include batch workloads such as model training, fine-tuning, and large-scale data processing. Training a state-of-the-art AI model can take weeks to months across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(denoted I) encompass real-time workloads such as chatbot responses, autonomous decisions, and interactive agents. Each query must travel to the server and back within milliseconds, so the service quality degrades as delivery delays (latency) increase. </w:t>
      </w:r>
      <w:r>
        <w:rPr>
          <w:i/>
        </w:rPr>
        <w:t>Latency</w:t>
      </w:r>
      <w:r>
        <w:rPr>
          <w:i/>
        </w:rPr>
        <w:t xml:space="preserve">, denoted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is the round-trip time for a data packet to travel from the seller country </w:t>
      </w:r>
      <m:oMath>
        <m:r>
          <m:rPr>
            <m:sty m:val="i"/>
          </m:rPr>
          <w:rPr>
            <w:rFonts w:ascii="Cambria Math" w:hAnsi="Cambria Math"/>
          </w:rPr>
          <m:t xml:space="preserve">j</m:t>
        </m:r>
      </m:oMath>
      <w:r>
        <w:t xml:space="preserve"> to buyer country </w:t>
      </w:r>
      <m:oMath>
        <m:r>
          <m:rPr>
            <m:sty m:val="i"/>
          </m:rPr>
          <w:rPr>
            <w:rFonts w:ascii="Cambria Math" w:hAnsi="Cambria Math"/>
          </w:rPr>
          <m:t xml:space="preserve">k</m:t>
        </m:r>
      </m:oMath>
      <w:r>
        <w:t>, typically 5–10 ms within a country and over 150 ms across continents (Appendix F summarizes workload types and their latency sensitivity).</w:t>
      </w:r>
    </w:p>
    <w:p>
      <w:pPr>
        <w:spacing w:before="0" w:after="80" w:line="360" w:lineRule="auto"/>
        <w:ind w:firstLine="0"/>
        <w:jc w:val="both"/>
      </w:pPr>
      <w:r>
        <w:t xml:space="preserve">Governments and firms may prefer to process data domestically for national security, regulatory compliance, or political reasons. This is captured by a bilateral </w:t>
      </w:r>
      <w:r>
        <w:rPr>
          <w:i/>
        </w:rPr>
        <w:t>sovereignty premium</w:t>
      </w:r>
      <w:r>
        <w:t xml:space="preserve">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which acts as a markup on the cost of compute sourced from seller country </w:t>
      </w:r>
      <m:oMath>
        <m:r>
          <m:rPr>
            <m:sty m:val="i"/>
          </m:rPr>
          <w:rPr>
            <w:rFonts w:ascii="Cambria Math" w:hAnsi="Cambria Math"/>
          </w:rPr>
          <m:t xml:space="preserve">i</m:t>
        </m:r>
      </m:oMath>
      <w:r>
        <w:t xml:space="preserve"> by buyer country </w:t>
      </w:r>
      <m:oMath>
        <m:r>
          <m:rPr>
            <m:sty m:val="i"/>
          </m:rPr>
          <w:rPr>
            <w:rFonts w:ascii="Cambria Math" w:hAnsi="Cambria Math"/>
          </w:rPr>
          <m:t xml:space="preserve">j</m:t>
        </m:r>
      </m:oMath>
      <w:r>
        <w:t xml:space="preserve">. When buyer </w:t>
      </w:r>
      <m:oMath>
        <m:r>
          <m:rPr>
            <m:sty m:val="i"/>
          </m:rPr>
          <w:rPr>
            <w:rFonts w:ascii="Cambria Math" w:hAnsi="Cambria Math"/>
          </w:rPr>
          <m:t xml:space="preserve">j</m:t>
        </m:r>
      </m:oMath>
      <w:r>
        <w:t xml:space="preserve"> sources compute from seller </w:t>
      </w:r>
      <m:oMath>
        <m:r>
          <m:rPr>
            <m:sty m:val="i"/>
          </m:rPr>
          <w:rPr>
            <w:rFonts w:ascii="Cambria Math" w:hAnsi="Cambria Math"/>
          </w:rPr>
          <m:t xml:space="preserve">i</m:t>
        </m:r>
        <m:r>
          <m:rPr>
            <m:sty m:val="p"/>
          </m:rPr>
          <w:rPr>
            <w:rFonts w:ascii="Cambria Math" w:hAnsi="Cambria Math"/>
          </w:rPr>
          <m:t xml:space="preserve"> ≠ </m:t>
        </m:r>
        <m:r>
          <m:rPr>
            <m:sty m:val="i"/>
          </m:rPr>
          <w:rPr>
            <w:rFonts w:ascii="Cambria Math" w:hAnsi="Cambria Math"/>
          </w:rPr>
          <m:t xml:space="preserve">j</m:t>
        </m:r>
      </m:oMath>
      <w:r>
        <w:t xml:space="preserve">, the effective cost is inflated by the factor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m:t>
        </m:r>
      </m:oMath>
      <w:r>
        <w:t>. The sovereignty premium is zero for domestic production (</w:t>
      </w:r>
      <m:oMath>
        <m:sSub>
          <m:sSubPr/>
          <m:e>
            <m:r>
              <m:rPr>
                <m:sty m:val="i"/>
              </m:rPr>
              <w:rPr>
                <w:rFonts w:ascii="Cambria Math" w:hAnsi="Cambria Math"/>
              </w:rPr>
              <m:t xml:space="preserve">λ</m:t>
            </m:r>
          </m:e>
          <m:sub>
            <m:r>
              <m:rPr>
                <m:sty m:val="i"/>
              </m:rPr>
              <w:rPr>
                <w:rFonts w:ascii="Cambria Math" w:hAnsi="Cambria Math"/>
              </w:rPr>
              <m:t xml:space="preserve">ii</m:t>
            </m:r>
          </m:sub>
        </m:sSub>
        <m:r>
          <m:rPr>
            <m:sty m:val="p"/>
          </m:rPr>
          <w:rPr>
            <w:rFonts w:ascii="Cambria Math" w:hAnsi="Cambria Math"/>
          </w:rPr>
          <m:t xml:space="preserve"> = 0</m:t>
        </m:r>
      </m:oMath>
      <w:r>
        <w:t xml:space="preserve">). The bilateral premium is modeled as a function of geopolitical alignment </w:t>
      </w:r>
      <m:oMath>
        <m:sSub>
          <m:sSubPr/>
          <m:e>
            <m:r>
              <m:rPr>
                <m:sty m:val="i"/>
              </m:rPr>
              <w:rPr>
                <w:rFonts w:ascii="Cambria Math" w:hAnsi="Cambria Math"/>
              </w:rPr>
              <m:t xml:space="preserve">G</m:t>
            </m:r>
          </m:e>
          <m:sub>
            <m:r>
              <m:rPr>
                <m:sty m:val="i"/>
              </m:rPr>
              <w:rPr>
                <w:rFonts w:ascii="Cambria Math" w:hAnsi="Cambria Math"/>
              </w:rPr>
              <m:t xml:space="preserve">ij</m:t>
            </m:r>
          </m:sub>
        </m:sSub>
      </m:oMath>
      <w:r>
        <w:t xml:space="preserve">, measured from UN General Assembly ideal-point distance (</w:t>
      </w:r>
      <w:bookmarkStart w:id="208" w:name="BaileyEtAl2017txt"/>
      <w:hyperlink w:anchor="BaileyEtAl2017" w:history="1">
        <w:r>
          <w:rPr>
            <w:color w:val="1F3864"/>
            <w:u w:val="single"/>
          </w:rPr>
          <w:t xml:space="preserve">Bailey, Strezhnev, and Voeten 2017</w:t>
        </w:r>
      </w:hyperlink>
      <w:bookmarkEnd w:id="208"/>
      <w:r>
        <w:t xml:space="preserve">) and normalized so that </w:t>
      </w:r>
      <m:oMath>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 [0, 1]</m:t>
        </m:r>
      </m:oMath>
      <w:r>
        <w:t xml:space="preserve">, with 0 denoting perfect alignment; regulatory compatibility </w:t>
      </w:r>
      <m:oMath>
        <m:sSub>
          <m:sSubPr/>
          <m:e>
            <m:r>
              <m:rPr>
                <m:sty m:val="i"/>
              </m:rPr>
              <w:rPr>
                <w:rFonts w:ascii="Cambria Math" w:hAnsi="Cambria Math"/>
              </w:rPr>
              <m:t xml:space="preserve">R</m:t>
            </m:r>
          </m:e>
          <m:sub>
            <m:r>
              <m:rPr>
                <m:sty m:val="i"/>
              </m:rPr>
              <w:rPr>
                <w:rFonts w:ascii="Cambria Math" w:hAnsi="Cambria Math"/>
              </w:rPr>
              <m:t xml:space="preserve">ij</m:t>
            </m:r>
          </m:sub>
        </m:sSub>
      </m:oMath>
      <w:r>
        <w:t xml:space="preserve">, coded as 1 for country pairs covered by a mutual data-adequacy agreement and 0 otherwise; and a sanctions indicator </w:t>
      </w:r>
      <m:oMath>
        <m:sSub>
          <m:sSubPr/>
          <m:e>
            <m:r>
              <m:rPr>
                <m:sty m:val="i"/>
              </m:rPr>
              <w:rPr>
                <w:rFonts w:ascii="Cambria Math" w:hAnsi="Cambria Math"/>
              </w:rPr>
              <m:t xml:space="preserve">S</m:t>
            </m:r>
          </m:e>
          <m:sub>
            <m:r>
              <m:rPr>
                <m:sty m:val="i"/>
              </m:rPr>
              <w:rPr>
                <w:rFonts w:ascii="Cambria Math" w:hAnsi="Cambria Math"/>
              </w:rPr>
              <m:t xml:space="preserve">ij</m:t>
            </m:r>
          </m:sub>
        </m:sSub>
      </m:oMath>
      <w:r>
        <w:t xml:space="preserve"> equal to 1 if either country maintains comprehensive trade sanctions against the other:</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(1 − </m:t>
              </m:r>
              <m:sSub>
                <m:sSubPr/>
                <m:e>
                  <m:r>
                    <m:rPr>
                      <m:sty m:val="i"/>
                    </m:rPr>
                    <w:rPr>
                      <w:rFonts w:ascii="Cambria Math" w:hAnsi="Cambria Math"/>
                    </w:rPr>
                    <m:t xml:space="preserve">R</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m:t>
              </m:r>
              <m:sSub>
                <m:sSubPr/>
                <m:e>
                  <m:r>
                    <m:rPr>
                      <m:sty m:val="i"/>
                    </m:rPr>
                    <w:rPr>
                      <w:rFonts w:ascii="Cambria Math" w:hAnsi="Cambria Math"/>
                    </w:rPr>
                    <m:t xml:space="preserve">S</m:t>
                  </m:r>
                </m:e>
                <m:sub>
                  <m:r>
                    <m:rPr>
                      <m:sty m:val="i"/>
                    </m:rPr>
                    <w:rPr>
                      <w:rFonts w:ascii="Cambria Math" w:hAnsi="Cambria Math"/>
                    </w:rPr>
                    <m:t xml:space="preserve">ij</m:t>
                  </m:r>
                </m:sub>
              </m:sSub>
              <m:r>
                <m:rPr>
                  <m:sty m:val="p"/>
                </m:rPr>
                <w:rPr>
                  <w:rFonts w:ascii="Cambria Math" w:hAnsi="Cambria Math"/>
                </w:rPr>
                <m:t xml:space="preserve">.</m:t>
              </m:r>
            </m:oMath>
          </w:p>
        </w:tc>
        <w:tc>
          <w:tcPr>
            <w:tcW w:w="720" w:type="dxa"/>
            <w:vAlign w:val="center"/>
          </w:tcPr>
          <w:p>
            <w:pPr>
              <w:jc w:val="right"/>
              <w:spacing w:before="60" w:after="60"/>
            </w:pPr>
            <w:bookmarkStart w:id="802" w:name="Eq2"/>
            <w:r>
              <w:t>(2)</w:t>
            </w:r>
            <w:bookmarkEnd w:id="802"/>
          </w:p>
        </w:tc>
      </w:tr>
    </w:tbl>
    <w:p>
      <w:pPr>
        <w:spacing w:before="80" w:after="80" w:line="360" w:lineRule="auto"/>
        <w:ind w:firstLine="0"/>
        <w:jc w:val="both"/>
      </w:pPr>
      <w:r>
        <w:t xml:space="preserve">The delivered cost of service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(1 + </m:t>
              </m:r>
              <m:sSub>
                <m:sSubPr/>
                <m:e>
                  <m:r>
                    <m:rPr>
                      <m:sty m:val="i"/>
                    </m:rPr>
                    <w:rPr>
                      <w:rFonts w:ascii="Cambria Math" w:hAnsi="Cambria Math"/>
                    </w:rPr>
                    <m:t xml:space="preserve">τ</m:t>
                  </m:r>
                </m:e>
                <m:sub>
                  <m:r>
                    <m:rPr>
                      <m:sty m:val="i"/>
                    </m:rPr>
                    <w:rPr>
                      <w:rFonts w:ascii="Cambria Math" w:hAnsi="Cambria Math"/>
                    </w:rPr>
                    <m:t xml:space="preserve">s</m:t>
                  </m:r>
                </m:sub>
              </m:sSub>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720" w:type="dxa"/>
            <w:vAlign w:val="center"/>
          </w:tcPr>
          <w:p>
            <w:pPr>
              <w:jc w:val="right"/>
              <w:spacing w:before="60" w:after="60"/>
            </w:pPr>
            <w:bookmarkStart w:id="803" w:name="Eq3"/>
            <w:r>
              <w:t>(3)</w:t>
            </w:r>
            <w:bookmarkEnd w:id="803"/>
          </w:p>
        </w:tc>
      </w:tr>
    </w:tbl>
    <w:p>
      <w:pPr>
        <w:spacing w:before="80" w:after="160" w:line="360" w:lineRule="auto"/>
        <w:ind w:firstLine="0"/>
        <w:jc w:val="both"/>
      </w:pPr>
      <w:r>
        <w:t xml:space="preserve">where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 unit cost of producing one GPU-hour in country </w:t>
      </w:r>
      <m:oMath>
        <m:r>
          <m:rPr>
            <m:sty m:val="i"/>
          </m:rPr>
          <w:rPr>
            <w:rFonts w:ascii="Cambria Math" w:hAnsi="Cambria Math"/>
          </w:rPr>
          <m:t xml:space="preserve">j</m:t>
        </m:r>
      </m:oMath>
      <w:r>
        <w:t xml:space="preserve">  (</w:t>
      </w:r>
      <w:bookmarkStart w:id="900" w:name="Eq1txt900"/>
      <w:hyperlink w:anchor="Eq1" w:history="1">
        <w:r>
          <w:rPr>
            <w:color w:val="1F3864"/>
            <w:u w:val="single"/>
          </w:rPr>
          <w:t xml:space="preserve">equation (1)</w:t>
        </w:r>
      </w:hyperlink>
      <w:bookmarkEnd w:id="900"/>
      <w:r>
        <w:t xml:space="preserve">). The bilateral premium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the same object as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in </w:t>
      </w:r>
      <w:bookmarkStart w:id="901" w:name="Eq2txt901"/>
      <w:hyperlink w:anchor="Eq2" w:history="1">
        <w:r>
          <w:rPr>
            <w:color w:val="1F3864"/>
            <w:u w:val="single"/>
          </w:rPr>
          <w:t xml:space="preserve">equation (2)</w:t>
        </w:r>
      </w:hyperlink>
      <w:bookmarkEnd w:id="901"/>
      <w:r>
        <w:t xml:space="preserve">; we relabel the subscripts as </w:t>
      </w:r>
      <m:oMath>
        <m:r>
          <m:rPr>
            <m:sty m:val="i"/>
          </m:rPr>
          <w:rPr>
            <w:rFonts w:ascii="Cambria Math" w:hAnsi="Cambria Math"/>
          </w:rPr>
          <m:t xml:space="preserve">(j, k)</m:t>
        </m:r>
      </m:oMath>
      <w:r>
        <w:t xml:space="preserve"> whenever the premium is paired with a specific seller’s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Governance quality, grid reliability, and other institutional factors that affect the willingness of buyers to source compute from a particular country are captured by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rather than by a production cost adjustment.</w:t>
      </w:r>
    </w:p>
    <w:p>
      <w:pPr>
        <w:spacing w:before="0" w:after="160" w:line="360" w:lineRule="auto"/>
        <w:ind w:firstLine="0"/>
        <w:jc w:val="both"/>
      </w:pPr>
      <w:r>
        <w:t xml:space="preserve">The parameter </w:t>
      </w:r>
      <m:oMath>
        <m:r>
          <m:rPr>
            <m:sty m:val="i"/>
          </m:rPr>
          <w:rPr>
            <w:rFonts w:ascii="Cambria Math" w:hAnsi="Cambria Math"/>
          </w:rPr>
          <m:t xml:space="preserve">τ</m:t>
        </m:r>
      </m:oMath>
      <w:r>
        <w:t xml:space="preserve"> measures the rate of quality degradation per millisecond of round-trip latency,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For training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the delivered cost is the sum of the production cost and the sovereignty markup. For inference, the delivered cost increases with latency at rate </w:t>
      </w:r>
      <m:oMath>
        <m:sSub>
          <m:sSubPr/>
          <m:e>
            <m:r>
              <m:rPr>
                <m:sty m:val="i"/>
              </m:rPr>
              <w:rPr>
                <w:rFonts w:ascii="Cambria Math" w:hAnsi="Cambria Math"/>
              </w:rPr>
              <m:t xml:space="preserve">τ</m:t>
            </m:r>
          </m:e>
          <m:sub>
            <m:r>
              <m:rPr>
                <m:sty m:val="i"/>
              </m:rPr>
              <w:rPr>
                <w:rFonts w:ascii="Cambria Math" w:hAnsi="Cambria Math"/>
              </w:rPr>
              <m:t xml:space="preserve">I</m:t>
            </m:r>
          </m:sub>
        </m:sSub>
      </m:oMath>
      <w:r>
        <w:t xml:space="preserve">. Beyond a threshold </w:t>
      </w:r>
      <m:oMath>
        <m:bar>
          <m:barPr>
            <m:pos m:val="top"/>
          </m:barPr>
          <m:e>
            <m:r>
              <m:rPr>
                <m:sty m:val="i"/>
              </m:rPr>
              <w:rPr>
                <w:rFonts w:ascii="Cambria Math" w:hAnsi="Cambria Math"/>
              </w:rPr>
              <m:t xml:space="preserve">l</m:t>
            </m:r>
          </m:e>
        </m:bar>
      </m:oMath>
      <w:r>
        <w:t xml:space="preserve"> (typically 200–300 ms for interactive applications), the service becomes unusable regardless of price, modeled as </w:t>
      </w: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oMath>
      <w:r>
        <w:t xml:space="preserve"> if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&gt; </m:t>
        </m:r>
        <m:bar>
          <m:barPr>
            <m:pos m:val="top"/>
          </m:barPr>
          <m:e>
            <m:r>
              <m:rPr>
                <m:sty m:val="i"/>
              </m:rPr>
              <w:rPr>
                <w:rFonts w:ascii="Cambria Math" w:hAnsi="Cambria Math"/>
              </w:rPr>
              <m:t xml:space="preserve">l</m:t>
            </m:r>
          </m:e>
        </m:bar>
      </m:oMath>
      <w:r>
        <w:t>.</w:t>
      </w:r>
    </w:p>
    <w:p>
      <w:pPr>
        <w:pStyle w:val="Heading2"/>
      </w:pPr>
      <w:r>
        <w:rPr>
          <w:rFonts w:ascii="Times New Roman" w:hAnsi="Times New Roman"/>
          <w:b w:val="0"/>
          <w:i/>
          <w:color w:val="2F5496"/>
          <w:sz w:val="24"/>
        </w:rPr>
        <w:t>3.3 Global Compute Demand</w:t>
      </w:r>
    </w:p>
    <w:p>
      <w:pPr>
        <w:spacing w:before="0" w:after="80" w:line="360" w:lineRule="auto"/>
        <w:ind w:firstLine="0"/>
        <w:jc w:val="both"/>
      </w:pPr>
      <w:r>
        <w:t xml:space="preserve">The model is closed by specifying demand for compute services. Let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denote the volume of compute purchased by buyer </w:t>
      </w:r>
      <m:oMath>
        <m:r>
          <m:rPr>
            <m:sty m:val="i"/>
          </m:rPr>
          <w:rPr>
            <w:rFonts w:ascii="Cambria Math" w:hAnsi="Cambria Math"/>
          </w:rPr>
          <m:t xml:space="preserve">k</m:t>
        </m:r>
      </m:oMath>
      <w:r>
        <w:t>. We measure compute demand using installed data center capacity in megawatts (MW):</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r>
                <m:rPr>
                  <m:sty m:val="i"/>
                </m:rPr>
                <w:rPr>
                  <w:rFonts w:ascii="Cambria Math" w:hAnsi="Cambria Math"/>
                </w:rPr>
                <m:t xml:space="preserve">Q</m:t>
              </m:r>
              <m:r>
                <m:rPr>
                  <m:sty m:val="p"/>
                </m:rPr>
                <w:rPr>
                  <w:rFonts w:ascii="Cambria Math" w:hAnsi="Cambria Math"/>
                </w:rPr>
                <m:t xml:space="preserve">,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k</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M</m:t>
                      </m:r>
                    </m:e>
                    <m:sub>
                      <m:r>
                        <m:rPr>
                          <m:sty m:val="i"/>
                        </m:rPr>
                        <w:rPr>
                          <w:rFonts w:ascii="Cambria Math" w:hAnsi="Cambria Math"/>
                        </w:rPr>
                        <m:t xml:space="preserve">k′</m:t>
                      </m:r>
                    </m:sub>
                  </m:sSub>
                </m:e>
              </m:nary>
              <m:r>
                <m:rPr>
                  <m:sty m:val="p"/>
                </m:rPr>
                <w:rPr>
                  <w:rFonts w:ascii="Cambria Math" w:hAnsi="Cambria Math"/>
                </w:rPr>
                <m:t xml:space="preserve">,</m:t>
              </m:r>
            </m:oMath>
          </w:p>
        </w:tc>
        <w:tc>
          <w:tcPr>
            <w:tcW w:w="720" w:type="dxa"/>
            <w:vAlign w:val="center"/>
          </w:tcPr>
          <w:p>
            <w:pPr>
              <w:jc w:val="right"/>
              <w:spacing w:before="60" w:after="60"/>
            </w:pPr>
            <w:bookmarkStart w:id="804" w:name="Eq4"/>
            <w:r>
              <w:t>(4)</w:t>
            </w:r>
            <w:bookmarkEnd w:id="804"/>
          </w:p>
        </w:tc>
      </w:tr>
    </w:tbl>
    <w:p>
      <w:pPr>
        <w:spacing w:before="80" w:after="160" w:line="360" w:lineRule="auto"/>
        <w:ind w:firstLine="0"/>
        <w:jc w:val="both"/>
      </w:pPr>
      <w:r>
        <w:t xml:space="preserve">where </w:t>
      </w:r>
      <m:oMath>
        <m:r>
          <m:rPr>
            <m:sty m:val="i"/>
          </m:rPr>
          <w:rPr>
            <w:rFonts w:ascii="Cambria Math" w:hAnsi="Cambria Math"/>
          </w:rPr>
          <m:t xml:space="preserve">Q</m:t>
        </m:r>
      </m:oMath>
      <w:r>
        <w:t xml:space="preserve"> is the total global compute spending and </w:t>
      </w:r>
      <m:oMath>
        <m:sSub>
          <m:sSubPr/>
          <m:e>
            <m:r>
              <m:rPr>
                <m:sty m:val="i"/>
              </m:rPr>
              <w:rPr>
                <w:rFonts w:ascii="Cambria Math" w:hAnsi="Cambria Math"/>
              </w:rPr>
              <m:t xml:space="preserve">ω</m:t>
            </m:r>
          </m:e>
          <m:sub>
            <m:r>
              <m:rPr>
                <m:sty m:val="i"/>
              </m:rPr>
              <w:rPr>
                <w:rFonts w:ascii="Cambria Math" w:hAnsi="Cambria Math"/>
              </w:rPr>
              <m:t xml:space="preserve">k</m:t>
            </m:r>
          </m:sub>
        </m:sSub>
      </m:oMath>
      <w:r>
        <w:t xml:space="preserve"> is country </w:t>
      </w:r>
      <m:oMath>
        <m:r>
          <m:rPr>
            <m:sty m:val="i"/>
          </m:rPr>
          <w:rPr>
            <w:rFonts w:ascii="Cambria Math" w:hAnsi="Cambria Math"/>
          </w:rPr>
          <m:t xml:space="preserve">k</m:t>
        </m:r>
      </m:oMath>
      <w:r>
        <w:t xml:space="preserve">’s share of global demand, measured by its share of installed data center capacity </w:t>
      </w:r>
      <m:oMath>
        <m:sSub>
          <m:sSubPr/>
          <m:e>
            <m:r>
              <m:rPr>
                <m:sty m:val="i"/>
              </m:rPr>
              <w:rPr>
                <w:rFonts w:ascii="Cambria Math" w:hAnsi="Cambria Math"/>
              </w:rPr>
              <m:t xml:space="preserve">M</m:t>
            </m:r>
          </m:e>
          <m:sub>
            <m:r>
              <m:rPr>
                <m:sty m:val="i"/>
              </m:rPr>
              <w:rPr>
                <w:rFonts w:ascii="Cambria Math" w:hAnsi="Cambria Math"/>
              </w:rPr>
              <m:t xml:space="preserve">k</m:t>
            </m:r>
          </m:sub>
        </m:sSub>
      </m:oMath>
      <w:r>
        <w:t xml:space="preserve"> in MW.</w:t>
      </w:r>
      <w:r>
        <w:rPr>
          <w:rStyle w:val="FootnoteReference"/>
        </w:rPr>
        <w:footnoteReference w:id="20"/>
      </w:r>
    </w:p>
    <w:p>
      <w:pPr>
        <w:spacing w:before="0" w:after="160" w:line="360" w:lineRule="auto"/>
        <w:ind w:firstLine="0"/>
        <w:jc w:val="both"/>
      </w:pPr>
      <w:r>
        <w:t xml:space="preserve">Demand splits between training and inference.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where </w:t>
      </w:r>
      <m:oMath>
        <m:r>
          <m:rPr>
            <m:sty m:val="i"/>
          </m:rPr>
          <w:rPr>
            <w:rFonts w:ascii="Cambria Math" w:hAnsi="Cambria Math"/>
          </w:rPr>
          <m:t xml:space="preserve">α</m:t>
        </m:r>
        <m:r>
          <m:rPr>
            <m:sty m:val="p"/>
          </m:rPr>
          <w:rPr>
            <w:rFonts w:ascii="Cambria Math" w:hAnsi="Cambria Math"/>
          </w:rPr>
          <m:t xml:space="preserve"> ∈ (0, 1)</m:t>
        </m:r>
      </m:oMath>
      <w:r>
        <w:t xml:space="preserve"> is the exogenous training share. The parameter </w:t>
      </w:r>
      <m:oMath>
        <m:r>
          <m:rPr>
            <m:sty m:val="i"/>
          </m:rPr>
          <w:rPr>
            <w:rFonts w:ascii="Cambria Math" w:hAnsi="Cambria Math"/>
          </w:rPr>
          <m:t xml:space="preserve">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21"/>
      </w:r>
    </w:p>
    <w:p>
      <w:pPr>
        <w:pStyle w:val="Heading2"/>
      </w:pPr>
      <w:r>
        <w:rPr>
          <w:rFonts w:ascii="Times New Roman" w:hAnsi="Times New Roman"/>
          <w:b w:val="0"/>
          <w:i/>
          <w:color w:val="2F5496"/>
          <w:sz w:val="24"/>
        </w:rPr>
        <w:t>3.4 Sourcing and Market Equilibrium</w:t>
      </w:r>
    </w:p>
    <w:p>
      <w:pPr>
        <w:spacing w:before="0" w:after="80" w:line="360" w:lineRule="auto"/>
        <w:ind w:firstLine="0"/>
        <w:jc w:val="both"/>
      </w:pPr>
      <w:r>
        <w:t xml:space="preserve">For each service type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each buyer </w:t>
      </w:r>
      <m:oMath>
        <m:r>
          <m:rPr>
            <m:sty m:val="i"/>
          </m:rPr>
          <w:rPr>
            <w:rFonts w:ascii="Cambria Math" w:hAnsi="Cambria Math"/>
          </w:rPr>
          <m:t xml:space="preserve">k</m:t>
        </m:r>
      </m:oMath>
      <w:r>
        <w:t xml:space="preserve"> chooses the source that minimizes the delivered cost:</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Sup>
                <m:sSubSupPr/>
                <m:e>
                  <m:r>
                    <m:rPr>
                      <m:sty m:val="i"/>
                    </m:rPr>
                    <w:rPr>
                      <w:rFonts w:ascii="Cambria Math" w:hAnsi="Cambria Math"/>
                    </w:rPr>
                    <m:t xml:space="preserve">j</m:t>
                  </m:r>
                </m:e>
                <m:sub>
                  <m:r>
                    <m:rPr>
                      <m:sty m:val="i"/>
                    </m:rPr>
                    <w:rPr>
                      <w:rFonts w:ascii="Cambria Math" w:hAnsi="Cambria Math"/>
                    </w:rPr>
                    <m:t xml:space="preserve">s</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p>
        </w:tc>
        <w:tc>
          <w:tcPr>
            <w:tcW w:w="720" w:type="dxa"/>
            <w:vAlign w:val="center"/>
          </w:tcPr>
          <w:p>
            <w:pPr>
              <w:jc w:val="right"/>
              <w:spacing w:before="60" w:after="60"/>
            </w:pPr>
            <w:bookmarkStart w:id="805" w:name="Eq5"/>
            <w:r>
              <w:t>(5)</w:t>
            </w:r>
            <w:bookmarkEnd w:id="805"/>
          </w:p>
        </w:tc>
      </w:tr>
    </w:tbl>
    <w:p>
      <w:pPr>
        <w:spacing w:before="80" w:after="160" w:line="360" w:lineRule="auto"/>
        <w:ind w:firstLine="0"/>
        <w:jc w:val="both"/>
      </w:pPr>
      <w:r>
        <w:t xml:space="preserve">Each country </w:t>
      </w:r>
      <m:oMath>
        <m:r>
          <m:rPr>
            <m:sty m:val="i"/>
          </m:rPr>
          <w:rPr>
            <w:rFonts w:ascii="Cambria Math" w:hAnsi="Cambria Math"/>
          </w:rPr>
          <m:t xml:space="preserve">j</m:t>
        </m:r>
      </m:oMath>
      <w:r>
        <w:t xml:space="preserve"> is characterized by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pPr>
        <w:spacing w:before="0" w:after="160" w:line="360" w:lineRule="auto"/>
        <w:ind w:firstLine="0"/>
        <w:jc w:val="both"/>
      </w:pPr>
      <w:r>
        <w:rPr>
          <w:rFonts w:ascii="Times New Roman" w:hAnsi="Times New Roman"/>
          <w:b w:val="0"/>
          <w:i/>
          <w:sz w:val="24"/>
        </w:rPr>
        <w:t xml:space="preserve">Training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training is a homogeneous good with no distance-related quality degradation. Country </w:t>
      </w:r>
      <m:oMath>
        <m:r>
          <m:rPr>
            <m:sty m:val="i"/>
          </m:rPr>
          <w:rPr>
            <w:rFonts w:ascii="Cambria Math" w:hAnsi="Cambria Math"/>
          </w:rPr>
          <m:t xml:space="preserve">k</m:t>
        </m:r>
      </m:oMath>
      <w:r>
        <w:t xml:space="preserve"> imports training whenever the world price, after adding the bilateral sovereignty premium, is lower than the price of producing domestically: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the competitive world training price. In the capacity-constrained equilibrium, the cheapest producer supplies up to its capacity, then the next cheapest enters, and so on until demand is met.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the index of the producer whose entry just satisfies total export demand. The equilibrium training price equals the marginal exporter’s cost: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sub>
        </m:sSub>
      </m:oMath>
      <w:r>
        <w:t>.</w:t>
      </w:r>
    </w:p>
    <w:p>
      <w:pPr>
        <w:spacing w:before="0" w:after="160" w:line="360" w:lineRule="auto"/>
        <w:ind w:firstLine="0"/>
        <w:jc w:val="both"/>
      </w:pPr>
      <w:r>
        <w:t xml:space="preserve">Without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&gt; 1</m:t>
        </m:r>
      </m:oMath>
      <w:r>
        <w:t xml:space="preserve">, the price rises to the cost of the marginal entrant, and all infra-marginal exporters earn positive rents: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When a country allocates capacity across multiple uses, the shadow value </w:t>
      </w:r>
      <m:oMath>
        <m:sSub>
          <m:sSubPr/>
          <m:e>
            <m:r>
              <m:rPr>
                <m:sty m:val="i"/>
              </m:rPr>
              <w:rPr>
                <w:rFonts w:ascii="Cambria Math" w:hAnsi="Cambria Math"/>
              </w:rPr>
              <m:t xml:space="preserve">μ</m:t>
            </m:r>
          </m:e>
          <m:sub>
            <m:r>
              <m:rPr>
                <m:sty m:val="i"/>
              </m:rPr>
              <w:rPr>
                <w:rFonts w:ascii="Cambria Math" w:hAnsi="Cambria Math"/>
              </w:rPr>
              <m:t xml:space="preserve">j</m:t>
            </m:r>
          </m:sub>
        </m:sSub>
      </m:oMath>
      <w:r>
        <w:t xml:space="preserve"> of the capacity constraint equals the margin on the marginal activity — the least profitable use that still receives capacity. In the training-only case, </w:t>
      </w:r>
      <m:oMath>
        <m:sSub>
          <m:sSubPr/>
          <m:e>
            <m:r>
              <m:rPr>
                <m:sty m:val="i"/>
              </m:rPr>
              <w:rPr>
                <w:rFonts w:ascii="Cambria Math" w:hAnsi="Cambria Math"/>
              </w:rPr>
              <m:t xml:space="preserve">μ</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π</m:t>
            </m:r>
          </m:e>
          <m:sub>
            <m:r>
              <m:rPr>
                <m:sty m:val="i"/>
              </m:rPr>
              <w:rPr>
                <w:rFonts w:ascii="Cambria Math" w:hAnsi="Cambria Math"/>
              </w:rPr>
              <m:t xml:space="preserve">j</m:t>
            </m:r>
          </m:sub>
        </m:sSub>
      </m:oMath>
      <w:r>
        <w:t xml:space="preserve">; in the multi-market case, </w:t>
      </w:r>
      <m:oMath>
        <m:sSub>
          <m:sSubPr/>
          <m:e>
            <m:r>
              <m:rPr>
                <m:sty m:val="i"/>
              </m:rPr>
              <w:rPr>
                <w:rFonts w:ascii="Cambria Math" w:hAnsi="Cambria Math"/>
              </w:rPr>
              <m:t xml:space="preserve">μ</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π</m:t>
            </m:r>
          </m:e>
          <m:sub>
            <m:r>
              <m:rPr>
                <m:sty m:val="i"/>
              </m:rPr>
              <w:rPr>
                <w:rFonts w:ascii="Cambria Math" w:hAnsi="Cambria Math"/>
              </w:rPr>
              <m:t xml:space="preserve">j</m:t>
            </m:r>
          </m:sub>
        </m:sSub>
      </m:oMath>
      <w:r>
        <w:t xml:space="preserve"> because training, as the higher-margin activity, is served first.</w:t>
      </w:r>
    </w:p>
    <w:p>
      <w:pPr>
        <w:spacing w:before="0" w:after="80" w:line="360" w:lineRule="auto"/>
        <w:ind w:firstLine="0"/>
        <w:jc w:val="both"/>
      </w:pPr>
      <w:r>
        <w:rPr>
          <w:rFonts w:ascii="Times New Roman" w:hAnsi="Times New Roman"/>
          <w:b w:val="0"/>
          <w:i/>
          <w:sz w:val="24"/>
        </w:rPr>
        <w:t xml:space="preserve">Inference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inference suffers distance-dependent quality degradation. The inference market for buyer </w:t>
      </w:r>
      <m:oMath>
        <m:r>
          <m:rPr>
            <m:sty m:val="i"/>
          </m:rPr>
          <w:rPr>
            <w:rFonts w:ascii="Cambria Math" w:hAnsi="Cambria Math"/>
          </w:rPr>
          <m:t xml:space="preserve">k</m:t>
        </m:r>
      </m:oMath>
      <w:r>
        <w:t xml:space="preserve"> is localized, as only countries with latency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can participate, and each faces a different delivered cost. The delivered inference price for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m:t>
                  </m:r>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c</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sub>
              </m:sSub>
              <m:r>
                <m:rPr>
                  <m:sty m:val="p"/>
                </m:rPr>
                <w:rPr>
                  <w:rFonts w:ascii="Cambria Math" w:hAnsi="Cambria Math"/>
                </w:rPr>
                <m:t xml:space="preserve">,</m:t>
              </m:r>
            </m:oMath>
          </w:p>
        </w:tc>
        <w:tc>
          <w:tcPr>
            <w:tcW w:w="720" w:type="dxa"/>
            <w:vAlign w:val="center"/>
          </w:tcPr>
          <w:p>
            <w:pPr>
              <w:jc w:val="right"/>
              <w:spacing w:before="60" w:after="60"/>
            </w:pPr>
            <w:bookmarkStart w:id="806" w:name="Eq6"/>
            <w:r>
              <w:t>(6)</w:t>
            </w:r>
            <w:bookmarkEnd w:id="806"/>
          </w:p>
        </w:tc>
      </w:tr>
    </w:tbl>
    <w:p>
      <w:pPr>
        <w:spacing w:before="80" w:after="160" w:line="360" w:lineRule="auto"/>
        <w:ind w:firstLine="0"/>
        <w:jc w:val="both"/>
      </w:pPr>
      <w:r>
        <w:t xml:space="preserve">where </w:t>
      </w:r>
      <m:oMath>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is the marginal inference supplier to </w:t>
      </w:r>
      <m:oMath>
        <m:r>
          <m:rPr>
            <m:sty m:val="i"/>
          </m:rPr>
          <w:rPr>
            <w:rFonts w:ascii="Cambria Math" w:hAnsi="Cambria Math"/>
          </w:rPr>
          <m:t xml:space="preserve">k</m:t>
        </m:r>
      </m:oMath>
      <w:r>
        <w:t xml:space="preserve">, determined by the capacity-constrained supply stack for </w:t>
      </w:r>
      <m:oMath>
        <m:r>
          <m:rPr>
            <m:sty m:val="i"/>
          </m:rPr>
          <w:rPr>
            <w:rFonts w:ascii="Cambria Math" w:hAnsi="Cambria Math"/>
          </w:rPr>
          <m:t xml:space="preserve">k</m:t>
        </m:r>
      </m:oMath>
      <w:r>
        <w:t>’s inference market. Each GPU-hour of capacity is allocated to its highest-margin use, whether training exports, inference exports to various destinations, or domestic supply.</w:t>
      </w:r>
    </w:p>
    <w:p>
      <w:pPr>
        <w:spacing w:before="0" w:after="160" w:line="360" w:lineRule="auto"/>
        <w:ind w:firstLine="0"/>
        <w:jc w:val="both"/>
      </w:pPr>
      <w:r>
        <w:t xml:space="preserve">The cost-based equilibrium identifies the set of countries that could profitably produce and export compute. Which countries in this set attract investment also depend on agglomeration economies, hyperscaler market structure, and network connectivity (</w:t>
      </w:r>
      <w:bookmarkStart w:id="209" w:name="Krugman1991txt"/>
      <w:hyperlink w:anchor="Krugman1991" w:history="1">
        <w:r>
          <w:rPr>
            <w:color w:val="1F3864"/>
            <w:u w:val="single"/>
          </w:rPr>
          <w:t xml:space="preserve">Krugman 1991</w:t>
        </w:r>
      </w:hyperlink>
      <w:bookmarkEnd w:id="209"/>
      <w:r>
        <w:t xml:space="preserve">). The cloud compute market is dominated by three firms (AWS, Azure, Google Cloud) whose location decisions reflect scale economies and self-reinforcing colocation dynamics that the competitive framework abstracts from. The capacity ceilings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partially capture the resulting gap between cost-based potential and realized investment; Section 7 discusses these limitations further.</w:t>
      </w:r>
    </w:p>
    <w:p>
      <w:pPr>
        <w:pStyle w:val="Heading1"/>
      </w:pPr>
      <w:r>
        <w:rPr>
          <w:rFonts w:ascii="Times New Roman" w:hAnsi="Times New Roman"/>
          <w:b/>
          <w:color w:val="2F5496"/>
          <w:sz w:val="28"/>
        </w:rPr>
        <w:t>4. Equilibrium Properties</w:t>
      </w:r>
    </w:p>
    <w:p>
      <w:pPr>
        <w:spacing w:before="0" w:after="160" w:line="360" w:lineRule="auto"/>
        <w:ind w:firstLine="0"/>
        <w:jc w:val="both"/>
      </w:pPr>
      <w:r>
        <w:t>This section derives the formal properties of the capacity-constrained equilibrium defined in Section 3. Full derivations are shown in Appendix B.</w:t>
      </w:r>
    </w:p>
    <w:p>
      <w:pPr>
        <w:spacing w:before="0" w:after="160" w:line="360" w:lineRule="auto"/>
        <w:ind w:firstLine="0"/>
        <w:jc w:val="both"/>
      </w:pPr>
      <w:r>
        <w:rPr>
          <w:b/>
          <w:i/>
        </w:rPr>
        <w:t xml:space="preserve">Proposition 1 (Country Taxonomy). </w:t>
      </w:r>
      <w:r>
        <w:t xml:space="preserve">With two service types (training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inference with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&gt; 0</m:t>
        </m:r>
      </m:oMath>
      <w:r>
        <w:t>) and three possible statuses (export, domestic production, and import), there are nine potential regime combinations. In equilibrium, only five are realized. Each regime is coded by two letters: the first for training status, the second for inference (E = export, D = domestic production, I = import).</w:t>
      </w:r>
    </w:p>
    <w:p>
      <w:pPr>
        <w:spacing w:before="0" w:after="160" w:line="360" w:lineRule="auto"/>
        <w:ind w:firstLine="0"/>
        <w:jc w:val="both"/>
      </w:pPr>
      <w:r>
        <w:t xml:space="preserve">(i) </w:t>
      </w:r>
      <w:r>
        <w:rPr>
          <w:b/>
        </w:rPr>
        <w:t>EE</w:t>
      </w:r>
      <w:r>
        <w:t xml:space="preserve">. Training exporter + inference exporter. The cheapest producers,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supply training globally and inference to nearby demand centers.</w:t>
      </w:r>
    </w:p>
    <w:p>
      <w:pPr>
        <w:spacing w:before="0" w:after="160" w:line="360" w:lineRule="auto"/>
        <w:ind w:firstLine="0"/>
        <w:jc w:val="both"/>
      </w:pPr>
      <w:r>
        <w:t xml:space="preserve">(ii) </w:t>
      </w:r>
      <w:r>
        <w:rPr>
          <w:b/>
        </w:rPr>
        <w:t>IE</w:t>
      </w:r>
      <w:r>
        <w:t xml:space="preserve">. Training importer + inference exporter. Countries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&gt;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that are not cheap enough to compete in the global training market but serve as regional inference hubs due to low costs and proximity to demand centers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below the latency threshold </w:t>
      </w:r>
      <m:oMath>
        <m:bar>
          <m:barPr>
            <m:pos m:val="top"/>
          </m:barPr>
          <m:e>
            <m:r>
              <m:rPr>
                <m:sty m:val="i"/>
              </m:rPr>
              <w:rPr>
                <w:rFonts w:ascii="Cambria Math" w:hAnsi="Cambria Math"/>
              </w:rPr>
              <m:t xml:space="preserve">l</m:t>
            </m:r>
          </m:e>
        </m:bar>
      </m:oMath>
      <w:r>
        <w:t>).</w:t>
      </w:r>
    </w:p>
    <w:p>
      <w:pPr>
        <w:spacing w:before="0" w:after="160" w:line="360" w:lineRule="auto"/>
        <w:ind w:firstLine="0"/>
        <w:jc w:val="both"/>
      </w:pPr>
      <w:r>
        <w:t xml:space="preserve">(iii) </w:t>
      </w:r>
      <w:r>
        <w:rPr>
          <w:b/>
        </w:rPr>
        <w:t>ID</w:t>
      </w:r>
      <w:r>
        <w:t xml:space="preserve">. Training importer + inference domestic producer. Countries that import training but produce inference domestically, because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or geographic isolation makes all foreign inference sources more expensive than domestic production.</w:t>
      </w:r>
    </w:p>
    <w:p>
      <w:pPr>
        <w:spacing w:before="0" w:after="160" w:line="360" w:lineRule="auto"/>
        <w:ind w:firstLine="0"/>
        <w:jc w:val="both"/>
      </w:pPr>
      <w:r>
        <w:t xml:space="preserve">(iv) </w:t>
      </w:r>
      <w:r>
        <w:rPr>
          <w:b/>
        </w:rPr>
        <w:t>DD</w:t>
      </w:r>
      <w:r>
        <w:t xml:space="preserve">. Domestic producer of both. Countries where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so the bilateral sovereignty premium is large enough to justify domestic production of both training and inference.</w:t>
      </w:r>
    </w:p>
    <w:p>
      <w:pPr>
        <w:spacing w:before="0" w:after="160" w:line="360" w:lineRule="auto"/>
        <w:ind w:firstLine="0"/>
        <w:jc w:val="both"/>
      </w:pPr>
      <w:r>
        <w:t xml:space="preserve">(v) </w:t>
      </w:r>
      <w:r>
        <w:rPr>
          <w:b/>
        </w:rPr>
        <w:t>II</w:t>
      </w:r>
      <w:r>
        <w:t xml:space="preserve">. Importer of both. High-cost countries with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that import both training and inference from cheaper or closer suppliers.</w:t>
      </w:r>
    </w:p>
    <w:p>
      <w:pPr>
        <w:spacing w:before="0" w:after="160" w:line="360" w:lineRule="auto"/>
        <w:ind w:firstLine="0"/>
        <w:jc w:val="both"/>
      </w:pPr>
      <w:r>
        <w:t>The remaining four combinations cannot arise in equilibrium. A training exporter cannot simultaneously produce inference domestically or import it: a country cheap enough to win a global training competition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necessarily cheap enough to export inference to nearby buyers (Proposition 4). A country that produces training domestically cannot import inference, because the sovereignty premium that justifies domestic training production also justifies domestic inference production, which faces latency degradation when imported. A domestic training producer that exports inference would require simultaneously high sovereignty preference and low costs, a combination ruled out by the model’s cost ordering. </w:t>
      </w:r>
      <w:bookmarkStart w:id="130" w:name="Table1txt"/>
      <w:hyperlink w:anchor="Table1" w:history="1">
        <w:r>
          <w:rPr>
            <w:color w:val="1F3864"/>
            <w:u w:val="single"/>
          </w:rPr>
          <w:t xml:space="preserve">Table 1</w:t>
        </w:r>
      </w:hyperlink>
      <w:bookmarkEnd w:id="130"/>
      <w:r>
        <w:t xml:space="preserve"> summarizes this taxonomy.</w:t>
      </w:r>
    </w:p>
    <w:p>
      <w:pPr>
        <w:spacing w:before="0" w:after="160" w:line="360" w:lineRule="auto"/>
        <w:ind w:firstLine="0"/>
        <w:jc w:val="both"/>
      </w:pPr>
      <w:r>
        <w:rPr>
          <w:b/>
          <w:i/>
        </w:rPr>
        <w:t xml:space="preserve">Proposition 2 (Capacity Constraints Reduce Concentration). </w:t>
      </w:r>
      <w:r>
        <w:t>Define the Herfindahl–Hirschman Index (HHI), a standard measure of market concentration that is equal to the sum of squared market shares, for training market concentration as:</w:t>
      </w:r>
    </w:p>
    <w:p>
      <w:pPr>
        <w:spacing w:before="0" w:after="160" w:line="360" w:lineRule="auto"/>
        <w:ind w:firstLine="0"/>
        <w:jc w:val="both"/>
      </w:pPr>
      <m:oMathPara>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m:t>
          </m:r>
          <m:nary>
            <m:naryPr>
              <m:chr m:val="∑"/>
              <m:supHide m:val="1"/>
            </m:naryPr>
            <m:sub>
              <m:r>
                <m:rPr>
                  <m:sty m:val="i"/>
                </m:rPr>
                <w:rPr>
                  <w:rFonts w:ascii="Cambria Math" w:hAnsi="Cambria Math"/>
                </w:rPr>
                <m:t xml:space="preserve">j</m:t>
              </m:r>
            </m:sub>
            <m:sup/>
            <m:e>
              <m:sSup>
                <m:sSupPr/>
                <m:e>
                  <m:d>
                    <m:dPr/>
                    <m:e>
                      <m:f>
                        <m:fPr/>
                        <m:num>
                          <m:sSub>
                            <m:sSubPr/>
                            <m:e>
                              <m:r>
                                <m:rPr>
                                  <m:sty m:val="i"/>
                                </m:rPr>
                                <w:rPr>
                                  <w:rFonts w:ascii="Cambria Math" w:hAnsi="Cambria Math"/>
                                </w:rPr>
                                <m:t xml:space="preserve">K</m:t>
                              </m:r>
                            </m:e>
                            <m:sub>
                              <m:r>
                                <m:rPr>
                                  <m:sty m:val="i"/>
                                </m:rPr>
                                <w:rPr>
                                  <w:rFonts w:ascii="Cambria Math" w:hAnsi="Cambria Math"/>
                                </w:rPr>
                                <m:t xml:space="preserve">T,j</m:t>
                              </m:r>
                            </m:sub>
                          </m:sSub>
                        </m:num>
                        <m:den>
                          <m:sSub>
                            <m:sSubPr/>
                            <m:e>
                              <m:r>
                                <m:rPr>
                                  <m:sty m:val="i"/>
                                </m:rPr>
                                <w:rPr>
                                  <w:rFonts w:ascii="Cambria Math" w:hAnsi="Cambria Math"/>
                                </w:rPr>
                                <m:t xml:space="preserve">Q</m:t>
                              </m:r>
                            </m:e>
                            <m:sub>
                              <m:r>
                                <m:rPr>
                                  <m:sty m:val="i"/>
                                </m:rPr>
                                <w:rPr>
                                  <w:rFonts w:ascii="Cambria Math" w:hAnsi="Cambria Math"/>
                                </w:rPr>
                                <m:t xml:space="preserve">T,X</m:t>
                              </m:r>
                            </m:sub>
                          </m:sSub>
                        </m:den>
                      </m:f>
                    </m:e>
                  </m:d>
                </m:e>
                <m:sup>
                  <m:r>
                    <m:rPr>
                      <m:sty m:val="p"/>
                    </m:rPr>
                    <w:rPr>
                      <w:rFonts w:ascii="Cambria Math" w:hAnsi="Cambria Math"/>
                    </w:rPr>
                    <m:t xml:space="preserve">2</m:t>
                  </m:r>
                </m:sup>
              </m:sSup>
            </m:e>
          </m:nary>
          <m:r>
            <m:rPr>
              <m:sty m:val="p"/>
            </m:rPr>
            <w:rPr>
              <w:rFonts w:ascii="Cambria Math" w:hAnsi="Cambria Math"/>
            </w:rPr>
            <m:t xml:space="preserve">, </m:t>
          </m:r>
        </m:oMath>
      </m:oMathPara>
      <w:r>
        <w:t xml:space="preserve">where </w:t>
      </w:r>
      <m:oMath>
        <m:sSub>
          <m:sSubPr/>
          <m:e>
            <m:r>
              <m:rPr>
                <m:sty m:val="i"/>
              </m:rPr>
              <w:rPr>
                <w:rFonts w:ascii="Cambria Math" w:hAnsi="Cambria Math"/>
              </w:rPr>
              <m:t xml:space="preserve">Q</m:t>
            </m:r>
          </m:e>
          <m:sub>
            <m:r>
              <m:rPr>
                <m:sty m:val="i"/>
              </m:rPr>
              <w:rPr>
                <w:rFonts w:ascii="Cambria Math" w:hAnsi="Cambria Math"/>
              </w:rPr>
              <m:t xml:space="preserve">T,X</m:t>
            </m:r>
          </m:sub>
        </m:sSub>
        <m:r>
          <m:rPr>
            <m:sty m:val="p"/>
          </m:rPr>
          <w:rPr>
            <w:rFonts w:ascii="Cambria Math" w:hAnsi="Cambria Math"/>
          </w:rPr>
          <m:t xml:space="preserve">=</m:t>
        </m:r>
        <m:nary>
          <m:naryPr>
            <m:chr m:val="∑"/>
            <m:supHide m:val="1"/>
          </m:naryPr>
          <m:sub>
            <m:r>
              <m:rPr>
                <m:sty m:val="i"/>
              </m:rPr>
              <w:rPr>
                <w:rFonts w:ascii="Cambria Math" w:hAnsi="Cambria Math"/>
              </w:rPr>
              <m:t xml:space="preserve">k</m:t>
            </m:r>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denote total training export demand, the sum of training demand across all importing countries, and </w:t>
      </w:r>
      <m:oMath>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is country j’s training export allocation (GPU-hours), bounded by the capacity ceiling </w:t>
      </w:r>
      <m:oMath>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Without capacity constraints, the cheapest producer captures all training demand and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1</m:t>
        </m:r>
      </m:oMath>
      <w:r>
        <w:t xml:space="preserve">. With binding capacity constraints on the cheapest producers,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&lt; 1</m:t>
        </m:r>
      </m:oMath>
      <w:r>
        <w:t xml:space="preserve">, and </w:t>
      </w:r>
      <m:oMath>
        <m:sSub>
          <m:sSubPr/>
          <m:e>
            <m:r>
              <m:rPr>
                <m:sty m:val="i"/>
              </m:rPr>
              <w:rPr>
                <w:rFonts w:ascii="Cambria Math" w:hAnsi="Cambria Math"/>
              </w:rPr>
              <m:t xml:space="preserve">HHI</m:t>
            </m:r>
          </m:e>
          <m:sub>
            <m:r>
              <m:rPr>
                <m:sty m:val="i"/>
              </m:rPr>
              <w:rPr>
                <w:rFonts w:ascii="Cambria Math" w:hAnsi="Cambria Math"/>
              </w:rPr>
              <m:t xml:space="preserve">T</m:t>
            </m:r>
          </m:sub>
        </m:sSub>
      </m:oMath>
      <w:r>
        <w:t xml:space="preserve"> is strictly decreasing in the number of capacity-constrained infra-marginal exporters. Intuitively, when cheap producers reach capacity limits, residual demand spills over to more expensive suppliers, spreading market shares more evenly.</w:t>
      </w:r>
    </w:p>
    <w:p>
      <w:pPr>
        <w:spacing w:before="0" w:after="160" w:line="360" w:lineRule="auto"/>
        <w:ind w:firstLine="0"/>
        <w:jc w:val="both"/>
      </w:pPr>
      <w:r>
        <w:rPr>
          <w:b/>
          <w:i/>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m:rPr>
            <m:sty m:val="i"/>
          </m:rPr>
          <w:rPr>
            <w:rFonts w:ascii="Cambria Math" w:hAnsi="Cambria Math"/>
          </w:rPr>
          <m:t xml:space="preserve">k</m:t>
        </m:r>
      </m:oMath>
      <w:r>
        <w:t xml:space="preserve"> produces training domestically if and only if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m:t>
        </m:r>
      </m:oMath>
      <w:r>
        <w:t xml:space="preserve"> for every potential supplier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equivalently, </w:t>
      </w:r>
      <m:oMath>
        <m:r>
          <m:rPr>
            <m:sty m:val="i"/>
          </m:rPr>
          <w:rPr>
            <w:rFonts w:ascii="Cambria Math" w:hAnsi="Cambria Math"/>
          </w:rPr>
          <m:t xml:space="preserve">k</m:t>
        </m:r>
      </m:oMath>
      <w:r>
        <w:t xml:space="preserve"> imports whenever there exists a supplier </w:t>
      </w:r>
      <m:oMath>
        <m:r>
          <m:rPr>
            <m:sty m:val="i"/>
          </m:rPr>
          <w:rPr>
            <w:rFonts w:ascii="Cambria Math" w:hAnsi="Cambria Math"/>
          </w:rPr>
          <m:t xml:space="preserve">j</m:t>
        </m:r>
      </m:oMath>
      <w:r>
        <w:t xml:space="preserve"> for which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&lt;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The threshold is increasing in </w:t>
      </w:r>
      <m:oMath>
        <m:sSub>
          <m:sSubPr/>
          <m:e>
            <m:r>
              <m:rPr>
                <m:sty m:val="i"/>
              </m:rPr>
              <w:rPr>
                <w:rFonts w:ascii="Cambria Math" w:hAnsi="Cambria Math"/>
              </w:rPr>
              <m:t xml:space="preserve">c</m:t>
            </m:r>
          </m:e>
          <m:sub>
            <m:r>
              <m:rPr>
                <m:sty m:val="i"/>
              </m:rPr>
              <w:rPr>
                <w:rFonts w:ascii="Cambria Math" w:hAnsi="Cambria Math"/>
              </w:rPr>
              <m:t xml:space="preserve">k</m:t>
            </m:r>
          </m:sub>
        </m:sSub>
      </m:oMath>
      <w:r>
        <w:t xml:space="preserve"> and decreasing in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Under capacity constraints,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&gt; </m:t>
        </m:r>
        <m:sSub>
          <m:sSubPr/>
          <m:e>
            <m:r>
              <m:rPr>
                <m:sty m:val="i"/>
              </m:rPr>
              <w:rPr>
                <w:rFonts w:ascii="Cambria Math" w:hAnsi="Cambria Math"/>
              </w:rPr>
              <m:t xml:space="preserve">c</m:t>
            </m:r>
          </m:e>
          <m:sub>
            <m:r>
              <m:rPr>
                <m:sty m:val="i"/>
              </m:rPr>
              <w:rPr>
                <w:rFonts w:ascii="Cambria Math" w:hAnsi="Cambria Math"/>
              </w:rPr>
              <m:t xml:space="preserve">(1)</m:t>
            </m:r>
          </m:sub>
        </m:sSub>
      </m:oMath>
      <w:r>
        <w:t>, so the threshold is lower than in the unconstrained model. Capacity constraints reduce the sovereignty premium required for domestic production because higher world prices make imports more expensive.</w:t>
      </w:r>
      <w:r>
        <w:rPr>
          <w:rStyle w:val="FootnoteReference"/>
        </w:rPr>
        <w:footnoteReference w:id="22"/>
      </w:r>
    </w:p>
    <w:p>
      <w:pPr>
        <w:spacing w:before="0" w:after="160" w:line="360" w:lineRule="auto"/>
        <w:ind w:firstLine="0"/>
        <w:jc w:val="both"/>
      </w:pPr>
      <w:r>
        <w:rPr>
          <w:rFonts w:ascii="Times New Roman" w:hAnsi="Times New Roman"/>
          <w:b w:val="0"/>
          <w:i/>
          <w:sz w:val="24"/>
        </w:rPr>
        <w:t xml:space="preserve">Corollary. </w:t>
      </w:r>
      <w:r>
        <w:t>Capacity constraints reduce the welfare cost of sovereignty because the higher equilibrium price narrows the gap between domestic and import costs.</w:t>
      </w:r>
    </w:p>
    <w:p>
      <w:pPr>
        <w:spacing w:before="0" w:after="160" w:line="360" w:lineRule="auto"/>
        <w:ind w:firstLine="0"/>
        <w:jc w:val="both"/>
      </w:pPr>
      <w:r>
        <w:rPr>
          <w:b/>
          <w:i/>
        </w:rPr>
        <w:t xml:space="preserve">Proposition 4 (Training Exporters Nest Within Inference Exporters). </w:t>
      </w:r>
      <w:r>
        <w:t>If a country is cheap enough to export training (which can be done from anywhere), it is also cheap enough to export inference to nearby demand centers.</w:t>
      </w:r>
      <w:r>
        <w:rPr>
          <w:rStyle w:val="FootnoteReference"/>
        </w:rPr>
        <w:footnoteReference w:id="23"/>
      </w:r>
      <w:r>
        <w:t xml:space="preserve"> The set of training exporters is therefore a subset of the inference exporters for demand centers within the latency threshold </w:t>
      </w:r>
      <m:oMath>
        <m:bar>
          <m:barPr>
            <m:pos m:val="top"/>
          </m:barPr>
          <m:e>
            <m:r>
              <m:rPr>
                <m:sty m:val="i"/>
              </m:rPr>
              <w:rPr>
                <w:rFonts w:ascii="Cambria Math" w:hAnsi="Cambria Math"/>
              </w:rPr>
              <m:t xml:space="preserve">l</m:t>
            </m:r>
          </m:e>
        </m:bar>
      </m:oMath>
      <w:r>
        <w:t xml:space="preserve">. A training exporter has the globally lowest </w:t>
      </w:r>
      <m:oMath>
        <m:sSub>
          <m:sSubPr/>
          <m:e>
            <m:r>
              <m:rPr>
                <m:sty m:val="i"/>
              </m:rPr>
              <w:rPr>
                <w:rFonts w:ascii="Cambria Math" w:hAnsi="Cambria Math"/>
              </w:rPr>
              <m:t xml:space="preserve">c</m:t>
            </m:r>
          </m:e>
          <m:sub>
            <m:r>
              <m:rPr>
                <m:sty m:val="i"/>
              </m:rPr>
              <w:rPr>
                <w:rFonts w:ascii="Cambria Math" w:hAnsi="Cambria Math"/>
              </w:rPr>
              <m:t xml:space="preserve">j</m:t>
            </m:r>
          </m:sub>
        </m:sSub>
      </m:oMath>
      <w:r>
        <w:t>. For inference to proximate demand centers, this cost advantage dominates the latency markup, so the same country wins the inference competition. Since training has no distance penalty while inference does, every country that exports training is also competitive in inference within its geographic neighborhood, but not vice versa.</w:t>
      </w:r>
    </w:p>
    <w:p>
      <w:pPr>
        <w:pStyle w:val="Heading1"/>
      </w:pPr>
      <w:r>
        <w:rPr>
          <w:rFonts w:ascii="Times New Roman" w:hAnsi="Times New Roman"/>
          <w:b/>
          <w:color w:val="2F5496"/>
          <w:sz w:val="28"/>
        </w:rPr>
        <w:t>5. Data</w:t>
      </w:r>
    </w:p>
    <w:p>
      <w:pPr>
        <w:spacing w:before="0" w:after="160" w:line="360" w:lineRule="auto"/>
        <w:ind w:firstLine="0"/>
        <w:jc w:val="both"/>
      </w:pPr>
      <w:r>
        <w:t xml:space="preserve">The propositions above generate testable predictions that depend on country-specific costs and bilateral frictions. Calibrating the production-cost and trade-cost parameters in equations (1)–(4) requires data on electricity prices, temperatures, construction costs, bilateral latencies, and bilateral sovereignty frictions (geopolitical alignment, regulatory compatibility, and sanctions). </w:t>
      </w:r>
    </w:p>
    <w:p>
      <w:pPr>
        <w:spacing w:before="0" w:after="160" w:line="360" w:lineRule="auto"/>
        <w:ind w:firstLine="0"/>
        <w:jc w:val="both"/>
      </w:pPr>
      <w:r>
        <w:rPr>
          <w:rFonts w:ascii="Times New Roman" w:hAnsi="Times New Roman"/>
          <w:b w:val="0"/>
          <w:i/>
          <w:sz w:val="24"/>
        </w:rPr>
        <w:t xml:space="preserve">Electricity prices. </w:t>
      </w:r>
      <w:r>
        <w:t xml:space="preserve">For European countries, we use prices from Eurostat (industrial band, 20,000–69,999) (</w:t>
      </w:r>
      <w:bookmarkStart w:id="210" w:name="Eurostat2025txt"/>
      <w:hyperlink w:anchor="Eurostat2025" w:history="1">
        <w:r>
          <w:rPr>
            <w:color w:val="1F3864"/>
            <w:u w:val="single"/>
          </w:rPr>
          <w:t xml:space="preserve">Eurostat 2025</w:t>
        </w:r>
      </w:hyperlink>
      <w:bookmarkEnd w:id="210"/>
      <w:r>
        <w:t xml:space="preserve">). For non-European countries, the prices are obtained from national regulator tariff sheets and secondary sources, including the U.S. Energy Information Administration (</w:t>
      </w:r>
      <w:bookmarkStart w:id="247" w:name="EIA2025txt"/>
      <w:hyperlink w:anchor="EIA2025" w:history="1">
        <w:r>
          <w:rPr>
            <w:color w:val="1F3864"/>
            <w:u w:val="single"/>
          </w:rPr>
          <w:t xml:space="preserve">EIA 2025</w:t>
        </w:r>
      </w:hyperlink>
      <w:bookmarkEnd w:id="247"/>
      <w:r>
        <w:t xml:space="preserve">) for the United States, KEPCO for South Korea,</w:t>
      </w:r>
      <w:r>
        <w:rPr>
          <w:rStyle w:val="FootnoteReference"/>
        </w:rPr>
        <w:footnoteReference w:id="24"/>
      </w:r>
      <w:r>
        <w:t xml:space="preserve"> national utility tariffs for Central Asian countries, and </w:t>
      </w:r>
      <w:bookmarkStart w:id="211" w:name="GlobalPetrolPrices2025txt"/>
      <w:hyperlink w:anchor="GlobalPetrolPrices2025" w:history="1">
        <w:r>
          <w:rPr>
            <w:color w:val="1F3864"/>
            <w:u w:val="single"/>
          </w:rPr>
          <w:t xml:space="preserve">GlobalPetrolPrices (2025)</w:t>
        </w:r>
      </w:hyperlink>
      <w:bookmarkEnd w:id="211"/>
      <w:r>
        <w:t xml:space="preserve"> for the remaining countries. All prices are converted to $/kWh at 2024 exchange rates.</w:t>
      </w:r>
    </w:p>
    <w:p>
      <w:pPr>
        <w:spacing w:before="0" w:after="160" w:line="360" w:lineRule="auto"/>
        <w:ind w:firstLine="0"/>
        <w:jc w:val="both"/>
      </w:pPr>
      <w:r>
        <w:rPr>
          <w:rFonts w:ascii="Times New Roman" w:hAnsi="Times New Roman"/>
          <w:b w:val="0"/>
          <w:i/>
          <w:sz w:val="24"/>
        </w:rPr>
        <w:t xml:space="preserve">Temperature and construction. </w:t>
      </w:r>
      <w:r>
        <w:t xml:space="preserve">Peak summer temperature is derived from ERA5 data (</w:t>
      </w:r>
      <w:bookmarkStart w:id="212" w:name="Hersbach2020txt"/>
      <w:hyperlink w:anchor="Hersbach2020" w:history="1">
        <w:r>
          <w:rPr>
            <w:color w:val="1F3864"/>
            <w:u w:val="single"/>
          </w:rPr>
          <w:t xml:space="preserve">Hersbach et al. 2020</w:t>
        </w:r>
      </w:hyperlink>
      <w:bookmarkEnd w:id="212"/>
      <w:r>
        <w:t xml:space="preserve">) as the average monthly maximum in the three warmest months, aggregated across populated grid cells. </w:t>
      </w:r>
      <w:r>
        <w:t xml:space="preserve">Construction costs per watt of IT capacity are from the Turner &amp; Townsend Data Centre Construction Cost Index 2025 (</w:t>
      </w:r>
      <w:bookmarkStart w:id="213" w:name="TurnerTownsend2025txt"/>
      <w:hyperlink w:anchor="TurnerTownsend2025" w:history="1">
        <w:r>
          <w:rPr>
            <w:color w:val="1F3864"/>
            <w:u w:val="single"/>
          </w:rPr>
          <w:t xml:space="preserve">Turner &amp; Townsend 2025</w:t>
        </w:r>
      </w:hyperlink>
      <w:bookmarkEnd w:id="213"/>
      <w:r>
        <w:t xml:space="preserve">), for 37 countries. For the remaining countries, costs are predicted (Appendix E). Since construction is only 3–6% of total per-GPU-hour costs, imputation error has a limited impact on cost rankings.</w:t>
      </w:r>
    </w:p>
    <w:p>
      <w:pPr>
        <w:spacing w:before="0" w:after="160" w:line="360" w:lineRule="auto"/>
        <w:ind w:firstLine="0"/>
        <w:jc w:val="both"/>
      </w:pPr>
      <w:r>
        <w:rPr>
          <w:rFonts w:ascii="Times New Roman" w:hAnsi="Times New Roman"/>
          <w:b w:val="0"/>
          <w:i/>
          <w:sz w:val="24"/>
        </w:rPr>
        <w:t xml:space="preserve">Latency. </w:t>
      </w:r>
      <w:r>
        <w:t xml:space="preserve">Inter-country round-trip latency is measured using WonderNetwork’s global ping dataset (</w:t>
      </w:r>
      <w:bookmarkStart w:id="214" w:name="WonderNetwork2024txt"/>
      <w:hyperlink w:anchor="WonderNetwork2024" w:history="1">
        <w:r>
          <w:rPr>
            <w:color w:val="1F3864"/>
            <w:u w:val="single"/>
          </w:rPr>
          <w:t xml:space="preserve">WonderNetwork 2024</w:t>
        </w:r>
      </w:hyperlink>
      <w:bookmarkEnd w:id="214"/>
      <w:r>
        <w:t xml:space="preserve">). For each country pair, the median round-trip time (RTT) in milliseconds is used. Domestic latency defaults to 5 ms where no intra-country measurement is available.</w:t>
      </w:r>
    </w:p>
    <w:p>
      <w:pPr>
        <w:spacing w:before="0" w:after="160" w:line="360" w:lineRule="auto"/>
        <w:ind w:firstLine="0"/>
        <w:jc w:val="both"/>
      </w:pPr>
      <w:r>
        <w:rPr>
          <w:rFonts w:ascii="Times New Roman" w:hAnsi="Times New Roman"/>
          <w:b w:val="0"/>
          <w:i/>
          <w:sz w:val="24"/>
        </w:rPr>
        <w:t xml:space="preserve">Demand. </w:t>
      </w:r>
      <w:r>
        <w:t xml:space="preserve">Compute demand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is proxied by installed data center capacity in MW, as specified in </w:t>
      </w:r>
      <w:bookmarkStart w:id="902" w:name="Eq4txt902"/>
      <w:hyperlink w:anchor="Eq4" w:history="1">
        <w:r>
          <w:rPr>
            <w:color w:val="1F3864"/>
            <w:u w:val="single"/>
          </w:rPr>
          <w:t xml:space="preserve">equation (4)</w:t>
        </w:r>
      </w:hyperlink>
      <w:bookmarkEnd w:id="902"/>
      <w:r>
        <w:t xml:space="preserve">. For the top 15 markets, capacity estimates are based on industry reports (Synergy Research, Cushman &amp; Wakefield, CBRE, Mordor Intelligence).</w:t>
      </w:r>
      <w:r>
        <w:rPr>
          <w:rStyle w:val="FootnoteReference"/>
        </w:rPr>
        <w:footnoteReference w:id="25"/>
      </w:r>
      <w:r>
        <w:t xml:space="preserve"> For smaller markets, capacity is estimated from facility counts (</w:t>
      </w:r>
      <w:bookmarkStart w:id="215" w:name="Cloudscene2025txt"/>
      <w:hyperlink w:anchor="Cloudscene2025" w:history="1">
        <w:r>
          <w:rPr>
            <w:color w:val="1F3864"/>
            <w:u w:val="single"/>
          </w:rPr>
          <w:t xml:space="preserve">Cloudscene 2025</w:t>
        </w:r>
      </w:hyperlink>
      <w:bookmarkEnd w:id="215"/>
      <w:r>
        <w:t xml:space="preserve">) and regional averages. Since the results below depend only on demand shares, not on the absolute level </w:t>
      </w:r>
      <m:oMath>
        <m:r>
          <m:rPr>
            <m:sty m:val="i"/>
          </m:rPr>
          <w:rPr>
            <w:rFonts w:ascii="Cambria Math" w:hAnsi="Cambria Math"/>
          </w:rPr>
          <m:t xml:space="preserve">Q</m:t>
        </m:r>
      </m:oMath>
      <w:r>
        <w:t>, the calibration does not require an estimate of total global compute spending.</w:t>
      </w:r>
    </w:p>
    <w:p>
      <w:pPr>
        <w:spacing w:before="0" w:after="160" w:line="360" w:lineRule="auto"/>
        <w:ind w:firstLine="0"/>
        <w:jc w:val="both"/>
      </w:pPr>
      <w:r>
        <w:t>Because the compute export market is still emerging and bilateral trade-flow data do not yet exist, the paper calibrates the model using engineering cost parameters rather than estimating it from observed trade. The calibration identifies the cost structure under which FLOP exporting becomes viable and provides a framework that can be taken to gravity-style estimation as transaction-level data emerge.</w:t>
      </w:r>
    </w:p>
    <w:p>
      <w:pPr>
        <w:pStyle w:val="Heading1"/>
      </w:pPr>
      <w:r>
        <w:rPr>
          <w:rFonts w:ascii="Times New Roman" w:hAnsi="Times New Roman"/>
          <w:b/>
          <w:color w:val="2F5496"/>
          <w:sz w:val="28"/>
        </w:rPr>
        <w:t>6. Calibration and Results</w:t>
      </w:r>
    </w:p>
    <w:p>
      <w:pPr>
        <w:pStyle w:val="Heading2"/>
      </w:pPr>
      <w:r>
        <w:rPr>
          <w:rFonts w:ascii="Times New Roman" w:hAnsi="Times New Roman"/>
          <w:b w:val="0"/>
          <w:i/>
          <w:color w:val="2F5496"/>
          <w:sz w:val="24"/>
        </w:rPr>
        <w:t>6.1 Parameter calibration</w:t>
      </w:r>
    </w:p>
    <w:p>
      <w:pPr>
        <w:spacing w:before="0" w:after="160" w:line="360" w:lineRule="auto"/>
        <w:ind w:firstLine="0"/>
        <w:jc w:val="both"/>
      </w:pPr>
      <w:r>
        <w:rPr>
          <w:rFonts w:ascii="Times New Roman" w:hAnsi="Times New Roman"/>
          <w:b w:val="0"/>
          <w:i/>
          <w:sz w:val="24"/>
        </w:rPr>
        <w:t xml:space="preserve">PUE. </w:t>
      </w:r>
      <w:r>
        <w:t xml:space="preserve">The baseline </w:t>
      </w:r>
      <m:oMath>
        <m:r>
          <m:rPr>
            <m:sty m:val="i"/>
          </m:rPr>
          <w:rPr>
            <w:rFonts w:ascii="Cambria Math" w:hAnsi="Cambria Math"/>
          </w:rPr>
          <m:t xml:space="preserve">φ</m:t>
        </m:r>
        <m:r>
          <m:rPr>
            <m:sty m:val="p"/>
          </m:rPr>
          <w:rPr>
            <w:rFonts w:ascii="Cambria Math" w:hAnsi="Cambria Math"/>
          </w:rPr>
          <m:t xml:space="preserve"> = 1.08</m:t>
        </m:r>
      </m:oMath>
      <w:r>
        <w:t xml:space="preserve"> matches Google’s reported PUE for facilities with free-air cooling in cold climates (</w:t>
      </w:r>
      <w:bookmarkStart w:id="216" w:name="Google2024txt"/>
      <w:hyperlink w:anchor="Google2024" w:history="1">
        <w:r>
          <w:rPr>
            <w:color w:val="1F3864"/>
            <w:u w:val="single"/>
          </w:rPr>
          <w:t xml:space="preserve">Google 2024</w:t>
        </w:r>
      </w:hyperlink>
      <w:bookmarkEnd w:id="216"/>
      <w:r>
        <w:t xml:space="preserve">). The sensitivity coefficient </w:t>
      </w:r>
      <m:oMath>
        <m:r>
          <m:rPr>
            <m:sty m:val="i"/>
          </m:rPr>
          <w:rPr>
            <w:rFonts w:ascii="Cambria Math" w:hAnsi="Cambria Math"/>
          </w:rPr>
          <m:t xml:space="preserve">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217" w:name="Liu2023txt"/>
      <w:hyperlink w:anchor="Liu2023" w:history="1">
        <w:r>
          <w:rPr>
            <w:color w:val="1F3864"/>
            <w:u w:val="single"/>
          </w:rPr>
          <w:t xml:space="preserve">Liu et al. 2023</w:t>
        </w:r>
      </w:hyperlink>
      <w:bookmarkEnd w:id="217"/>
      <w:r>
        <w:t xml:space="preserve">). The threshold </w:t>
      </w:r>
      <m:oMath>
        <m:bar>
          <m:barPr>
            <m:pos m:val="top"/>
          </m:barPr>
          <m:e>
            <m:r>
              <m:rPr>
                <m:sty m:val="i"/>
              </m:rPr>
              <w:rPr>
                <w:rFonts w:ascii="Cambria Math" w:hAnsi="Cambria Math"/>
              </w:rPr>
              <m:t xml:space="preserve">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average of 1.56 (</w:t>
      </w:r>
      <w:bookmarkStart w:id="218" w:name="UptimeInstitute2024txt"/>
      <w:hyperlink w:anchor="UptimeInstitute2024" w:history="1">
        <w:r>
          <w:rPr>
            <w:color w:val="1F3864"/>
            <w:u w:val="single"/>
          </w:rPr>
          <w:t xml:space="preserve">Uptime Institute 2024</w:t>
        </w:r>
      </w:hyperlink>
      <w:bookmarkEnd w:id="218"/>
      <w:r>
        <w:t xml:space="preserve">).</w:t>
      </w:r>
      <w:r>
        <w:rPr>
          <w:rStyle w:val="FootnoteReference"/>
        </w:rPr>
        <w:footnoteReference w:id="13"/>
      </w:r>
    </w:p>
    <w:p>
      <w:pPr>
        <w:spacing w:before="0" w:after="160" w:line="360" w:lineRule="auto"/>
        <w:ind w:firstLine="0"/>
        <w:jc w:val="both"/>
      </w:pPr>
      <w:r>
        <w:rPr>
          <w:rFonts w:ascii="Times New Roman" w:hAnsi="Times New Roman"/>
          <w:b w:val="0"/>
          <w:i/>
          <w:sz w:val="24"/>
        </w:rPr>
        <w:t xml:space="preserve">Hardware. </w:t>
      </w:r>
      <w:r>
        <w:t xml:space="preserve">The calibration uses the NVIDIA H100 SXM GPU as the reference hardware platform, with a list price of $25,000, a power of 700W, an economic lifetime of 3 years, and a utilization rate 70% (</w:t>
      </w:r>
      <w:bookmarkStart w:id="219" w:name="Barroso2018txt"/>
      <w:hyperlink w:anchor="Barroso2018" w:history="1">
        <w:r>
          <w:rPr>
            <w:color w:val="1F3864"/>
            <w:u w:val="single"/>
          </w:rPr>
          <w:t xml:space="preserve">Barroso et al. 2018</w:t>
        </w:r>
      </w:hyperlink>
      <w:bookmarkEnd w:id="219"/>
      <w:r>
        <w:t xml:space="preserve">). This yields an amortized hardware cost </w:t>
      </w:r>
      <m:oMath>
        <m:r>
          <m:rPr>
            <m:sty m:val="i"/>
          </m:rPr>
          <w:rPr>
            <w:rFonts w:ascii="Cambria Math" w:hAnsi="Cambria Math"/>
          </w:rPr>
          <m:t xml:space="preserve">ρ</m:t>
        </m:r>
        <m:r>
          <m:rPr>
            <m:sty m:val="p"/>
          </m:rPr>
          <w:rPr>
            <w:rFonts w:ascii="Cambria Math" w:hAnsi="Cambria Math"/>
          </w:rPr>
          <m:t xml:space="preserve"> = $1.358</m:t>
        </m:r>
      </m:oMath>
      <w:r>
        <w:t xml:space="preserve">/hr. Networking costs are calibrated at </w:t>
      </w:r>
      <m:oMath>
        <m:r>
          <m:rPr>
            <m:sty m:val="i"/>
          </m:rPr>
          <w:rPr>
            <w:rFonts w:ascii="Cambria Math" w:hAnsi="Cambria Math"/>
          </w:rPr>
          <m:t xml:space="preserve">η</m:t>
        </m:r>
        <m:r>
          <m:rPr>
            <m:sty m:val="p"/>
          </m:rPr>
          <w:rPr>
            <w:rFonts w:ascii="Cambria Math" w:hAnsi="Cambria Math"/>
          </w:rPr>
          <m:t xml:space="preserve"> = $0.15</m:t>
        </m:r>
      </m:oMath>
      <w:r>
        <w:t xml:space="preserve">/hr, based on the same three-year horizon (</w:t>
      </w:r>
      <w:bookmarkStart w:id="220" w:name="Barroso2018txt"/>
      <w:hyperlink w:anchor="Barroso2018" w:history="1">
        <w:r>
          <w:rPr>
            <w:color w:val="1F3864"/>
            <w:u w:val="single"/>
          </w:rPr>
          <w:t xml:space="preserve">Barroso et al. 2018</w:t>
        </w:r>
      </w:hyperlink>
      <w:bookmarkEnd w:id="220"/>
      <w:r>
        <w:t xml:space="preserve">). GPU and networking equipment prices are assumed to be uniform across countries.</w:t>
      </w:r>
    </w:p>
    <w:p>
      <w:pPr>
        <w:spacing w:before="0" w:after="160" w:line="360" w:lineRule="auto"/>
        <w:ind w:firstLine="0"/>
        <w:jc w:val="both"/>
      </w:pPr>
      <w:r>
        <w:rPr>
          <w:rFonts w:ascii="Times New Roman" w:hAnsi="Times New Roman"/>
          <w:b w:val="0"/>
          <w:i/>
          <w:sz w:val="24"/>
        </w:rPr>
        <w:t xml:space="preserve">Latency degradation. </w:t>
      </w:r>
      <w:r>
        <w:t xml:space="preserve">The parameter </w:t>
      </w:r>
      <m:oMath>
        <m:r>
          <m:rPr>
            <m:sty m:val="i"/>
          </m:rPr>
          <w:rPr>
            <w:rFonts w:ascii="Cambria Math" w:hAnsi="Cambria Math"/>
          </w:rPr>
          <m:t xml:space="preserve">τ</m:t>
        </m:r>
      </m:oMath>
      <w:r>
        <w:t xml:space="preserve"> is set at </w:t>
      </w:r>
      <m:oMath>
        <m:r>
          <m:rPr>
            <m:sty m:val="i"/>
          </m:rPr>
          <w:rPr>
            <w:rFonts w:ascii="Cambria Math" w:hAnsi="Cambria Math"/>
          </w:rPr>
          <m:t xml:space="preserve">τ</m:t>
        </m:r>
        <m:r>
          <m:rPr>
            <m:sty m:val="p"/>
          </m:rPr>
          <w:rPr>
            <w:rFonts w:ascii="Cambria Math" w:hAnsi="Cambria Math"/>
          </w:rPr>
          <m:t xml:space="preserve"> = 0.0008</m:t>
        </m:r>
        <m:r>
          <m:rPr>
            <m:sty m:val="p"/>
          </m:rPr>
          <w:rPr>
            <w:rFonts w:ascii="Cambria Math" w:hAnsi="Cambria Math"/>
          </w:rPr>
          <m:t xml:space="preserve"> per ms</m:t>
        </m:r>
      </m:oMath>
      <w:r>
        <w:t xml:space="preserve">, implying that 100 ms of round-trip latency (roughly the intercontinental round-trip between Europe and East Asia) inflates inference cost by 8%, consistent with the finding in </w:t>
      </w:r>
      <w:bookmarkStart w:id="221" w:name="Deloitte2020txt"/>
      <w:hyperlink w:anchor="Deloitte2020" w:history="1">
        <w:r>
          <w:rPr>
            <w:color w:val="1F3864"/>
            <w:u w:val="single"/>
          </w:rPr>
          <w:t xml:space="preserve">Deloitte and Google (2020)</w:t>
        </w:r>
      </w:hyperlink>
      <w:bookmarkEnd w:id="221"/>
      <w:r>
        <w:t xml:space="preserve"> for e-commerce. </w:t>
      </w:r>
    </w:p>
    <w:p>
      <w:pPr>
        <w:spacing w:before="0" w:after="160" w:line="360" w:lineRule="auto"/>
        <w:ind w:firstLine="0"/>
        <w:jc w:val="both"/>
      </w:pPr>
      <w:r>
        <w:rPr>
          <w:rFonts w:ascii="Times New Roman" w:hAnsi="Times New Roman"/>
          <w:b w:val="0"/>
          <w:i/>
          <w:sz w:val="24"/>
        </w:rPr>
        <w:t xml:space="preserve">Sovereignty premium. </w:t>
      </w: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is constructed from geopolitical distance, regulatory compatibility, and sanctions exposure, (</w:t>
      </w:r>
      <w:bookmarkStart w:id="903" w:name="Eq2txt903"/>
      <w:hyperlink w:anchor="Eq2" w:history="1">
        <w:r>
          <w:rPr>
            <w:color w:val="1F3864"/>
            <w:u w:val="single"/>
          </w:rPr>
          <w:t xml:space="preserve">eq. (2)</w:t>
        </w:r>
      </w:hyperlink>
      <w:bookmarkEnd w:id="903"/>
      <w:r>
        <w:t xml:space="preserve">), with coefficient weights </w:t>
      </w:r>
      <m:oMath>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0.05</m:t>
        </m:r>
      </m:oMath>
      <w:r>
        <w:t xml:space="preserve"> (geopolitical distance), </w:t>
      </w:r>
      <m:oMath>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0.025</m:t>
        </m:r>
      </m:oMath>
      <w:r>
        <w:t xml:space="preserve"> (regulatory incompatibility), and </w:t>
      </w:r>
      <m:oMath>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0.10</m:t>
        </m:r>
      </m:oMath>
      <w:r>
        <w:t xml:space="preserve"> (sanctions). For sanctioned pairs,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oMath>
      <w:r>
        <w:t xml:space="preserve"> (trade is prohibited). For allies with mutual data-adequacy agreements (e.g., EU member states),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For non-adversarial pairs without regulatory agreements,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falls in the range 0.04–0.07.</w:t>
      </w:r>
      <w:r>
        <w:rPr>
          <w:rStyle w:val="FootnoteReference"/>
        </w:rPr>
        <w:footnoteReference w:id="15"/>
      </w:r>
      <w:r>
        <w:t xml:space="preserve"> As a robustness check, we also report results under a uniform premium </w:t>
      </w:r>
      <m:oMath>
        <m:r>
          <m:rPr>
            <m:sty m:val="i"/>
          </m:rPr>
          <w:rPr>
            <w:rFonts w:ascii="Cambria Math" w:hAnsi="Cambria Math"/>
          </w:rPr>
          <m:t xml:space="preserve">λ</m:t>
        </m:r>
        <m:r>
          <m:rPr>
            <m:sty m:val="p"/>
          </m:rPr>
          <w:rPr>
            <w:rFonts w:ascii="Cambria Math" w:hAnsi="Cambria Math"/>
          </w:rPr>
          <m:t xml:space="preserve"> = 10%</m:t>
        </m:r>
      </m:oMath>
      <w:r>
        <w:t xml:space="preserve">. The training share of compute demand is </w:t>
      </w:r>
      <m:oMath>
        <m:r>
          <m:rPr>
            <m:sty m:val="i"/>
          </m:rPr>
          <w:rPr>
            <w:rFonts w:ascii="Cambria Math" w:hAnsi="Cambria Math"/>
          </w:rPr>
          <m:t xml:space="preserve">α</m:t>
        </m:r>
        <m:r>
          <m:rPr>
            <m:sty m:val="p"/>
          </m:rPr>
          <w:rPr>
            <w:rFonts w:ascii="Cambria Math" w:hAnsi="Cambria Math"/>
          </w:rPr>
          <m:t xml:space="preserve"> = 0.50</m:t>
        </m:r>
      </m:oMath>
      <w:r>
        <w:t xml:space="preserve">, within the industry range of 0.4–0.6 (</w:t>
      </w:r>
      <w:bookmarkStart w:id="222" w:name="Deloitte2025txt"/>
      <w:hyperlink w:anchor="Deloitte2025" w:history="1">
        <w:r>
          <w:rPr>
            <w:color w:val="1F3864"/>
            <w:u w:val="single"/>
          </w:rPr>
          <w:t xml:space="preserve">Deloitte 2025</w:t>
        </w:r>
      </w:hyperlink>
      <w:bookmarkEnd w:id="222"/>
      <w:r>
        <w:t xml:space="preserve">). Construction costs are amortized over 15 years.</w:t>
      </w:r>
    </w:p>
    <w:p>
      <w:pPr>
        <w:spacing w:before="0" w:after="160" w:line="360" w:lineRule="auto"/>
        <w:ind w:firstLine="0"/>
        <w:jc w:val="both"/>
      </w:pPr>
      <w:bookmarkStart w:id="103" w:name="Table2txt"/>
      <w:hyperlink w:anchor="Table2" w:history="1">
        <w:r>
          <w:rPr>
            <w:color w:val="1F3864"/>
            <w:u w:val="single"/>
          </w:rPr>
          <w:t xml:space="preserve">Table 2</w:t>
        </w:r>
      </w:hyperlink>
      <w:bookmarkEnd w:id="103"/>
      <w:r>
        <w:t xml:space="preserve"> reports all model parameters. Country-specific values, including electricity prices, temperatures, construction costs, and resulting unit costs, are reported in </w:t>
      </w:r>
      <w:bookmarkStart w:id="100" w:name="TableA1txt"/>
      <w:hyperlink w:anchor="TableA1" w:history="1">
        <w:r>
          <w:rPr>
            <w:color w:val="1F3864"/>
            <w:u w:val="single"/>
          </w:rPr>
          <w:t xml:space="preserve">Table A1</w:t>
        </w:r>
      </w:hyperlink>
      <w:bookmarkEnd w:id="100"/>
      <w:r>
        <w:t>.</w:t>
      </w:r>
    </w:p>
    <w:p>
      <w:pPr>
        <w:pStyle w:val="Heading2"/>
      </w:pPr>
      <w:r>
        <w:rPr>
          <w:rFonts w:ascii="Times New Roman" w:hAnsi="Times New Roman"/>
          <w:b w:val="0"/>
          <w:i/>
          <w:color w:val="2F5496"/>
          <w:sz w:val="24"/>
        </w:rPr>
        <w:t>6.2 Cost Rankings and Trade Patterns</w:t>
      </w:r>
    </w:p>
    <w:p>
      <w:pPr>
        <w:spacing w:before="0" w:after="160" w:line="360" w:lineRule="auto"/>
        <w:ind w:firstLine="0"/>
        <w:jc w:val="both"/>
      </w:pPr>
      <w:bookmarkStart w:id="150" w:name="Figure1calstxt"/>
      <w:hyperlink w:anchor="Figure1cals" w:history="1">
        <w:r>
          <w:rPr>
            <w:color w:val="1F3864"/>
            <w:u w:val="single"/>
          </w:rPr>
          <w:t xml:space="preserve">Figure 1</w:t>
        </w:r>
      </w:hyperlink>
      <w:bookmarkEnd w:id="150"/>
      <w:r>
        <w:t xml:space="preserve"> summarizes the model structure, from country endowments through production costs and prices to equilibrium regimes. The analysis proceeds by adjusting production costs and applying bilateral trade frictions.</w:t>
      </w:r>
    </w:p>
    <w:p>
      <w:pPr>
        <w:spacing w:before="0" w:after="160" w:line="360" w:lineRule="auto"/>
        <w:ind w:firstLine="0"/>
        <w:jc w:val="both"/>
      </w:pPr>
      <w:r>
        <w:t xml:space="preserve">Under observed electricity tariffs, the cheapest producer in our sample of 85 countries is Iran, followed by Turkmenistan and Ethiopia (Column (1) of </w:t>
      </w:r>
      <w:bookmarkStart w:id="112" w:name="Table3txt"/>
      <w:hyperlink w:anchor="Table3" w:history="1">
        <w:r>
          <w:rPr>
            <w:color w:val="1F3864"/>
            <w:u w:val="single"/>
          </w:rPr>
          <w:t xml:space="preserve">Table 3</w:t>
        </w:r>
      </w:hyperlink>
      <w:bookmarkEnd w:id="112"/>
      <w:r>
        <w:t xml:space="preserve">). But this ranking is misleading. Iran’s headline electricity cost rests on one of the world’s largest fossil fuel subsidies. Turkmenistan, Algeria, Qatar, and several other low-cost producers face similar distortions. </w:t>
      </w:r>
    </w:p>
    <w:p>
      <w:pPr>
        <w:spacing w:before="0" w:after="160" w:line="360" w:lineRule="auto"/>
        <w:ind w:firstLine="0"/>
        <w:jc w:val="both"/>
      </w:pPr>
      <w:r>
        <w:t xml:space="preserve">We replace subsidized tariffs with cost-recovery prices to distinguish real comparative advantage from fiscal artifact. The cost-recovery prices are defined as the long-run marginal cost (LRMC) of the dominant generation technology at opportunity-cost fuel prices (</w:t>
      </w:r>
      <w:bookmarkStart w:id="248" w:name="IMF2025txt"/>
      <w:hyperlink w:anchor="IMF2025" w:history="1">
        <w:r>
          <w:rPr>
            <w:color w:val="1F3864"/>
            <w:u w:val="single"/>
          </w:rPr>
          <w:t xml:space="preserve">IMF 2025</w:t>
        </w:r>
      </w:hyperlink>
      <w:bookmarkEnd w:id="248"/>
      <w:r>
        <w:t xml:space="preserve">, </w:t>
      </w:r>
      <w:bookmarkStart w:id="223" w:name="Lazard2025txt"/>
      <w:hyperlink w:anchor="Lazard2025" w:history="1">
        <w:r>
          <w:rPr>
            <w:color w:val="1F3864"/>
            <w:u w:val="single"/>
          </w:rPr>
          <w:t xml:space="preserve">Lazard 2025</w:t>
        </w:r>
      </w:hyperlink>
      <w:bookmarkEnd w:id="223"/>
      <w:r>
        <w:t xml:space="preserve">). We apply this adjustment to 13 countries whose retail electricity prices fall below the estimated LRMC.</w:t>
      </w:r>
      <w:r>
        <w:rPr>
          <w:rStyle w:val="FootnoteReference"/>
        </w:rPr>
        <w:footnoteReference w:id="16"/>
      </w:r>
      <w:r>
        <w:t xml:space="preserve"> The subsidy gap ranges from $0.019 to $0.080/kWh. For Iran, a 100 MW IT-load data center would receive $93 million per year in implicit fiscal transfer. At hyperscale, such subsidies are fiscally unsustainable. The resulting cost-recovery ranking (column (2) of </w:t>
      </w:r>
      <w:hyperlink w:anchor="Table3" w:history="1">
        <w:r>
          <w:rPr>
            <w:color w:val="1F3864"/>
            <w:u w:val="single"/>
          </w:rPr>
          <w:t xml:space="preserve">Table 3</w:t>
        </w:r>
      </w:hyperlink>
      <w:r>
        <w:t>) shifts the top of the ranking toward hydropower-rich countries: Kyrgyzstan, Canada, Ethiopia, Kosovo, and Tajikistan. Iran drops from first to 24th. 40 countries change their trade regimes.</w:t>
      </w:r>
    </w:p>
    <w:p>
      <w:pPr>
        <w:spacing w:before="0" w:after="160" w:line="360" w:lineRule="auto"/>
        <w:ind w:firstLine="0"/>
        <w:jc w:val="both"/>
      </w:pPr>
      <w:r>
        <w:t>The cost-recovery adjustment reshapes the rankings: Turkmenistan drops 16 places, Tajikistan drops 7. Countries whose low tariffs reflect subsidies rather than genuine resource advantage lose ground once fiscal transfers are removed. Because hardware dominates unit costs, the remaining cross-country variation is narrow. Cheap energy is necessary but not sufficient for FLOP exporting (</w:t>
      </w:r>
      <w:bookmarkStart w:id="141" w:name="TableA2txt"/>
      <w:hyperlink w:anchor="TableA2" w:history="1">
        <w:r>
          <w:rPr>
            <w:color w:val="1F3864"/>
            <w:u w:val="single"/>
          </w:rPr>
          <w:t xml:space="preserve">Table A2</w:t>
        </w:r>
      </w:hyperlink>
      <w:bookmarkEnd w:id="141"/>
      <w:r>
        <w:t xml:space="preserve"> extends the ranking to all countries).</w:t>
      </w:r>
    </w:p>
    <w:p>
      <w:pPr>
        <w:spacing w:before="0" w:after="160" w:line="360" w:lineRule="auto"/>
        <w:ind w:firstLine="0"/>
        <w:jc w:val="both"/>
      </w:pPr>
      <w:r>
        <w:t>The gap between cost advantage and actual investment is wide. Eight of the twenty cheapest producers have under 100 MW of installed capacity (e.g., Kyrgyzstan: rank 1, 5 MW), while countries outside the top twenty host large clusters (Netherlands: rank 59, 1,800 MW; Ireland: rank 84, 1,260 MW). The cost ranking identifies the feasible set of exporters, not a prediction of realized investment.</w:t>
      </w:r>
    </w:p>
    <w:p>
      <w:pPr>
        <w:spacing w:before="0" w:after="160" w:line="360" w:lineRule="auto"/>
        <w:ind w:firstLine="0"/>
        <w:jc w:val="both"/>
      </w:pPr>
      <w:r>
        <w:t xml:space="preserve">Recent FDI data confirm this pattern. Among EMDEs, the largest recipients of data-center investment are Malaysia, India, and Brazil—countries with moderate electricity costs but strong regulatory frameworks and credible grid infrastructure—while the cheapest producers in our calibration (Kyrgyzstan, Tajikistan, Ethiopia) have received virtually no data-center FDI (</w:t>
      </w:r>
      <w:bookmarkStart w:id="258" w:name="AykutEtAl2026txt"/>
      <w:hyperlink w:anchor="AykutEtAl2026" w:history="1">
        <w:r>
          <w:rPr>
            <w:color w:val="1F3864"/>
            <w:u w:val="single"/>
          </w:rPr>
          <w:t xml:space="preserve">Aykut et al. 2026</w:t>
        </w:r>
      </w:hyperlink>
      <w:bookmarkEnd w:id="258"/>
      <w:r>
        <w:t xml:space="preserve">). Moreover, most announced investment flows between geopolitical allies, consistent with the bilateral sovereignty premium rather than cost alone determining where capacity is built (</w:t>
      </w:r>
      <w:bookmarkStart w:id="249" w:name="StraubEtAl2026txt"/>
      <w:hyperlink w:anchor="StraubEtAl2026" w:history="1">
        <w:r>
          <w:rPr>
            <w:color w:val="1F3864"/>
            <w:u w:val="single"/>
          </w:rPr>
          <w:t xml:space="preserve">Straub et al. 2026</w:t>
        </w:r>
      </w:hyperlink>
      <w:bookmarkEnd w:id="249"/>
      <w:r>
        <w:t xml:space="preserve">). Econometric evidence confirms that electricity costs are not a robust predictor of data center location once market size and regulatory environment are controlled for (</w:t>
      </w:r>
      <w:bookmarkStart w:id="224" w:name="CaouiSteck2025txt"/>
      <w:hyperlink w:anchor="CaouiSteck2025" w:history="1">
        <w:r>
          <w:rPr>
            <w:color w:val="1F3864"/>
            <w:u w:val="single"/>
          </w:rPr>
          <w:t xml:space="preserve">Caoui and Steck 2025</w:t>
        </w:r>
      </w:hyperlink>
      <w:bookmarkEnd w:id="224"/>
      <w:r>
        <w:t xml:space="preserve">).</w:t>
      </w:r>
    </w:p>
    <w:p>
      <w:pPr>
        <w:spacing w:before="0" w:after="160" w:line="360" w:lineRule="auto"/>
        <w:ind w:firstLine="0"/>
        <w:jc w:val="both"/>
      </w:pPr>
      <w:r>
        <w:t xml:space="preserve">Cross-country evidence on policy readiness corroborates this pattern. Economies with advanced AI and cloud strategies—such as Singapore, Australia, Japan, and South Korea—record estimated economic impacts from AI and cloud investment of 3–4 percent of GDP, compared with less than 1 percent in countries such as Indonesia and Viet Nam (</w:t>
      </w:r>
      <w:bookmarkStart w:id="250" w:name="KatzEtAl2025txt"/>
      <w:hyperlink w:anchor="KatzEtAl2025" w:history="1">
        <w:r>
          <w:rPr>
            <w:color w:val="1F3864"/>
            <w:u w:val="single"/>
          </w:rPr>
          <w:t xml:space="preserve">Katz et al. 2025</w:t>
        </w:r>
      </w:hyperlink>
      <w:bookmarkEnd w:id="250"/>
      <w:r>
        <w:t xml:space="preserve">). The model’s institutional quality parameter captures, in reduced form, the complementary investments in digital skills, regulatory predictability, and grid modernization that separate these two groups. Countries that align digital ambitions with energy-sector planning—Malaysia through its National Energy Transition Roadmap, Brazil with an electricity mix over 80 percent renewable, the UAE with nuclear- and solar-powered AI hubs—are emerging as preferred destinations for hyperscalers, exactly as the model predicts for countries combining moderate costs with high institutional quality (</w:t>
      </w:r>
      <w:bookmarkStart w:id="225" w:name="AykutEtAl2026txt"/>
      <w:hyperlink w:anchor="AykutEtAl2026" w:history="1">
        <w:r>
          <w:rPr>
            <w:color w:val="1F3864"/>
            <w:u w:val="single"/>
          </w:rPr>
          <w:t xml:space="preserve">Aykut et al. 2026</w:t>
        </w:r>
      </w:hyperlink>
      <w:bookmarkEnd w:id="225"/>
      <w:r>
        <w:t xml:space="preserve">).</w:t>
      </w:r>
    </w:p>
    <w:p>
      <w:pPr>
        <w:spacing w:before="0" w:after="160" w:line="360" w:lineRule="auto"/>
        <w:ind w:firstLine="0"/>
        <w:jc w:val="both"/>
      </w:pP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reshapes trade patterns along geopolitical lines. Between allies with mutual data adequacy agreements (e.g., EU member states), the effective premium is near zero. For geopolitical adversaries, it is effectively infinite—the United States would not source training from Iran regardless of cost, and current sanctions make such transactions illegal. Column (3) of </w:t>
      </w:r>
      <w:hyperlink w:anchor="Table3" w:history="1">
        <w:r>
          <w:rPr>
            <w:color w:val="1F3864"/>
            <w:u w:val="single"/>
          </w:rPr>
          <w:t xml:space="preserve">Table 3</w:t>
        </w:r>
      </w:hyperlink>
      <w:r>
        <w:t xml:space="preserve"> reports the bilateral specification. The bilateral sovereignty premium is particularly powerful for inference, since the latency markup within Europe is moderate (10–40 ms, adding 1–3%), and even a small domestic preference can tip the decision away from importing.</w:t>
      </w:r>
    </w:p>
    <w:p>
      <w:pPr>
        <w:spacing w:before="0" w:after="160" w:line="360" w:lineRule="auto"/>
        <w:ind w:firstLine="0"/>
        <w:jc w:val="both"/>
      </w:pPr>
      <w:r>
        <w:rPr>
          <w:rFonts w:ascii="Times New Roman" w:hAnsi="Times New Roman"/>
          <w:b w:val="0"/>
          <w:i/>
          <w:sz w:val="24"/>
        </w:rPr>
        <w:t xml:space="preserve">Trade flows under capacity constraints. </w:t>
      </w:r>
      <w:r>
        <w:t xml:space="preserve">Weighing the sourcing patterns by demand shares from </w:t>
      </w:r>
      <w:bookmarkStart w:id="904" w:name="Eq4txt904"/>
      <w:hyperlink w:anchor="Eq4" w:history="1">
        <w:r>
          <w:rPr>
            <w:color w:val="1F3864"/>
            <w:u w:val="single"/>
          </w:rPr>
          <w:t xml:space="preserve">equation (4)</w:t>
        </w:r>
      </w:hyperlink>
      <w:bookmarkEnd w:id="904"/>
      <w:r>
        <w:t xml:space="preserve"> and applying capacity constraints, 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$1.59</m:t>
        </m:r>
      </m:oMath>
      <w:r>
        <w:t xml:space="preserve">/hr, set by the marginal exporter’s cost. Training demand is served by a dominant exporter (HHI = 0.996, with 1 other producer at the margin), leaving the training market close to the unconstrained benchmark of Proposition 2. </w:t>
      </w:r>
      <w:r>
        <w:t xml:space="preserve">The largest shadow values of grid capacity are in Kyrgyzstan ($0.014/hr), indicating modest returns to capacity expansion. </w:t>
      </w:r>
      <w:r>
        <w:t>Under the bilateral sovereignty premium, most training demand shifts to domestic production, and the residual export market is served by a single exporter at $1.58/hr.</w:t>
      </w:r>
    </w:p>
    <w:p>
      <w:pPr>
        <w:spacing w:before="0" w:after="160" w:line="360" w:lineRule="auto"/>
        <w:ind w:firstLine="0"/>
        <w:jc w:val="both"/>
      </w:pPr>
      <w:r>
        <w:t xml:space="preserve">Inference exports are more dispersed, with the top five exporters being Canada (43%), Kyrgyzstan (26%), Kosovo (6%), the United Kingdom (1%), and Indonesia (0.9%), collectively accounting for 77% of cross-border inference demand (HHI = 0.2591). </w:t>
      </w:r>
    </w:p>
    <w:p>
      <w:pPr>
        <w:spacing w:before="0" w:after="160" w:line="360" w:lineRule="auto"/>
        <w:ind w:firstLine="0"/>
        <w:jc w:val="both"/>
      </w:pPr>
      <w:r>
        <w:t xml:space="preserve">Among developing countries, Kyrgyzstan captures 26% of global inference demand by serving China, Kazakhstan, and Uzbekistan, a large share for a country with a GDP of under $15 billion. </w:t>
      </w:r>
      <w:r>
        <w:t xml:space="preserve">Kosovo serves as an inference hub for 17 countries, accounting for 6% of global inference demand. </w:t>
      </w:r>
    </w:p>
    <w:p>
      <w:pPr>
        <w:spacing w:before="0" w:after="160" w:line="360" w:lineRule="auto"/>
        <w:ind w:firstLine="0"/>
        <w:jc w:val="both"/>
      </w:pPr>
      <w:r>
        <w:rPr>
          <w:rFonts w:ascii="Times New Roman" w:hAnsi="Times New Roman"/>
          <w:b w:val="0"/>
          <w:i/>
          <w:sz w:val="24"/>
        </w:rPr>
        <w:t xml:space="preserve">Major demand centers. </w:t>
      </w:r>
      <w:r>
        <w:t>The model’s predictions vary across major AI demand centers because each faces a different latency geography. For the United States, the cost-recovery optimum sources training from the cheapest available producer, and inference from Canada. For Germany and France, inference is sourced from Kosovo, and for the United Kingdom, domestically. For China, the cheapest foreign source of inference is Kyrgyzstan. Inference supply thus concentrates around latency-bounded regional hubs, each major market sourcing from a distinct nearby producer.</w:t>
      </w:r>
    </w:p>
    <w:p>
      <w:pPr>
        <w:spacing w:before="0" w:after="160" w:line="360" w:lineRule="auto"/>
        <w:ind w:firstLine="0"/>
        <w:jc w:val="both"/>
      </w:pPr>
      <w:r>
        <w:t xml:space="preserve">Among these demand centers, China illustrates the DD regime. Despite hosting one of the world’s largest data-center markets, virtually all capacity is built and financed by domestic technology firms and state-owned operators such as Alibaba Cloud, Tencent, Baidu, and China Telecom, with negligible foreign FDI (</w:t>
      </w:r>
      <w:bookmarkStart w:id="226" w:name="AykutEtAl2026txt"/>
      <w:hyperlink w:anchor="AykutEtAl2026" w:history="1">
        <w:r>
          <w:rPr>
            <w:color w:val="1F3864"/>
            <w:u w:val="single"/>
          </w:rPr>
          <w:t xml:space="preserve">Aykut et al. 2026</w:t>
        </w:r>
      </w:hyperlink>
      <w:bookmarkEnd w:id="226"/>
      <w:r>
        <w:t xml:space="preserve">). The model predicts exactly this outcome: China’s sovereignty premium is effectively infinite for most Western buyers, yet its large domestic demand and moderate production costs make domestic production of both training and inference the equilibrium strategy. Government initiatives such as the Eastern Data Western Computing project further reinforce domestic sourcing by shifting energy-intensive computing to western provinces with cheaper power.</w:t>
      </w:r>
    </w:p>
    <w:p>
      <w:pPr>
        <w:spacing w:before="0" w:after="160" w:line="360" w:lineRule="auto"/>
        <w:ind w:firstLine="0"/>
        <w:jc w:val="both"/>
      </w:pPr>
      <w:r>
        <w:t>Under cost-recovery pricing, the narrow cost spread means that even a 10% uniform sovereignty premium is sufficient to make domestic training viable for nearly all countries, leaving the share of global training demand available to foreign exporters negligible. Raising the uniform premium to 20% shifts 1 additional country (Greenland) to domestic production, but the marginal effect is small. Inference exports are more resilient to sovereignty premia because the latency advantage of proximity partially insulates regional hubs. The ease with which modest premia eliminate trade explains the welfare costs documented below.</w:t>
      </w:r>
    </w:p>
    <w:p>
      <w:pPr>
        <w:spacing w:before="0" w:after="160" w:line="360" w:lineRule="auto"/>
        <w:ind w:firstLine="0"/>
        <w:jc w:val="both"/>
      </w:pPr>
      <w:r>
        <w:rPr>
          <w:rFonts w:ascii="Times New Roman" w:hAnsi="Times New Roman"/>
          <w:b w:val="0"/>
          <w:i/>
          <w:sz w:val="24"/>
        </w:rPr>
        <w:t xml:space="preserve">Welfare cost of sovereignty. </w:t>
      </w:r>
      <w:r>
        <w:t xml:space="preserve">The bilateral sovereignty premium imposes a welfare cost with two components, an import markup (importers pay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per unit above the competitive price) and an allocative inefficiency (countries with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produce domestically at above-world-price costs). Under capacity constraints, both components are smaller than in the unconstrained model because the higher world price narrows the gap between domestic and import costs. The demand-weighted welfare cost is 1.5% of average compute spending, in the range of the welfare gains from trade in goods estimated in the quantitative trade literature, which range from roughly 0.2% to 10% depending on country size and specification (</w:t>
      </w:r>
      <w:bookmarkStart w:id="227" w:name="EatonKortum2002txt"/>
      <w:hyperlink w:anchor="EatonKortum2002" w:history="1">
        <w:r>
          <w:rPr>
            <w:color w:val="1F3864"/>
            <w:u w:val="single"/>
          </w:rPr>
          <w:t xml:space="preserve">Eaton and Kortum 2002</w:t>
        </w:r>
      </w:hyperlink>
      <w:bookmarkEnd w:id="227"/>
      <w:r>
        <w:t xml:space="preserve">, </w:t>
      </w:r>
      <w:bookmarkStart w:id="251" w:name="ACR2012txt"/>
      <w:hyperlink w:anchor="ACR2012" w:history="1">
        <w:r>
          <w:rPr>
            <w:color w:val="1F3864"/>
            <w:u w:val="single"/>
          </w:rPr>
          <w:t xml:space="preserve">Arkolakis et al. 2012</w:t>
        </w:r>
      </w:hyperlink>
      <w:bookmarkEnd w:id="251"/>
      <w:r>
        <w:t xml:space="preserve">). At current demand levels (approximately 6 × 10¹⁰ GPU-hours at $1.50/hr), this amounts to roughly $1.3 billion per year. This cost is small enough that governments with legitimate data-sovereignty objectives, such as military applications, health records, and national statistical systems, may prefer domestic production even at the cost of efficiency.</w:t>
      </w:r>
    </w:p>
    <w:p>
      <w:pPr>
        <w:spacing w:before="0" w:after="160" w:line="360" w:lineRule="auto"/>
        <w:ind w:firstLine="0"/>
        <w:jc w:val="both"/>
      </w:pPr>
      <w:r>
        <w:t xml:space="preserve">The welfare implications of the sovereignty premium depend on whether it reflects genuine security externalities or regulatory overreach. Some domestic processing preference is justified for confidential data, but much of the current policy push extends the sovereignty logic to routine commercial computation. The welfare cost is significant. The bilateral premium shifts most countries toward domestic production, forgoing the cost savings from specialization. The premium is also partly endogenous to the absence of credible international data governance: where enforceable data-protection agreements exist (as within the EU), the premium falls; where they do not, even commercially motivated buyers face rational reasons to prefer domestic processing. Sovereignty preferences are not limited to developing countries: France’s SecNumCloud certification mandates EU-only data hosting and staffing, effectively excluding U.S. hyperscalers from sovereign workloads. Developing countries that adopt broad data localization requirements risk foreclosing both import savings and regional export opportunities, the specialization gains that the model predicts. The </w:t>
      </w:r>
      <w:bookmarkStart w:id="228" w:name="WorldBank2025txt"/>
      <w:hyperlink w:anchor="WorldBank2025" w:history="1">
        <w:r>
          <w:rPr>
            <w:color w:val="1F3864"/>
            <w:u w:val="single"/>
          </w:rPr>
          <w:t xml:space="preserve">World Bank (2025)</w:t>
        </w:r>
      </w:hyperlink>
      <w:bookmarkEnd w:id="228"/>
      <w:r>
        <w:t xml:space="preserve"> frames this as a core policy trade-off: building domestic capacity versus securing affordable access to international cloud services.</w:t>
      </w:r>
    </w:p>
    <w:p>
      <w:pPr>
        <w:pStyle w:val="Heading1"/>
      </w:pPr>
      <w:r>
        <w:rPr>
          <w:rFonts w:ascii="Times New Roman" w:hAnsi="Times New Roman"/>
          <w:b/>
          <w:color w:val="2F5496"/>
          <w:sz w:val="28"/>
        </w:rPr>
        <w:t>7. Robustness, Caveats, and Extensions</w:t>
      </w:r>
    </w:p>
    <w:p>
      <w:pPr>
        <w:pStyle w:val="Heading2"/>
      </w:pPr>
      <w:r>
        <w:rPr>
          <w:rFonts w:ascii="Times New Roman" w:hAnsi="Times New Roman"/>
          <w:b w:val="0"/>
          <w:i/>
          <w:color w:val="2F5496"/>
          <w:sz w:val="24"/>
        </w:rPr>
        <w:t>7.1 Robustness to parameter variation</w:t>
      </w:r>
    </w:p>
    <w:p>
      <w:pPr>
        <w:spacing w:before="0" w:after="160" w:line="360" w:lineRule="auto"/>
        <w:ind w:firstLine="0"/>
        <w:jc w:val="both"/>
      </w:pPr>
      <w:r>
        <w:rPr>
          <w:rFonts w:ascii="Times New Roman" w:hAnsi="Times New Roman"/>
          <w:b w:val="0"/>
          <w:i/>
          <w:sz w:val="24"/>
        </w:rPr>
        <w:t xml:space="preserve">Sensitivity analysis. </w:t>
      </w:r>
      <w:r>
        <w:t xml:space="preserve">Cost rankings are robust to substantial variations in parameters. </w:t>
      </w:r>
      <w:bookmarkStart w:id="143" w:name="TableA3txt"/>
      <w:hyperlink w:anchor="TableA3" w:history="1">
        <w:r>
          <w:rPr>
            <w:color w:val="1F3864"/>
            <w:u w:val="single"/>
          </w:rPr>
          <w:t xml:space="preserve">Table A3</w:t>
        </w:r>
      </w:hyperlink>
      <w:bookmarkEnd w:id="143"/>
      <w:r>
        <w:t xml:space="preserve"> reports results across three robustness specifications, varying the hardware cost share. The sensitivity results can be read as comparative statics. A rise in global hardware costs increases the globally-priced cost share, compressing the locally-penalized component and muting governance penalties for developing-country exporters. On the other hand, improved cooling technology that flattens the PUE–temperature curve narrows the advantage of cold-climate countries but leaves energy-price differences intact. A reduction in sovereignty frictions shifts countries from domestic production to importing, expanding trade volumes but reducing rents for exporters.</w:t>
      </w:r>
    </w:p>
    <w:p>
      <w:pPr>
        <w:spacing w:before="0" w:after="160" w:line="360" w:lineRule="auto"/>
        <w:ind w:firstLine="0"/>
        <w:jc w:val="both"/>
      </w:pPr>
      <w:r>
        <w:rPr>
          <w:rFonts w:ascii="Times New Roman" w:hAnsi="Times New Roman"/>
          <w:b w:val="0"/>
          <w:i/>
          <w:sz w:val="24"/>
        </w:rPr>
        <w:t xml:space="preserve">Hardware cost share. </w:t>
      </w:r>
      <w:r>
        <w:t xml:space="preserve">Varying </w:t>
      </w:r>
      <m:oMath>
        <m:r>
          <m:rPr>
            <m:sty m:val="i"/>
          </m:rPr>
          <w:rPr>
            <w:rFonts w:ascii="Cambria Math" w:hAnsi="Cambria Math"/>
          </w:rPr>
          <m:t xml:space="preserve">ρ</m:t>
        </m:r>
      </m:oMath>
      <w:r>
        <w:t xml:space="preserve"> by ±4 percent shifts the composition of the top fifteen countries, but the qualitative result is robust across all specifications. The economic intuition is straightforward: because hardware is globally priced and dominates unit cost, a higher </w:t>
      </w:r>
      <m:oMath>
        <m:r>
          <m:rPr>
            <m:sty m:val="i"/>
          </m:rPr>
          <w:rPr>
            <w:rFonts w:ascii="Cambria Math" w:hAnsi="Cambria Math"/>
          </w:rPr>
          <m:t xml:space="preserve">ρ</m:t>
        </m:r>
      </m:oMath>
      <w:r>
        <w:t xml:space="preserve"> compresses the cross-country cost spread, making electricity price differences less decisive and facilitating developing-country entry. Countries combining cheap energy with adequate governance retain their cost advantage regardless of the choice of parameter.</w:t>
      </w:r>
    </w:p>
    <w:p>
      <w:pPr>
        <w:spacing w:before="0" w:after="160" w:line="360" w:lineRule="auto"/>
        <w:ind w:firstLine="0"/>
        <w:jc w:val="both"/>
      </w:pPr>
      <w:r>
        <w:rPr>
          <w:rFonts w:ascii="Times New Roman" w:hAnsi="Times New Roman"/>
          <w:b w:val="0"/>
          <w:i/>
          <w:sz w:val="24"/>
        </w:rPr>
        <w:t xml:space="preserve">Uniform sovereignty premium. </w:t>
      </w:r>
      <w:r>
        <w:t xml:space="preserve">As a robustness check, we compute the equilibrium under a uniform premium </w:t>
      </w:r>
      <m:oMath>
        <m:r>
          <m:rPr>
            <m:sty m:val="i"/>
          </m:rPr>
          <w:rPr>
            <w:rFonts w:ascii="Cambria Math" w:hAnsi="Cambria Math"/>
          </w:rPr>
          <m:t xml:space="preserve">λ</m:t>
        </m:r>
        <m:r>
          <m:rPr>
            <m:sty m:val="p"/>
          </m:rPr>
          <w:rPr>
            <w:rFonts w:ascii="Cambria Math" w:hAnsi="Cambria Math"/>
          </w:rPr>
          <m:t xml:space="preserve"> = 0.10</m:t>
        </m:r>
      </m:oMath>
      <w:r>
        <w:t>. The uniform premium produces similar regime assignments: most countries produce domestically under either specification. The main difference is that the bilateral premium excludes sanctioned countries from serving any demand center, while the uniform premium treats all pairs identically. The bilateral specification is preferred because it captures observed heterogeneity in sovereignty preferences.</w:t>
      </w:r>
    </w:p>
    <w:p>
      <w:pPr>
        <w:spacing w:before="0" w:after="160" w:line="360" w:lineRule="auto"/>
        <w:ind w:firstLine="0"/>
        <w:jc w:val="both"/>
      </w:pPr>
      <w:r>
        <w:rPr>
          <w:rFonts w:ascii="Times New Roman" w:hAnsi="Times New Roman"/>
          <w:b w:val="0"/>
          <w:i/>
          <w:sz w:val="24"/>
        </w:rPr>
        <w:t xml:space="preserve">Sovereignty tiers. </w:t>
      </w:r>
      <w:r>
        <w:t xml:space="preserve">The model segments each country’s demand into three tiers: sovereign workloads (10%, domestic only), regulated workloads (20%, higher regulatory compatibility weight), and commercial workloads (70%, geopolitical alignment only). Under calibrated parameters, tiering leaves regime assignments unchanged for all countries, so </w:t>
      </w:r>
      <w:hyperlink w:anchor="Table3" w:history="1">
        <w:r>
          <w:rPr>
            <w:color w:val="1F3864"/>
            <w:u w:val="single"/>
          </w:rPr>
          <w:t xml:space="preserve">Table 3</w:t>
        </w:r>
      </w:hyperlink>
      <w:r>
        <w:t xml:space="preserve"> omits a separate tiered column. The main impact of tiering is on inference sourcing: regulated workloads shift toward suppliers with strong data governance, favoring EU and APEC CBPR participants over closer but less regulated alternatives.</w:t>
      </w:r>
      <w:r>
        <w:rPr>
          <w:rStyle w:val="FootnoteReference"/>
        </w:rPr>
        <w:footnoteReference w:id="17"/>
      </w:r>
    </w:p>
    <w:p>
      <w:pPr>
        <w:pStyle w:val="Heading2"/>
      </w:pPr>
      <w:r>
        <w:rPr>
          <w:rFonts w:ascii="Times New Roman" w:hAnsi="Times New Roman"/>
          <w:b w:val="0"/>
          <w:i/>
          <w:color w:val="2F5496"/>
          <w:sz w:val="24"/>
        </w:rPr>
        <w:t>7.2 Caveats and omitted frictions</w:t>
      </w:r>
    </w:p>
    <w:p>
      <w:pPr>
        <w:spacing w:before="0" w:after="160" w:line="360" w:lineRule="auto"/>
        <w:ind w:firstLine="0"/>
        <w:jc w:val="both"/>
      </w:pPr>
      <w:r>
        <w:t xml:space="preserve">The calibration adjusts for energy subsidies and institutional quality, but several constraints remain outside the model and would further narrow the set of viable exporters. GPU export controls bar Iran, Russia, and Belarus from acquiring current-generation hardware. Water scarcity constrains cooling in the Middle East and North Africa; hyperscale data centers can consume billions of liters of water annually, and next-generation high-density GPU clusters increasingly rely on liquid-cooling technologies that intensify this pressure in water-stressed economies. Fiscal sustainability is a concern: regulated tariffs in many developing countries cover operating expenses but not full capital cost, so exporting compute at scale while the domestic energy sector cannot maintain its capital stock may prove politically unsustainable. Finally, export controls, logistics costs, and local distribution markups can raise effective GPU prices by 5–15% in developing countries, substantially eroding the thin cost advantages documented in </w:t>
      </w:r>
      <w:hyperlink w:anchor="TableA1" w:history="1">
        <w:r>
          <w:rPr>
            <w:color w:val="1F3864"/>
            <w:u w:val="single"/>
          </w:rPr>
          <w:t xml:space="preserve">Table A1</w:t>
        </w:r>
      </w:hyperlink>
      <w:r>
        <w:t>. These omitted constraints all work against developing-country competitiveness; the calibration results should therefore be read as upper bounds.</w:t>
      </w:r>
    </w:p>
    <w:p>
      <w:pPr>
        <w:spacing w:before="0" w:after="160" w:line="360" w:lineRule="auto"/>
        <w:ind w:firstLine="0"/>
        <w:jc w:val="both"/>
      </w:pPr>
      <w:r>
        <w:rPr>
          <w:rFonts w:ascii="Times New Roman" w:hAnsi="Times New Roman"/>
          <w:b w:val="0"/>
          <w:i/>
          <w:sz w:val="24"/>
        </w:rPr>
        <w:t xml:space="preserve">Endogenous electricity prices. </w:t>
      </w:r>
      <w:r>
        <w:t xml:space="preserve">The model treats electricity prices as exogenous. For small, cheap-energy countries, a hyperscale facility can be large relative to the host grid — a 100 MW data center would consume roughly 3% of Kyrgyzstan’s 3,800 MW national output. At the multi-facility scale, data centers would compete with residential heating, likely triggering regulatory intervention. The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partially addresses this, but the fixed-price assumption implies that the cost advantages in </w:t>
      </w:r>
      <w:hyperlink w:anchor="TableA1" w:history="1">
        <w:r>
          <w:rPr>
            <w:color w:val="1F3864"/>
            <w:u w:val="single"/>
          </w:rPr>
          <w:t xml:space="preserve">Table A1</w:t>
        </w:r>
      </w:hyperlink>
      <w:r>
        <w:t xml:space="preserve"> are upper bounds. An extension with upward-sloping supply curves would compress these advantages. Recent estimates suggest that AI workloads, combined with broader electrification, could raise U.S. wholesale electricity prices by roughly 19 percent between 2025 and 2028 (</w:t>
      </w:r>
      <w:bookmarkStart w:id="229" w:name="Chandramowli2024txt"/>
      <w:hyperlink w:anchor="Chandramowli2024" w:history="1">
        <w:r>
          <w:rPr>
            <w:color w:val="1F3864"/>
            <w:u w:val="single"/>
          </w:rPr>
          <w:t xml:space="preserve">Chandramowli et al. 2024</w:t>
        </w:r>
      </w:hyperlink>
      <w:bookmarkEnd w:id="229"/>
      <w:r>
        <w:t xml:space="preserve">), and AI data-center expansion alone could increase retail prices by 8–9 percent by 2030 (</w:t>
      </w:r>
      <w:bookmarkStart w:id="252" w:name="IMF2025txt"/>
      <w:hyperlink w:anchor="IMF2025" w:history="1">
        <w:r>
          <w:rPr>
            <w:color w:val="1F3864"/>
            <w:u w:val="single"/>
          </w:rPr>
          <w:t xml:space="preserve">IMF 2025</w:t>
        </w:r>
      </w:hyperlink>
      <w:bookmarkEnd w:id="252"/>
      <w:r>
        <w:t xml:space="preserve">). For small grids such as Kyrgyzstan’s, the proportional impact would be substantially larger, further eroding the cost advantages documented above.</w:t>
      </w:r>
    </w:p>
    <w:p>
      <w:pPr>
        <w:spacing w:before="0" w:after="160" w:line="360" w:lineRule="auto"/>
        <w:ind w:firstLine="0"/>
        <w:jc w:val="both"/>
      </w:pPr>
      <w:r>
        <w:rPr>
          <w:rFonts w:ascii="Times New Roman" w:hAnsi="Times New Roman"/>
          <w:b w:val="0"/>
          <w:i/>
          <w:sz w:val="24"/>
        </w:rPr>
        <w:t xml:space="preserve">GPU upgrades. </w:t>
      </w:r>
      <w:r>
        <w:t>Successor GPUs (B200, shipping 2025) deliver roughly four times the training throughput at about 1 kW. Higher power draw widens the absolute electricity cost gap across countries, modestly strengthening developing-country comparative advantage. Countries operating older hardware must discount to compete, eroding their cost advantage. Qualitative findings are robust to GPU generation choices.</w:t>
      </w:r>
    </w:p>
    <w:p>
      <w:pPr>
        <w:spacing w:before="0" w:after="160" w:line="360" w:lineRule="auto"/>
        <w:ind w:firstLine="0"/>
        <w:jc w:val="both"/>
      </w:pPr>
      <w:r>
        <w:rPr>
          <w:rFonts w:ascii="Times New Roman" w:hAnsi="Times New Roman"/>
          <w:b w:val="0"/>
          <w:i/>
          <w:sz w:val="24"/>
        </w:rPr>
        <w:t xml:space="preserve">Cost of capital. </w:t>
      </w:r>
      <w:r>
        <w:t xml:space="preserve">The calibration assumes uniform financing via straight-line depreciation. In practice, the financing gap is large (</w:t>
      </w:r>
      <w:bookmarkStart w:id="230" w:name="Calcaterra2024txt"/>
      <w:hyperlink w:anchor="Calcaterra2024" w:history="1">
        <w:r>
          <w:rPr>
            <w:color w:val="1F3864"/>
            <w:u w:val="single"/>
          </w:rPr>
          <w:t xml:space="preserve">Calcaterra et al. 2024</w:t>
        </w:r>
      </w:hyperlink>
      <w:bookmarkEnd w:id="230"/>
      <w:r>
        <w:t xml:space="preserve">). An OECD hyperscaler at 8% WACC faces hardware costs of $1.58/hr; a developing-country operator at 18% pays $1.87 — a $0.29 gap on hardware alone, roughly four times the electricity cost spread across the top 20 countries. If hyperscalers finance at their own WACC regardless of host country, baseline rankings hold. If locally financed, institutional weaknesses raise the cost of capital, and the ranking of cheap-energy developing countries compresses sharply. Since most data-center FDI in practice is financed at the hyperscaler’s home WACC, this channel sets an upper bound on the developing-country discount but does not eliminate it.</w:t>
      </w:r>
    </w:p>
    <w:p>
      <w:pPr>
        <w:pStyle w:val="Heading2"/>
      </w:pPr>
      <w:r>
        <w:rPr>
          <w:rFonts w:ascii="Times New Roman" w:hAnsi="Times New Roman"/>
          <w:b w:val="0"/>
          <w:i/>
          <w:color w:val="2F5496"/>
          <w:sz w:val="24"/>
        </w:rPr>
        <w:t>7.3 Extensions</w:t>
      </w:r>
    </w:p>
    <w:p>
      <w:pPr>
        <w:spacing w:before="0" w:after="160" w:line="360" w:lineRule="auto"/>
        <w:ind w:firstLine="0"/>
        <w:jc w:val="both"/>
      </w:pPr>
      <w:r>
        <w:rPr>
          <w:rFonts w:ascii="Times New Roman" w:hAnsi="Times New Roman"/>
          <w:b w:val="0"/>
          <w:i/>
          <w:sz w:val="24"/>
        </w:rPr>
        <w:t xml:space="preserve">Edge computing. </w:t>
      </w:r>
      <w:r>
        <w:t xml:space="preserve">A further extension concerns the emerging shift from centralized inference to edge computing. As AI moves from heavy training workloads toward real-time inference on lightweight models deployed on local devices, the effective capacity ceiling for inference relaxes: inference need not be concentrated in large data centers but can be distributed across many small nodes connected via existing mobile networks. If this trend accelerates, the inference market’s HHI could fall further, and the set of countries capable of serving inference demand would expand. For EMDEs with weak grid infrastructure but adequate mobile connectivity, edge computing may offer a leapfrogging path that bypasses the grid bottlenecks central to the present model (</w:t>
      </w:r>
      <w:bookmarkStart w:id="231" w:name="AykutEtAl2026txt"/>
      <w:hyperlink w:anchor="AykutEtAl2026" w:history="1">
        <w:r>
          <w:rPr>
            <w:color w:val="1F3864"/>
            <w:u w:val="single"/>
          </w:rPr>
          <w:t xml:space="preserve">Aykut et al. 2026</w:t>
        </w:r>
      </w:hyperlink>
      <w:bookmarkEnd w:id="231"/>
      <w:r>
        <w:t xml:space="preserve">). Incorporating heterogeneous compute architectures—centralized GPU clusters for training, distributed edge nodes for inference—into the trade framework is a natural direction for future work.</w:t>
      </w:r>
    </w:p>
    <w:p>
      <w:pPr>
        <w:pStyle w:val="Heading1"/>
      </w:pPr>
      <w:r>
        <w:rPr>
          <w:rFonts w:ascii="Times New Roman" w:hAnsi="Times New Roman"/>
          <w:b/>
          <w:color w:val="2F5496"/>
          <w:sz w:val="28"/>
        </w:rPr>
        <w:t>8. Conclusion</w:t>
      </w:r>
    </w:p>
    <w:p>
      <w:pPr>
        <w:spacing w:before="0" w:after="160" w:line="360" w:lineRule="auto"/>
        <w:ind w:firstLine="0"/>
        <w:jc w:val="both"/>
      </w:pPr>
      <w:r>
        <w:t>In this paper, we develop a capacity-constrained Ricardian model of compute trade that distinguishes latency-insensitive training from latency-sensitive inference and incorporates bilateral sovereignty premia. The model identifies the conditions under which energy-rich countries can convert cheap electricity into exportable AI compute services, and the conditions under which geopolitical frictions prevent them from doing so.</w:t>
      </w:r>
    </w:p>
    <w:p>
      <w:pPr>
        <w:spacing w:before="0" w:after="160" w:line="360" w:lineRule="auto"/>
        <w:ind w:firstLine="0"/>
        <w:jc w:val="both"/>
      </w:pPr>
      <w:r>
        <w:t>The calibration on a sample of 85 countries demonstrates that because hardware is globally priced and dominates unit cost, the cross-country cost spread in compute production is far narrower than in any other tradable sector. As a result, countries with cheap electricity and favorable cooling conditions face a low absolute barrier to cost-competitiveness. At the same time, the same narrowness means that even modest frictions, such as a sovereignty premium, a governance penalty, or a higher cost of capital, are sufficient to alter a country’s trade regime. Compute is therefore simultaneously the easiest sector for developing countries to enter on cost grounds and the most vulnerable to small policy-induced distortions.</w:t>
      </w:r>
    </w:p>
    <w:p>
      <w:pPr>
        <w:spacing w:before="0" w:after="160" w:line="360" w:lineRule="auto"/>
        <w:ind w:firstLine="0"/>
        <w:jc w:val="both"/>
      </w:pPr>
      <w:r>
        <w:t xml:space="preserve">Under the bilateral sovereignty specification, trust deficits eliminate the cost advantage that developing countries hold under pure cost-recovery pricing. Compute exporting is constrained not by the price of electricity but by institutional credibility, such as non-sanctioned status, credible long-term power contracts, stable network connectivity, and a regulatory environment conducive for capital-intensive investment over a multi-decade horizon. The absence of these conditions shifts most countries toward domestic production at a nontrivial welfare cost. The welfare loss is, however, small enough that governments with legitimate data-sovereignty objectives may prefer domestic supply. </w:t>
      </w:r>
    </w:p>
    <w:p>
      <w:pPr>
        <w:spacing w:before="0" w:after="160" w:line="360" w:lineRule="auto"/>
        <w:ind w:firstLine="0"/>
        <w:jc w:val="both"/>
      </w:pPr>
      <w:r>
        <w:t>The policy implications differ by workload type. Restricting training imports raises costs without offsetting proximity gains, while domestic inference production can be justified by the genuine quality-of-service advantage that low latency confers, though this rationale weakens for countries located near low-cost neighbors.</w:t>
      </w:r>
    </w:p>
    <w:p>
      <w:pPr>
        <w:spacing w:before="0" w:after="160" w:line="360" w:lineRule="auto"/>
        <w:ind w:firstLine="0"/>
        <w:jc w:val="both"/>
      </w:pPr>
      <w:r>
        <w:t>FLOP exporting resembles capital-intensive resource processing, in which imported equipment transforms local energy into an exportable product with minimal domestic labor. But unlike extractive commodities, the underlying energy can be renewable, and compute demand is growing faster than demand for any physical commodity. The resource-curse literature warns that concentrated export revenues can lead to exchange-rate appreciation, institutional degradation, and exposure to demand cycles; whether compute-exporting countries face these risks depends on the ownership and fiscal structures they adopt. As bilateral trade-flow data emerge, the framework we developed here can be extended to gravity-style estimation, enabling sharper tests of the model’s predictions and more precise quantification of the welfare costs of sovereignty.</w:t>
      </w:r>
    </w:p>
    <w:p>
      <w:pPr>
        <w:pStyle w:val="Heading1"/>
        <w:pageBreakBefore/>
      </w:pPr>
      <w:r>
        <w:rPr>
          <w:rFonts w:ascii="Times New Roman" w:hAnsi="Times New Roman"/>
          <w:b/>
          <w:color w:val="2F5496"/>
          <w:sz w:val="28"/>
        </w:rPr>
        <w:t>References</w:t>
      </w:r>
    </w:p>
    <w:p>
      <w:pPr>
        <w:spacing w:before="0" w:after="80" w:line="240" w:lineRule="exact"/>
        <w:ind w:hanging="720" w:left="720"/>
        <w:jc w:val="both"/>
      </w:pPr>
      <w:bookmarkStart w:id="500" w:name="ACR2012"/>
      <w:hyperlink w:anchor="ACR2012txt" w:history="1">
        <w:r>
          <w:rPr>
            <w:color w:val="1F3864"/>
            <w:u w:val="single"/>
          </w:rPr>
          <w:t xml:space="preserve">Arkolakis, C., A. Costinot, and A. Rodríguez-Clare. (2012). </w:t>
        </w:r>
      </w:hyperlink>
      <w:r>
        <w:t xml:space="preserve">“New Trade Models, Same Old Gains?” </w:t>
      </w:r>
      <w:r>
        <w:rPr>
          <w:i/>
        </w:rPr>
        <w:t>American Economic Review</w:t>
      </w:r>
      <w:r>
        <w:t>, 102(1): 94–130.</w:t>
      </w:r>
      <w:bookmarkEnd w:id="500"/>
    </w:p>
    <w:p>
      <w:pPr>
        <w:spacing w:before="0" w:after="80" w:line="240" w:lineRule="exact"/>
        <w:ind w:hanging="720" w:left="720"/>
        <w:jc w:val="both"/>
      </w:pPr>
      <w:bookmarkStart w:id="501" w:name="ADB2020"/>
      <w:hyperlink w:anchor="ADB2020txt" w:history="1">
        <w:r>
          <w:rPr>
            <w:color w:val="1F3864"/>
            <w:u w:val="single"/>
          </w:rPr>
          <w:t xml:space="preserve">Asian Development Bank. (2020). </w:t>
        </w:r>
      </w:hyperlink>
      <w:r>
        <w:t>“Toktogul Rehabilitation Project Phase 3: Sector Assessment.” Asian Development Bank. Report No. 49013-002.</w:t>
      </w:r>
      <w:bookmarkEnd w:id="501"/>
    </w:p>
    <w:p>
      <w:pPr>
        <w:spacing w:before="0" w:after="80" w:line="240" w:lineRule="exact"/>
        <w:ind w:hanging="720" w:left="720"/>
        <w:jc w:val="both"/>
      </w:pPr>
      <w:bookmarkStart w:id="502" w:name="AykutEtAl2026"/>
      <w:hyperlink w:anchor="AykutEtAl2026txt" w:history="1">
        <w:r>
          <w:rPr>
            <w:color w:val="1F3864"/>
            <w:u w:val="single"/>
          </w:rPr>
          <w:t xml:space="preserve">Aykut, D., S. Ozyurt, K. Jung, and E. Vergara Cobos. (2026). </w:t>
        </w:r>
      </w:hyperlink>
      <w:r>
        <w:t xml:space="preserve">“Data Center and AI Investment in EMDEs: Risks and Opportunities.” </w:t>
      </w:r>
      <w:r>
        <w:rPr>
          <w:i/>
        </w:rPr>
        <w:t>Watch This Space</w:t>
      </w:r>
      <w:r>
        <w:t xml:space="preserve">. Washington, DC: </w:t>
      </w:r>
      <w:bookmarkStart w:id="232" w:name="WorldBank2024txt"/>
      <w:hyperlink w:anchor="WorldBank2024" w:history="1">
        <w:r>
          <w:rPr>
            <w:color w:val="1F3864"/>
            <w:u w:val="single"/>
          </w:rPr>
          <w:t xml:space="preserve">World Bank</w:t>
        </w:r>
      </w:hyperlink>
      <w:bookmarkEnd w:id="232"/>
      <w:r>
        <w:t xml:space="preserve"> Group.</w:t>
      </w:r>
      <w:bookmarkEnd w:id="502"/>
    </w:p>
    <w:p>
      <w:pPr>
        <w:spacing w:before="0" w:after="80" w:line="240" w:lineRule="exact"/>
        <w:ind w:hanging="720" w:left="720"/>
        <w:jc w:val="both"/>
      </w:pPr>
      <w:bookmarkStart w:id="503" w:name="BaileyEtAl2017"/>
      <w:hyperlink w:anchor="BaileyEtAl2017txt" w:history="1">
        <w:r>
          <w:rPr>
            <w:color w:val="1F3864"/>
            <w:u w:val="single"/>
          </w:rPr>
          <w:t xml:space="preserve">Bailey, M., A. Strezhnev, and E. Voeten. (2017). </w:t>
        </w:r>
      </w:hyperlink>
      <w:r>
        <w:t xml:space="preserve">“Estimating Dynamic State Preferences from United Nations Voting Data.” </w:t>
      </w:r>
      <w:r>
        <w:rPr>
          <w:i/>
        </w:rPr>
        <w:t>Journal of Conflict Resolution</w:t>
      </w:r>
      <w:r>
        <w:t>, 61(2): 430–456.</w:t>
      </w:r>
      <w:bookmarkEnd w:id="503"/>
    </w:p>
    <w:p>
      <w:pPr>
        <w:spacing w:before="0" w:after="80" w:line="240" w:lineRule="exact"/>
        <w:ind w:hanging="720" w:left="720"/>
        <w:jc w:val="both"/>
      </w:pPr>
      <w:bookmarkStart w:id="504" w:name="Barroso2018"/>
      <w:hyperlink w:anchor="Barroso2018txt" w:history="1">
        <w:r>
          <w:rPr>
            <w:color w:val="1F3864"/>
            <w:u w:val="single"/>
          </w:rPr>
          <w:t xml:space="preserve">Barroso, L., U. Hölzle, and P. Ranganathan. </w:t>
        </w:r>
      </w:hyperlink>
      <w:r>
        <w:t xml:space="preserve">(2018). </w:t>
      </w:r>
      <w:r>
        <w:rPr>
          <w:i/>
        </w:rPr>
        <w:t>The Datacenter as a Computer</w:t>
      </w:r>
      <w:r>
        <w:t>: Designing Warehouse-Scale Machines, 3rd ed. San Rafael, CA: Morgan &amp; Claypool.</w:t>
      </w:r>
      <w:bookmarkEnd w:id="504"/>
    </w:p>
    <w:p>
      <w:pPr>
        <w:spacing w:before="0" w:after="80" w:line="240" w:lineRule="exact"/>
        <w:ind w:hanging="720" w:left="720"/>
        <w:jc w:val="both"/>
      </w:pPr>
      <w:bookmarkStart w:id="505" w:name="BenzJaax2020"/>
      <w:r>
        <w:rPr>
          <w:color w:val="1F3864"/>
          <w:u w:val="single"/>
        </w:rPr>
        <w:t xml:space="preserve">Benz, S. and A. Jaax. (2020). </w:t>
      </w:r>
      <w:r>
        <w:t xml:space="preserve">“The Costs of Regulatory Barriers to Trade in Services: New Estimates of Ad Valorem Tariff Equivalents.” </w:t>
      </w:r>
      <w:r>
        <w:rPr>
          <w:i/>
        </w:rPr>
        <w:t>OECD Trade Policy Papers</w:t>
      </w:r>
      <w:r>
        <w:t>, No. 238. Paris: OECD Publishing.</w:t>
      </w:r>
      <w:bookmarkEnd w:id="505"/>
    </w:p>
    <w:p>
      <w:pPr>
        <w:spacing w:before="0" w:after="80" w:line="240" w:lineRule="exact"/>
        <w:ind w:hanging="720" w:left="720"/>
        <w:jc w:val="both"/>
      </w:pPr>
      <w:bookmarkStart w:id="506" w:name="Biglaiser2024"/>
      <w:hyperlink w:anchor="Biglaiser2024txt" w:history="1">
        <w:r>
          <w:rPr>
            <w:color w:val="1F3864"/>
            <w:u w:val="single"/>
          </w:rPr>
          <w:t xml:space="preserve">Biglaiser, G., J. Crémer, and A. Mantovani. (2024). </w:t>
        </w:r>
      </w:hyperlink>
      <w:r>
        <w:t xml:space="preserve">“The Economics of the Cloud.” </w:t>
      </w:r>
      <w:r>
        <w:rPr>
          <w:i/>
        </w:rPr>
        <w:t>Toulouse School of Economics Working Paper</w:t>
      </w:r>
      <w:r>
        <w:t xml:space="preserve"> No. 24-1520.</w:t>
      </w:r>
      <w:bookmarkEnd w:id="506"/>
    </w:p>
    <w:p>
      <w:pPr>
        <w:spacing w:before="0" w:after="80" w:line="240" w:lineRule="exact"/>
        <w:ind w:hanging="720" w:left="720"/>
        <w:jc w:val="both"/>
      </w:pPr>
      <w:bookmarkStart w:id="507" w:name="Blinder2006"/>
      <w:hyperlink w:anchor="Blinder2006txt" w:history="1">
        <w:r>
          <w:rPr>
            <w:color w:val="1F3864"/>
            <w:u w:val="single"/>
          </w:rPr>
          <w:t xml:space="preserve">Blinder, A. (2006). </w:t>
        </w:r>
      </w:hyperlink>
      <w:r>
        <w:t xml:space="preserve">“Offshoring: The Next Industrial Revolution?” </w:t>
      </w:r>
      <w:r>
        <w:rPr>
          <w:i/>
        </w:rPr>
        <w:t>Foreign Affairs</w:t>
      </w:r>
      <w:r>
        <w:t>, 85(2): 113–128.</w:t>
      </w:r>
      <w:bookmarkEnd w:id="507"/>
    </w:p>
    <w:p>
      <w:pPr>
        <w:spacing w:before="0" w:after="80" w:line="240" w:lineRule="exact"/>
        <w:ind w:hanging="720" w:left="720"/>
        <w:jc w:val="both"/>
      </w:pPr>
      <w:bookmarkStart w:id="508" w:name="Brainard1997"/>
      <w:hyperlink w:anchor="Brainard1997txt" w:history="1">
        <w:r>
          <w:rPr>
            <w:color w:val="1F3864"/>
            <w:u w:val="single"/>
          </w:rPr>
          <w:t xml:space="preserve">Brainard, S. (1997). </w:t>
        </w:r>
      </w:hyperlink>
      <w:r>
        <w:t xml:space="preserve">“An Empirical Assessment of the Proximity-Concentration Trade-off.” </w:t>
      </w:r>
      <w:r>
        <w:rPr>
          <w:i/>
        </w:rPr>
        <w:t>American Economic Review</w:t>
      </w:r>
      <w:r>
        <w:t>, 87(4): 520–544.</w:t>
      </w:r>
      <w:bookmarkEnd w:id="508"/>
    </w:p>
    <w:p>
      <w:pPr>
        <w:spacing w:before="0" w:after="80" w:line="240" w:lineRule="exact"/>
        <w:ind w:hanging="720" w:left="720"/>
        <w:jc w:val="both"/>
      </w:pPr>
      <w:bookmarkStart w:id="509" w:name="Calcaterra2024"/>
      <w:hyperlink w:anchor="Calcaterra2024txt" w:history="1">
        <w:r>
          <w:rPr>
            <w:color w:val="1F3864"/>
            <w:u w:val="single"/>
          </w:rPr>
          <w:t xml:space="preserve">Calcaterra, M., L. Reis, P. Fragkos, T. Briera, H. Boer, F. Egli, J. Emmerling, G. Iyer, S. Mittal, F. Polzin, M. Sanders, T. Schmidt, A. Serebriakova, and B. Steffen. (2024). </w:t>
        </w:r>
      </w:hyperlink>
      <w:r>
        <w:t xml:space="preserve">“Reducing the Cost of Capital to Finance the Energy Transition in Developing Countries.” </w:t>
      </w:r>
      <w:r>
        <w:rPr>
          <w:i/>
        </w:rPr>
        <w:t>Nature Energy</w:t>
      </w:r>
      <w:r>
        <w:t>, 9(10): 1241–1251.</w:t>
      </w:r>
      <w:bookmarkEnd w:id="509"/>
    </w:p>
    <w:p>
      <w:pPr>
        <w:spacing w:before="0" w:after="80" w:line="240" w:lineRule="exact"/>
        <w:ind w:hanging="720" w:left="720"/>
        <w:jc w:val="both"/>
      </w:pPr>
      <w:bookmarkStart w:id="510" w:name="CaouiSteck2025"/>
      <w:hyperlink w:anchor="CaouiSteck2025txt" w:history="1">
        <w:r>
          <w:rPr>
            <w:color w:val="1F3864"/>
            <w:u w:val="single"/>
          </w:rPr>
          <w:t xml:space="preserve">Caoui, E. H., and A. Steck. (2025). </w:t>
        </w:r>
      </w:hyperlink>
      <w:r>
        <w:t xml:space="preserve">“Content Providers and the Deployment of Internet Infrastructure.” </w:t>
      </w:r>
      <w:r>
        <w:rPr>
          <w:i/>
        </w:rPr>
        <w:t>Information Economics and Policy</w:t>
      </w:r>
      <w:r>
        <w:t>. doi:10.1016/j.infoecopol.2025.101134.</w:t>
      </w:r>
      <w:bookmarkEnd w:id="510"/>
    </w:p>
    <w:p>
      <w:pPr>
        <w:spacing w:before="0" w:after="80" w:line="240" w:lineRule="exact"/>
        <w:ind w:hanging="720" w:left="720"/>
        <w:jc w:val="both"/>
      </w:pPr>
      <w:bookmarkStart w:id="511" w:name="Chandramowli2024"/>
      <w:hyperlink w:anchor="Chandramowli2024txt" w:history="1">
        <w:r>
          <w:rPr>
            <w:color w:val="1F3864"/>
            <w:u w:val="single"/>
          </w:rPr>
          <w:t xml:space="preserve">Chandramowli, S., et al. (2024). </w:t>
        </w:r>
      </w:hyperlink>
      <w:r>
        <w:t xml:space="preserve">“Impact of Emerging Technologies on Electricity Demand and Prices.” </w:t>
      </w:r>
      <w:r>
        <w:rPr>
          <w:i/>
        </w:rPr>
        <w:t>Rhodium Group Analysis</w:t>
      </w:r>
      <w:r>
        <w:t>.</w:t>
      </w:r>
      <w:bookmarkEnd w:id="511"/>
    </w:p>
    <w:p>
      <w:pPr>
        <w:spacing w:before="0" w:after="80" w:line="240" w:lineRule="exact"/>
        <w:ind w:hanging="720" w:left="720"/>
        <w:jc w:val="both"/>
      </w:pPr>
      <w:bookmarkStart w:id="512" w:name="Cloudscene2025"/>
      <w:hyperlink w:anchor="Cloudscene2025txt" w:history="1">
        <w:r>
          <w:rPr>
            <w:color w:val="1F3864"/>
            <w:u w:val="single"/>
          </w:rPr>
          <w:t xml:space="preserve">Cloudscene. </w:t>
        </w:r>
      </w:hyperlink>
      <w:r>
        <w:t xml:space="preserve">(2025). </w:t>
      </w:r>
      <w:r>
        <w:rPr>
          <w:i/>
        </w:rPr>
        <w:t>Global Data Center Directory</w:t>
      </w:r>
      <w:r>
        <w:t>. cloudscene.com.</w:t>
      </w:r>
      <w:bookmarkEnd w:id="512"/>
    </w:p>
    <w:p>
      <w:pPr>
        <w:spacing w:before="0" w:after="80" w:line="240" w:lineRule="exact"/>
        <w:ind w:hanging="720" w:left="720"/>
        <w:jc w:val="both"/>
      </w:pPr>
      <w:bookmarkStart w:id="513" w:name="Deloitte2020"/>
      <w:hyperlink w:anchor="Deloitte2020txt" w:history="1">
        <w:r>
          <w:rPr>
            <w:color w:val="1F3864"/>
            <w:u w:val="single"/>
          </w:rPr>
          <w:t xml:space="preserve">Deloitte and Google. (2020). </w:t>
        </w:r>
      </w:hyperlink>
      <w:r>
        <w:t>“Milliseconds Make Millions.” Deloitte Digital and Google.</w:t>
      </w:r>
      <w:bookmarkEnd w:id="513"/>
    </w:p>
    <w:p>
      <w:pPr>
        <w:spacing w:before="0" w:after="80" w:line="240" w:lineRule="exact"/>
        <w:ind w:hanging="720" w:left="720"/>
        <w:jc w:val="both"/>
      </w:pPr>
      <w:bookmarkStart w:id="514" w:name="Deloitte2025"/>
      <w:hyperlink w:anchor="Deloitte2025txt" w:history="1">
        <w:r>
          <w:rPr>
            <w:color w:val="1F3864"/>
            <w:u w:val="single"/>
          </w:rPr>
          <w:t xml:space="preserve">Deloitte. (2025). </w:t>
        </w:r>
      </w:hyperlink>
      <w:r>
        <w:t xml:space="preserve">“Technology, Media, and Telecommunications Predictions 2026.” </w:t>
      </w:r>
      <w:r>
        <w:rPr>
          <w:i/>
        </w:rPr>
        <w:t>Deloitte Insights</w:t>
      </w:r>
      <w:r>
        <w:t>.</w:t>
      </w:r>
      <w:bookmarkEnd w:id="514"/>
    </w:p>
    <w:p>
      <w:pPr>
        <w:spacing w:before="0" w:after="80" w:line="240" w:lineRule="exact"/>
        <w:ind w:hanging="720" w:left="720"/>
        <w:jc w:val="both"/>
      </w:pPr>
      <w:bookmarkStart w:id="515" w:name="EatonKortum2002"/>
      <w:hyperlink w:anchor="EatonKortum2002txt" w:history="1">
        <w:r>
          <w:rPr>
            <w:color w:val="1F3864"/>
            <w:u w:val="single"/>
          </w:rPr>
          <w:t xml:space="preserve">Eaton, J., and S. Kortum. (2002). </w:t>
        </w:r>
      </w:hyperlink>
      <w:r>
        <w:t xml:space="preserve">“Technology, Geography, and Trade.” </w:t>
      </w:r>
      <w:r>
        <w:rPr>
          <w:i/>
        </w:rPr>
        <w:t>Econometrica</w:t>
      </w:r>
      <w:r>
        <w:t>, 70(5): 1741–1779.</w:t>
      </w:r>
      <w:bookmarkEnd w:id="515"/>
    </w:p>
    <w:p>
      <w:pPr>
        <w:spacing w:before="0" w:after="80" w:line="240" w:lineRule="exact"/>
        <w:ind w:hanging="720" w:left="720"/>
        <w:jc w:val="both"/>
      </w:pPr>
      <w:bookmarkStart w:id="516" w:name="EIA2025"/>
      <w:hyperlink w:anchor="EIA2025txt" w:history="1">
        <w:r>
          <w:rPr>
            <w:color w:val="1F3864"/>
            <w:u w:val="single"/>
          </w:rPr>
          <w:t xml:space="preserve">EIA. </w:t>
        </w:r>
      </w:hyperlink>
      <w:r>
        <w:t xml:space="preserve">(2025). </w:t>
      </w:r>
      <w:r>
        <w:rPr>
          <w:i/>
        </w:rPr>
        <w:t>Electric Power Monthly</w:t>
      </w:r>
      <w:r>
        <w:t>. U.S. Energy Information Administration.</w:t>
      </w:r>
      <w:bookmarkEnd w:id="516"/>
    </w:p>
    <w:p>
      <w:pPr>
        <w:spacing w:before="0" w:after="80" w:line="240" w:lineRule="exact"/>
        <w:ind w:hanging="720" w:left="720"/>
        <w:jc w:val="both"/>
      </w:pPr>
      <w:bookmarkStart w:id="517" w:name="EpochAI2024"/>
      <w:hyperlink w:anchor="EpochAI2024txt" w:history="1">
        <w:r>
          <w:rPr>
            <w:color w:val="1F3864"/>
            <w:u w:val="single"/>
          </w:rPr>
          <w:t xml:space="preserve">Epoch AI. (2024). </w:t>
        </w:r>
      </w:hyperlink>
      <w:r>
        <w:t>“The Training Compute of Notable AI Models.” epochai.org.</w:t>
      </w:r>
      <w:bookmarkEnd w:id="517"/>
    </w:p>
    <w:p>
      <w:pPr>
        <w:spacing w:before="0" w:after="80" w:line="240" w:lineRule="exact"/>
        <w:ind w:hanging="720" w:left="720"/>
        <w:jc w:val="both"/>
      </w:pPr>
      <w:bookmarkStart w:id="518" w:name="Eurostat2025"/>
      <w:hyperlink w:anchor="Eurostat2025txt" w:history="1">
        <w:r>
          <w:rPr>
            <w:color w:val="1F3864"/>
            <w:u w:val="single"/>
          </w:rPr>
          <w:t xml:space="preserve">Eurostat. </w:t>
        </w:r>
      </w:hyperlink>
      <w:r>
        <w:t xml:space="preserve">(2025). </w:t>
      </w:r>
      <w:r>
        <w:rPr>
          <w:i/>
        </w:rPr>
        <w:t>Electricity Prices for Non-Household Consumers (nrg_pc_205)</w:t>
      </w:r>
      <w:r>
        <w:t>. Luxembourg: Eurostat.</w:t>
      </w:r>
      <w:bookmarkEnd w:id="518"/>
    </w:p>
    <w:p>
      <w:pPr>
        <w:spacing w:before="0" w:after="80" w:line="240" w:lineRule="exact"/>
        <w:ind w:hanging="720" w:left="720"/>
        <w:jc w:val="both"/>
      </w:pPr>
      <w:bookmarkStart w:id="519" w:name="Firebird2026"/>
      <w:hyperlink w:anchor="Firebird2026txt" w:history="1">
        <w:r>
          <w:rPr>
            <w:color w:val="1F3864"/>
            <w:u w:val="single"/>
          </w:rPr>
          <w:t xml:space="preserve">Firebird. (2026). </w:t>
        </w:r>
      </w:hyperlink>
      <w:r>
        <w:t>“Phase 2 of Armenia AI Megaproject, Scaling to $4 Billion and 50,000 GPUs.” Press release, January 2026.</w:t>
      </w:r>
      <w:bookmarkEnd w:id="519"/>
    </w:p>
    <w:p>
      <w:pPr>
        <w:spacing w:before="0" w:after="80" w:line="240" w:lineRule="exact"/>
        <w:ind w:hanging="720" w:left="720"/>
        <w:jc w:val="both"/>
      </w:pPr>
      <w:bookmarkStart w:id="520" w:name="Flucker2013"/>
      <w:hyperlink w:anchor="Flucker2013txt" w:history="1">
        <w:r>
          <w:rPr>
            <w:color w:val="1F3864"/>
            <w:u w:val="single"/>
          </w:rPr>
          <w:t xml:space="preserve">Flucker, S., R. Tozer, and R. Whitehead. (2013). </w:t>
        </w:r>
      </w:hyperlink>
      <w:r>
        <w:t xml:space="preserve">“Data Centre Energy Efficiency Analysis to Minimize Total Cost of Ownership.” </w:t>
      </w:r>
      <w:r>
        <w:rPr>
          <w:i/>
        </w:rPr>
        <w:t>Building Services Engineering Research and Technology</w:t>
      </w:r>
      <w:r>
        <w:t>, 34(1): 103–117.</w:t>
      </w:r>
      <w:bookmarkEnd w:id="520"/>
    </w:p>
    <w:p>
      <w:pPr>
        <w:spacing w:before="0" w:after="80" w:line="240" w:lineRule="exact"/>
        <w:ind w:hanging="720" w:left="720"/>
        <w:jc w:val="both"/>
      </w:pPr>
      <w:bookmarkStart w:id="521" w:name="GlobalPetrolPrices2025"/>
      <w:hyperlink w:anchor="GlobalPetrolPrices2025txt" w:history="1">
        <w:r>
          <w:rPr>
            <w:color w:val="1F3864"/>
            <w:u w:val="single"/>
          </w:rPr>
          <w:t xml:space="preserve">GlobalPetrolPrices. </w:t>
        </w:r>
      </w:hyperlink>
      <w:r>
        <w:t xml:space="preserve">(2025). </w:t>
      </w:r>
      <w:r>
        <w:rPr>
          <w:i/>
        </w:rPr>
        <w:t>Electricity Prices Around the World</w:t>
      </w:r>
      <w:r>
        <w:t>. globalpetrolprices.com.</w:t>
      </w:r>
      <w:bookmarkEnd w:id="521"/>
    </w:p>
    <w:p>
      <w:pPr>
        <w:spacing w:before="0" w:after="80" w:line="240" w:lineRule="exact"/>
        <w:ind w:hanging="720" w:left="720"/>
        <w:jc w:val="both"/>
      </w:pPr>
      <w:bookmarkStart w:id="522" w:name="Goldfarb2018"/>
      <w:hyperlink w:anchor="Goldfarb2018txt" w:history="1">
        <w:r>
          <w:rPr>
            <w:color w:val="1F3864"/>
            <w:u w:val="single"/>
          </w:rPr>
          <w:t xml:space="preserve">Goldfarb, A., and D. Trefler. (2018). </w:t>
        </w:r>
      </w:hyperlink>
      <w:r>
        <w:t xml:space="preserve">“AI and International Trade.” In </w:t>
      </w:r>
      <w:r>
        <w:rPr>
          <w:i/>
        </w:rPr>
        <w:t>The Economics of Artificial Intelligence</w:t>
      </w:r>
      <w:r>
        <w:t>. Chicago: Univ. of Chicago Press, pp. 463–492.</w:t>
      </w:r>
      <w:bookmarkEnd w:id="522"/>
    </w:p>
    <w:p>
      <w:pPr>
        <w:spacing w:before="0" w:after="80" w:line="240" w:lineRule="exact"/>
        <w:ind w:hanging="720" w:left="720"/>
        <w:jc w:val="both"/>
      </w:pPr>
      <w:bookmarkStart w:id="523" w:name="Google2024"/>
      <w:hyperlink w:anchor="Google2024txt" w:history="1">
        <w:r>
          <w:rPr>
            <w:color w:val="1F3864"/>
            <w:u w:val="single"/>
          </w:rPr>
          <w:t xml:space="preserve">Google. </w:t>
        </w:r>
      </w:hyperlink>
      <w:r>
        <w:t xml:space="preserve">(2024). </w:t>
      </w:r>
      <w:r>
        <w:rPr>
          <w:i/>
        </w:rPr>
        <w:t>2024 Environmental Report</w:t>
      </w:r>
      <w:r>
        <w:t>. sustainability.google.</w:t>
      </w:r>
      <w:bookmarkEnd w:id="523"/>
    </w:p>
    <w:p>
      <w:pPr>
        <w:spacing w:before="0" w:after="80" w:line="240" w:lineRule="exact"/>
        <w:ind w:hanging="720" w:left="720"/>
        <w:jc w:val="both"/>
      </w:pPr>
      <w:bookmarkStart w:id="524" w:name="Hausmann2007"/>
      <w:hyperlink w:anchor="Hausmann2007txt" w:history="1">
        <w:r>
          <w:rPr>
            <w:color w:val="1F3864"/>
            <w:u w:val="single"/>
          </w:rPr>
          <w:t xml:space="preserve">Hausmann, R., J. Hwang, and D. Rodrik. (2007). </w:t>
        </w:r>
      </w:hyperlink>
      <w:r>
        <w:t xml:space="preserve">“What You Export Matters.” </w:t>
      </w:r>
      <w:r>
        <w:rPr>
          <w:i/>
        </w:rPr>
        <w:t>Journal of Economic Growth</w:t>
      </w:r>
      <w:r>
        <w:t>, 12(1): 1–25.</w:t>
      </w:r>
      <w:bookmarkEnd w:id="524"/>
    </w:p>
    <w:p>
      <w:pPr>
        <w:spacing w:before="0" w:after="80" w:line="240" w:lineRule="exact"/>
        <w:ind w:hanging="720" w:left="720"/>
        <w:jc w:val="both"/>
      </w:pPr>
      <w:bookmarkStart w:id="525" w:name="Heckscher1919"/>
      <w:hyperlink w:anchor="Heckscher1919txt" w:history="1">
        <w:r>
          <w:rPr>
            <w:color w:val="1F3864"/>
            <w:u w:val="single"/>
          </w:rPr>
          <w:t xml:space="preserve">Heckscher, E. (1919). </w:t>
        </w:r>
      </w:hyperlink>
      <w:r>
        <w:t xml:space="preserve">“The Effect of Foreign Trade on the Distribution of Income.” </w:t>
      </w:r>
      <w:r>
        <w:rPr>
          <w:i/>
        </w:rPr>
        <w:t>Ekonomisk Tidskrift</w:t>
      </w:r>
      <w:r>
        <w:t>, 21: 497–512.</w:t>
      </w:r>
      <w:bookmarkEnd w:id="525"/>
    </w:p>
    <w:p>
      <w:pPr>
        <w:spacing w:before="0" w:after="80" w:line="240" w:lineRule="exact"/>
        <w:ind w:hanging="720" w:left="720"/>
        <w:jc w:val="both"/>
      </w:pPr>
      <w:bookmarkStart w:id="526" w:name="HMY2004"/>
      <w:hyperlink w:anchor="HMY2004txt" w:history="1">
        <w:r>
          <w:rPr>
            <w:color w:val="1F3864"/>
            <w:u w:val="single"/>
          </w:rPr>
          <w:t xml:space="preserve">Helpman, E., M. Melitz, and S. Yeaple. (2004). </w:t>
        </w:r>
      </w:hyperlink>
      <w:r>
        <w:t xml:space="preserve">“Export Versus FDI with Heterogeneous Firms.” </w:t>
      </w:r>
      <w:r>
        <w:rPr>
          <w:i/>
        </w:rPr>
        <w:t>American Economic Review</w:t>
      </w:r>
      <w:r>
        <w:t>, 94(1): 300–316.</w:t>
      </w:r>
      <w:bookmarkEnd w:id="526"/>
    </w:p>
    <w:p>
      <w:pPr>
        <w:spacing w:before="0" w:after="80" w:line="240" w:lineRule="exact"/>
        <w:ind w:hanging="720" w:left="720"/>
        <w:jc w:val="both"/>
      </w:pPr>
      <w:bookmarkStart w:id="527" w:name="Hersbach2020"/>
      <w:hyperlink w:anchor="Hersbach2020txt" w:history="1">
        <w:r>
          <w:rPr>
            <w:color w:val="1F3864"/>
            <w:u w:val="single"/>
          </w:rPr>
          <w:t xml:space="preserve">Hersbach, H., et al. (2020). </w:t>
        </w:r>
      </w:hyperlink>
      <w:r>
        <w:t xml:space="preserve">“The ERA5 Global Reanalysis.” </w:t>
      </w:r>
      <w:r>
        <w:rPr>
          <w:i/>
        </w:rPr>
        <w:t>Quarterly Journal of the Royal Meteorological Society</w:t>
      </w:r>
      <w:r>
        <w:t>, 146(730): 1999–2049.</w:t>
      </w:r>
      <w:bookmarkEnd w:id="527"/>
    </w:p>
    <w:p>
      <w:pPr>
        <w:spacing w:before="0" w:after="80" w:line="240" w:lineRule="exact"/>
        <w:ind w:hanging="720" w:left="720"/>
        <w:jc w:val="both"/>
      </w:pPr>
      <w:bookmarkStart w:id="528" w:name="IEA2025"/>
      <w:hyperlink w:anchor="IEA2025txt" w:history="1">
        <w:r>
          <w:rPr>
            <w:color w:val="1F3864"/>
            <w:u w:val="single"/>
          </w:rPr>
          <w:t xml:space="preserve">IEA. (2025). </w:t>
        </w:r>
      </w:hyperlink>
      <w:r>
        <w:t>“Energy Demand from AI.” Published online at iea.org.</w:t>
      </w:r>
      <w:bookmarkEnd w:id="528"/>
    </w:p>
    <w:p>
      <w:pPr>
        <w:spacing w:before="0" w:after="80" w:line="240" w:lineRule="exact"/>
        <w:ind w:hanging="720" w:left="720"/>
        <w:jc w:val="both"/>
      </w:pPr>
      <w:bookmarkStart w:id="529" w:name="IMF2025"/>
      <w:hyperlink w:anchor="IMF2025txt" w:history="1">
        <w:r>
          <w:rPr>
            <w:color w:val="1F3864"/>
            <w:u w:val="single"/>
          </w:rPr>
          <w:t xml:space="preserve">IMF. (2025). </w:t>
        </w:r>
      </w:hyperlink>
      <w:r>
        <w:t xml:space="preserve">“Fossil Fuel Subsidies Data: 2025 Update.” </w:t>
      </w:r>
      <w:r>
        <w:rPr>
          <w:i/>
        </w:rPr>
        <w:t>IMF Working Paper</w:t>
      </w:r>
      <w:r>
        <w:t xml:space="preserve"> WP/25/270.</w:t>
      </w:r>
      <w:bookmarkEnd w:id="529"/>
    </w:p>
    <w:p>
      <w:pPr>
        <w:spacing w:before="0" w:after="80" w:line="240" w:lineRule="exact"/>
        <w:ind w:hanging="720" w:left="720"/>
        <w:jc w:val="both"/>
      </w:pPr>
      <w:bookmarkStart w:id="530" w:name="KatzEtAl2025"/>
      <w:hyperlink w:anchor="KatzEtAl2025txt" w:history="1">
        <w:r>
          <w:rPr>
            <w:color w:val="1F3864"/>
            <w:u w:val="single"/>
          </w:rPr>
          <w:t xml:space="preserve">Katz, R., K. Jung, and F. Callorda. (2025). </w:t>
        </w:r>
      </w:hyperlink>
      <w:r>
        <w:t>“The Economic Impact of AI and Cloud Investment in Asia-Pacific.” Report prepared for the Asian Development Bank.</w:t>
      </w:r>
      <w:bookmarkEnd w:id="530"/>
    </w:p>
    <w:p>
      <w:pPr>
        <w:spacing w:before="0" w:after="80" w:line="240" w:lineRule="exact"/>
        <w:ind w:hanging="720" w:left="720"/>
        <w:jc w:val="both"/>
      </w:pPr>
      <w:bookmarkStart w:id="531" w:name="Korinek2021"/>
      <w:hyperlink w:anchor="Korinek2021txt" w:history="1">
        <w:r>
          <w:rPr>
            <w:color w:val="1F3864"/>
            <w:u w:val="single"/>
          </w:rPr>
          <w:t xml:space="preserve">Korinek, A., and J. Stiglitz. (2021). </w:t>
        </w:r>
      </w:hyperlink>
      <w:r>
        <w:t xml:space="preserve">“AI, Globalization, and Strategies for Economic Development.” </w:t>
      </w:r>
      <w:r>
        <w:rPr>
          <w:i/>
        </w:rPr>
        <w:t>NBER Working Paper</w:t>
      </w:r>
      <w:r>
        <w:t xml:space="preserve"> No. 28453.</w:t>
      </w:r>
      <w:bookmarkEnd w:id="531"/>
    </w:p>
    <w:p>
      <w:pPr>
        <w:spacing w:before="0" w:after="80" w:line="240" w:lineRule="exact"/>
        <w:ind w:hanging="720" w:left="720"/>
        <w:jc w:val="both"/>
      </w:pPr>
      <w:bookmarkStart w:id="532" w:name="Krugman1991"/>
      <w:hyperlink w:anchor="Krugman1991txt" w:history="1">
        <w:r>
          <w:rPr>
            <w:color w:val="1F3864"/>
            <w:u w:val="single"/>
          </w:rPr>
          <w:t xml:space="preserve">Krugman, P. (1991). </w:t>
        </w:r>
      </w:hyperlink>
      <w:r>
        <w:t xml:space="preserve">“Increasing Returns and Economic Geography.” </w:t>
      </w:r>
      <w:r>
        <w:rPr>
          <w:i/>
        </w:rPr>
        <w:t>Journal of Political Economy</w:t>
      </w:r>
      <w:r>
        <w:t>, 99(3): 483–499.</w:t>
      </w:r>
      <w:bookmarkEnd w:id="532"/>
    </w:p>
    <w:p>
      <w:pPr>
        <w:spacing w:before="0" w:after="80" w:line="240" w:lineRule="exact"/>
        <w:ind w:hanging="720" w:left="720"/>
        <w:jc w:val="both"/>
      </w:pPr>
      <w:bookmarkStart w:id="533" w:name="Lazard2025"/>
      <w:hyperlink w:anchor="Lazard2025txt" w:history="1">
        <w:r>
          <w:rPr>
            <w:color w:val="1F3864"/>
            <w:u w:val="single"/>
          </w:rPr>
          <w:t xml:space="preserve">Lazard. </w:t>
        </w:r>
      </w:hyperlink>
      <w:r>
        <w:t xml:space="preserve">(2025). </w:t>
      </w:r>
      <w:r>
        <w:rPr>
          <w:i/>
        </w:rPr>
        <w:t>Lazard’s Levelized Cost of Energy Analysis, Version 17.0</w:t>
      </w:r>
      <w:r>
        <w:t>. lazard.com.</w:t>
      </w:r>
      <w:bookmarkEnd w:id="533"/>
    </w:p>
    <w:p>
      <w:pPr>
        <w:spacing w:before="0" w:after="80" w:line="240" w:lineRule="exact"/>
        <w:ind w:hanging="720" w:left="720"/>
        <w:jc w:val="both"/>
      </w:pPr>
      <w:bookmarkStart w:id="534" w:name="Lehdonvirta2024"/>
      <w:hyperlink w:anchor="Lehdonvirta2024txt" w:history="1">
        <w:r>
          <w:rPr>
            <w:color w:val="1F3864"/>
            <w:u w:val="single"/>
          </w:rPr>
          <w:t xml:space="preserve">Lehdonvirta, V., B. Wu, and Z. Hawkins. (2024). </w:t>
        </w:r>
      </w:hyperlink>
      <w:r>
        <w:t xml:space="preserve">“Compute North vs. Compute South: The Uneven Possibilities of Compute-Based AI Governance Around the Globe.” </w:t>
      </w:r>
      <w:r>
        <w:rPr>
          <w:i/>
        </w:rPr>
        <w:t>Proceedings of the AAAI/ACM Conference on AI, Ethics, and Society</w:t>
      </w:r>
      <w:r>
        <w:t>, 7(1): 828–838.</w:t>
      </w:r>
      <w:bookmarkEnd w:id="534"/>
    </w:p>
    <w:p>
      <w:pPr>
        <w:spacing w:before="0" w:after="80" w:line="240" w:lineRule="exact"/>
        <w:ind w:hanging="720" w:left="720"/>
        <w:jc w:val="both"/>
      </w:pPr>
      <w:bookmarkStart w:id="535" w:name="Limao2001"/>
      <w:hyperlink w:anchor="Limao2001txt" w:history="1">
        <w:r>
          <w:rPr>
            <w:color w:val="1F3864"/>
            <w:u w:val="single"/>
          </w:rPr>
          <w:t xml:space="preserve">Limão, N., and A. Venables. (2001). </w:t>
        </w:r>
      </w:hyperlink>
      <w:r>
        <w:t xml:space="preserve">“Infrastructure, Geographical Disadvantage, Transport Costs, and Trade.” </w:t>
      </w:r>
      <w:r>
        <w:rPr>
          <w:i/>
        </w:rPr>
        <w:t xml:space="preserve"/>
      </w:r>
      <w:bookmarkStart w:id="233" w:name="WorldBank2024txt"/>
      <w:hyperlink w:anchor="WorldBank2024" w:history="1">
        <w:r>
          <w:rPr>
            <w:i/>
            <w:color w:val="1F3864"/>
            <w:u w:val="single"/>
          </w:rPr>
          <w:t xml:space="preserve">World Bank</w:t>
        </w:r>
      </w:hyperlink>
      <w:bookmarkEnd w:id="233"/>
      <w:r>
        <w:rPr>
          <w:i/>
        </w:rPr>
        <w:t xml:space="preserve"> Economic Review</w:t>
      </w:r>
      <w:r>
        <w:t>, 15(3): 451–479.</w:t>
      </w:r>
      <w:bookmarkEnd w:id="535"/>
    </w:p>
    <w:p>
      <w:pPr>
        <w:spacing w:before="0" w:after="80" w:line="240" w:lineRule="exact"/>
        <w:ind w:hanging="720" w:left="720"/>
        <w:jc w:val="both"/>
      </w:pPr>
      <w:bookmarkStart w:id="536" w:name="Liu2023"/>
      <w:hyperlink w:anchor="Liu2023txt" w:history="1">
        <w:r>
          <w:rPr>
            <w:color w:val="1F3864"/>
            <w:u w:val="single"/>
          </w:rPr>
          <w:t xml:space="preserve">Liu, Z., A. Wierman, Y. Chen, B. Raber, and J. Moriarty. (2023). </w:t>
        </w:r>
      </w:hyperlink>
      <w:r>
        <w:t xml:space="preserve">“Sustainability of Data Center Digital Twins.” </w:t>
      </w:r>
      <w:r>
        <w:rPr>
          <w:i/>
        </w:rPr>
        <w:t>Proceedings of ACM e-Energy</w:t>
      </w:r>
      <w:r>
        <w:t>, pp. 178–189.</w:t>
      </w:r>
      <w:bookmarkEnd w:id="536"/>
    </w:p>
    <w:p>
      <w:pPr>
        <w:spacing w:before="0" w:after="80" w:line="240" w:lineRule="exact"/>
        <w:ind w:hanging="720" w:left="720"/>
        <w:jc w:val="both"/>
      </w:pPr>
      <w:bookmarkStart w:id="537" w:name="NVIDIA2024"/>
      <w:r>
        <w:rPr>
          <w:color w:val="1F3864"/>
          <w:u w:val="single"/>
        </w:rPr>
        <w:t xml:space="preserve">NVIDIA. </w:t>
      </w:r>
      <w:r>
        <w:t xml:space="preserve">(2024). </w:t>
      </w:r>
      <w:r>
        <w:rPr>
          <w:i/>
        </w:rPr>
        <w:t>NVIDIA H100 Tensor Core GPU Datasheet</w:t>
      </w:r>
      <w:r>
        <w:t>. nvidia.com.</w:t>
      </w:r>
      <w:bookmarkEnd w:id="537"/>
    </w:p>
    <w:p>
      <w:pPr>
        <w:spacing w:before="0" w:after="80" w:line="240" w:lineRule="exact"/>
        <w:ind w:hanging="720" w:left="720"/>
        <w:jc w:val="both"/>
      </w:pPr>
      <w:bookmarkStart w:id="538" w:name="Ohlin1933"/>
      <w:hyperlink w:anchor="Ohlin1933txt" w:history="1">
        <w:r>
          <w:rPr>
            <w:color w:val="1F3864"/>
            <w:u w:val="single"/>
          </w:rPr>
          <w:t xml:space="preserve">Ohlin, B. </w:t>
        </w:r>
      </w:hyperlink>
      <w:r>
        <w:t xml:space="preserve">(1933). </w:t>
      </w:r>
      <w:r>
        <w:rPr>
          <w:i/>
        </w:rPr>
        <w:t>Interregional and International Trade</w:t>
      </w:r>
      <w:r>
        <w:t>. Cambridge, MA: Harvard University Press.</w:t>
      </w:r>
      <w:bookmarkEnd w:id="538"/>
    </w:p>
    <w:p>
      <w:pPr>
        <w:spacing w:before="0" w:after="80" w:line="240" w:lineRule="exact"/>
        <w:ind w:hanging="720" w:left="720"/>
        <w:jc w:val="both"/>
      </w:pPr>
      <w:bookmarkStart w:id="539" w:name="Pilz2025"/>
      <w:hyperlink w:anchor="Pilz2025txt" w:history="1">
        <w:r>
          <w:rPr>
            <w:color w:val="1F3864"/>
            <w:u w:val="single"/>
          </w:rPr>
          <w:t xml:space="preserve">Pilz, K., Y. Mahmood, and L. Heim. </w:t>
        </w:r>
      </w:hyperlink>
      <w:r>
        <w:t xml:space="preserve">(2025). </w:t>
      </w:r>
      <w:r>
        <w:rPr>
          <w:i/>
        </w:rPr>
        <w:t>AI’s Power Requirements Under Exponential Growth</w:t>
      </w:r>
      <w:r>
        <w:t>. Santa Monica, CA: RAND Corporation, RR-A3572-1.</w:t>
      </w:r>
      <w:bookmarkEnd w:id="539"/>
    </w:p>
    <w:p>
      <w:pPr>
        <w:spacing w:before="0" w:after="80" w:line="240" w:lineRule="exact"/>
        <w:ind w:hanging="720" w:left="720"/>
        <w:jc w:val="both"/>
      </w:pPr>
      <w:bookmarkStart w:id="540" w:name="Sastry2024"/>
      <w:hyperlink w:anchor="Sastry2024txt" w:history="1">
        <w:r>
          <w:rPr>
            <w:color w:val="1F3864"/>
            <w:u w:val="single"/>
          </w:rPr>
          <w:t xml:space="preserve">Sastry, G., L. Heim, et al. (2024). </w:t>
        </w:r>
      </w:hyperlink>
      <w:r>
        <w:t>“Computing Power and the Governance of Artificial Intelligence.” arXiv:2402.08797.</w:t>
      </w:r>
      <w:bookmarkEnd w:id="540"/>
    </w:p>
    <w:p>
      <w:pPr>
        <w:spacing w:before="0" w:after="80" w:line="240" w:lineRule="exact"/>
        <w:ind w:hanging="720" w:left="720"/>
        <w:jc w:val="both"/>
      </w:pPr>
      <w:bookmarkStart w:id="541" w:name="Stojkoski2024"/>
      <w:hyperlink w:anchor="Stojkoski2024txt" w:history="1">
        <w:r>
          <w:rPr>
            <w:color w:val="1F3864"/>
            <w:u w:val="single"/>
          </w:rPr>
          <w:t xml:space="preserve">Stojkoski, V., P. Koch, E. Coll, and C. A. Hidalgo. (2024). </w:t>
        </w:r>
      </w:hyperlink>
      <w:r>
        <w:t xml:space="preserve">“Estimating Digital Product Trade through Corporate Revenue Data.” </w:t>
      </w:r>
      <w:r>
        <w:rPr>
          <w:i/>
        </w:rPr>
        <w:t>Nature Communications</w:t>
      </w:r>
      <w:r>
        <w:t>, 15: 5262.</w:t>
      </w:r>
      <w:bookmarkEnd w:id="541"/>
    </w:p>
    <w:p>
      <w:pPr>
        <w:spacing w:before="0" w:after="80" w:line="240" w:lineRule="exact"/>
        <w:ind w:hanging="720" w:left="720"/>
        <w:jc w:val="both"/>
      </w:pPr>
      <w:bookmarkStart w:id="542" w:name="StraubEtAl2026"/>
      <w:hyperlink w:anchor="StraubEtAl2026txt" w:history="1">
        <w:r>
          <w:rPr>
            <w:color w:val="1F3864"/>
            <w:u w:val="single"/>
          </w:rPr>
          <w:t xml:space="preserve">Straub, S., et al. </w:t>
        </w:r>
      </w:hyperlink>
      <w:r>
        <w:t xml:space="preserve">(2026). </w:t>
      </w:r>
      <w:r>
        <w:rPr>
          <w:i/>
        </w:rPr>
        <w:t>Infrastructure Foundations: From Current Assets to Future Growth</w:t>
      </w:r>
      <w:r>
        <w:t xml:space="preserve">. Sustainable Infrastructure Series. Washington, DC: </w:t>
      </w:r>
      <w:bookmarkStart w:id="234" w:name="WorldBank2024txt"/>
      <w:hyperlink w:anchor="WorldBank2024" w:history="1">
        <w:r>
          <w:rPr>
            <w:color w:val="1F3864"/>
            <w:u w:val="single"/>
          </w:rPr>
          <w:t xml:space="preserve">World Bank</w:t>
        </w:r>
      </w:hyperlink>
      <w:bookmarkEnd w:id="234"/>
      <w:r>
        <w:t xml:space="preserve">.</w:t>
      </w:r>
      <w:bookmarkEnd w:id="542"/>
    </w:p>
    <w:p>
      <w:pPr>
        <w:spacing w:before="0" w:after="80" w:line="240" w:lineRule="exact"/>
        <w:ind w:hanging="720" w:left="720"/>
        <w:jc w:val="both"/>
      </w:pPr>
      <w:bookmarkStart w:id="543" w:name="TurnerTownsend2025"/>
      <w:hyperlink w:anchor="TurnerTownsend2025txt" w:history="1">
        <w:r>
          <w:rPr>
            <w:color w:val="1F3864"/>
            <w:u w:val="single"/>
          </w:rPr>
          <w:t xml:space="preserve">Turner &amp; Townsend. </w:t>
        </w:r>
      </w:hyperlink>
      <w:r>
        <w:t xml:space="preserve">(2025). </w:t>
      </w:r>
      <w:r>
        <w:rPr>
          <w:i/>
        </w:rPr>
        <w:t>Data Centre Construction Cost Index 2025</w:t>
      </w:r>
      <w:r>
        <w:t>. turnerandtownsend.com.</w:t>
      </w:r>
      <w:bookmarkEnd w:id="543"/>
    </w:p>
    <w:p>
      <w:pPr>
        <w:spacing w:before="0" w:after="80" w:line="240" w:lineRule="exact"/>
        <w:ind w:hanging="720" w:left="720"/>
        <w:jc w:val="both"/>
      </w:pPr>
      <w:bookmarkStart w:id="544" w:name="UptimeInstitute2024"/>
      <w:hyperlink w:anchor="UptimeInstitute2024txt" w:history="1">
        <w:r>
          <w:rPr>
            <w:color w:val="1F3864"/>
            <w:u w:val="single"/>
          </w:rPr>
          <w:t xml:space="preserve">Uptime Institute. </w:t>
        </w:r>
      </w:hyperlink>
      <w:r>
        <w:t xml:space="preserve">(2024). </w:t>
      </w:r>
      <w:r>
        <w:rPr>
          <w:i/>
        </w:rPr>
        <w:t>Global Data Center Survey Results 2024</w:t>
      </w:r>
      <w:r>
        <w:t>. uptimeinstitute.com.</w:t>
      </w:r>
      <w:bookmarkEnd w:id="544"/>
    </w:p>
    <w:p>
      <w:pPr>
        <w:spacing w:before="0" w:after="80" w:line="240" w:lineRule="exact"/>
        <w:ind w:hanging="720" w:left="720"/>
        <w:jc w:val="both"/>
      </w:pPr>
      <w:bookmarkStart w:id="545" w:name="WonderNetwork2024"/>
      <w:hyperlink w:anchor="WonderNetwork2024txt" w:history="1">
        <w:r>
          <w:rPr>
            <w:color w:val="1F3864"/>
            <w:u w:val="single"/>
          </w:rPr>
          <w:t xml:space="preserve">WonderNetwork. </w:t>
        </w:r>
      </w:hyperlink>
      <w:r>
        <w:t xml:space="preserve">(2024). </w:t>
      </w:r>
      <w:r>
        <w:rPr>
          <w:i/>
        </w:rPr>
        <w:t>Global Ping Statistics</w:t>
      </w:r>
      <w:r>
        <w:t>. wondernetwork.com.</w:t>
      </w:r>
      <w:bookmarkEnd w:id="545"/>
    </w:p>
    <w:p>
      <w:pPr>
        <w:spacing w:before="0" w:after="80" w:line="240" w:lineRule="exact"/>
        <w:ind w:hanging="720" w:left="720"/>
        <w:jc w:val="both"/>
      </w:pPr>
      <w:bookmarkStart w:id="546" w:name="WorldBank2024"/>
      <w:hyperlink w:anchor="WorldBank2024txt" w:history="1">
        <w:r>
          <w:rPr>
            <w:color w:val="1F3864"/>
            <w:u w:val="single"/>
          </w:rPr>
          <w:t xml:space="preserve">World Bank. </w:t>
        </w:r>
      </w:hyperlink>
      <w:r>
        <w:t xml:space="preserve">(2024). </w:t>
      </w:r>
      <w:r>
        <w:rPr>
          <w:i/>
        </w:rPr>
        <w:t>World Development Indicators</w:t>
      </w:r>
      <w:r>
        <w:t>. Washington, DC.</w:t>
      </w:r>
      <w:bookmarkEnd w:id="546"/>
    </w:p>
    <w:p>
      <w:pPr>
        <w:spacing w:before="0" w:after="80" w:line="240" w:lineRule="exact"/>
        <w:ind w:hanging="720" w:left="720"/>
        <w:jc w:val="both"/>
      </w:pPr>
      <w:bookmarkStart w:id="547" w:name="WorldBank2025"/>
      <w:hyperlink w:anchor="WorldBank2025txt" w:history="1">
        <w:r>
          <w:rPr>
            <w:color w:val="1F3864"/>
            <w:u w:val="single"/>
          </w:rPr>
          <w:t xml:space="preserve">World Bank. </w:t>
        </w:r>
      </w:hyperlink>
      <w:r>
        <w:t xml:space="preserve">(2025). </w:t>
      </w:r>
      <w:r>
        <w:rPr>
          <w:i/>
        </w:rPr>
        <w:t>Digital Progress and Trends Report 2025</w:t>
      </w:r>
      <w:r>
        <w:t xml:space="preserve">: Strengthening AI Foundations. Washington, DC: </w:t>
      </w:r>
      <w:bookmarkStart w:id="235" w:name="WorldBank2024txt"/>
      <w:hyperlink w:anchor="WorldBank2024" w:history="1">
        <w:r>
          <w:rPr>
            <w:color w:val="1F3864"/>
            <w:u w:val="single"/>
          </w:rPr>
          <w:t xml:space="preserve">World Bank</w:t>
        </w:r>
      </w:hyperlink>
      <w:bookmarkEnd w:id="235"/>
      <w:r>
        <w:t xml:space="preserve">.</w:t>
      </w:r>
      <w:bookmarkEnd w:id="547"/>
    </w:p>
    <w:p>
      <w:pPr>
        <w:spacing w:before="0" w:after="0"/>
      </w:pPr>
      <w:r>
        <w:br w:type="page"/>
      </w:r>
    </w:p>
    <w:p>
      <w:pPr>
        <w:spacing w:before="120" w:after="80"/>
        <w:ind w:firstLine="0"/>
        <w:jc w:val="both"/>
      </w:pPr>
      <w:bookmarkStart w:id="152" w:name="Figure1cals"/>
      <w:hyperlink w:anchor="Figure1calstxt" w:history="1">
        <w:r>
          <w:rPr>
            <w:b/>
            <w:sz w:val="20"/>
            <w:color w:val="1F3864"/>
            <w:u w:val="single"/>
          </w:rPr>
          <w:t>Figure 1</w:t>
        </w:r>
      </w:hyperlink>
      <w:bookmarkEnd w:id="152"/>
      <w:r>
        <w:rPr>
          <w:b/>
          <w:sz w:val="20"/>
        </w:rPr>
        <w:t>. Model structure</w:t>
      </w:r>
    </w:p>
    <w:p>
      <w:pPr>
        <w:spacing w:before="80" w:after="80"/>
        <w:jc w:val="center"/>
      </w:pPr>
      <w:r>
        <w:drawing>
          <wp:inline xmlns:a="http://schemas.openxmlformats.org/drawingml/2006/main" xmlns:pic="http://schemas.openxmlformats.org/drawingml/2006/picture">
            <wp:extent cx="5943600" cy="4912211"/>
            <wp:docPr id="1" name="Picture 1"/>
            <wp:cNvGraphicFramePr>
              <a:graphicFrameLocks noChangeAspect="1"/>
            </wp:cNvGraphicFramePr>
            <a:graphic>
              <a:graphicData uri="http://schemas.openxmlformats.org/drawingml/2006/picture">
                <pic:pic>
                  <pic:nvPicPr>
                    <pic:cNvPr id="0" name="figure1_model_structure.png"/>
                    <pic:cNvPicPr/>
                  </pic:nvPicPr>
                  <pic:blipFill>
                    <a:blip r:embed="rId10"/>
                    <a:stretch>
                      <a:fillRect/>
                    </a:stretch>
                  </pic:blipFill>
                  <pic:spPr>
                    <a:xfrm>
                      <a:off x="0" y="0"/>
                      <a:ext cx="5943600" cy="4912211"/>
                    </a:xfrm>
                    <a:prstGeom prst="rect"/>
                  </pic:spPr>
                </pic:pic>
              </a:graphicData>
            </a:graphic>
          </wp:inline>
        </w:drawing>
      </w:r>
    </w:p>
    <w:p>
      <w:pPr>
        <w:spacing w:before="80" w:after="120" w:line="240" w:lineRule="auto"/>
        <w:ind w:firstLine="0" w:left="720" w:right="720"/>
        <w:jc w:val="left"/>
      </w:pPr>
      <w:r>
        <w:rPr>
          <w:b/>
          <w:sz w:val="20"/>
        </w:rPr>
        <w:t xml:space="preserve">Notes: </w:t>
      </w:r>
      <w:r>
        <w:rPr>
          <w:sz w:val="20"/>
        </w:rPr>
        <w:t>Country endowments (gray) determine production cost cⱼ, which together with capacity Kⱼ (purple) sets the world training price pₜ* and regional inference price pₗ*(d). Regime conditions sort countries into five equilibrium regimes (coral) from Proposition 1.</w:t>
      </w:r>
    </w:p>
    <w:p>
      <w:pPr>
        <w:spacing w:before="0" w:after="0"/>
      </w:pPr>
      <w:r>
        <w:br w:type="page"/>
      </w:r>
    </w:p>
    <w:p>
      <w:pPr>
        <w:spacing w:before="200" w:after="80"/>
        <w:ind w:firstLine="0"/>
        <w:jc w:val="both"/>
      </w:pPr>
      <w:bookmarkStart w:id="131" w:name="Table1"/>
      <w:hyperlink w:anchor="Table1txt" w:history="1">
        <w:r>
          <w:rPr>
            <w:b/>
            <w:sz w:val="20"/>
            <w:color w:val="1F3864"/>
            <w:u w:val="single"/>
          </w:rPr>
          <w:t>Table 1</w:t>
        </w:r>
      </w:hyperlink>
      <w:bookmarkEnd w:id="131"/>
      <w:r>
        <w:rPr>
          <w:b/>
          <w:sz w:val="20"/>
        </w:rPr>
        <w:t>. Country regime taxonomy (Proposition 1)</w:t>
      </w:r>
    </w:p>
    <w:tbl>
      <w:tblPr>
        <w:tblStyle w:val="TableGrid"/>
        <w:tblW w:type="pct" w:w="480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28"/>
        <w:gridCol w:w="1728"/>
        <w:gridCol w:w="1728"/>
        <w:gridCol w:w="1728"/>
        <w:gridCol w:w="1728"/>
      </w:tblGrid>
      <w:tr>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5184"/>
            <w:gridSpan w:val="3"/>
          </w:tcPr>
          <w:p>
            <w:pPr>
              <w:jc w:val="center"/>
              <w:spacing w:before="20" w:after="20"/>
              <w:spacing w:before="20" w:after="20"/>
              <w:spacing w:before="20" w:after="20"/>
            </w:pPr>
            <w:r/>
            <w:r>
              <w:rPr>
                <w:b/>
                <w:sz w:val="18"/>
              </w:rPr>
              <w:t>Training</w:t>
            </w:r>
            <w:r>
              <w:br/>
            </w:r>
            <w:r>
              <w:rPr>
                <w:i/>
                <w:sz w:val="14"/>
              </w:rPr>
              <w:t>domestic production cost →</w:t>
            </w:r>
          </w:p>
        </w:tc>
      </w:tr>
      <w:tr>
        <w:tc>
          <w:tcPr>
            <w:tcW w:type="dxa" w:w="1728"/>
            <w:vMerge/>
          </w:tcPr>
          <w:p/>
        </w:tc>
        <w:tc>
          <w:tcPr>
            <w:tcW w:type="dxa" w:w="1728"/>
            <w:vMerge/>
          </w:tcPr>
          <w:p/>
        </w:tc>
        <w:tc>
          <w:tcPr>
            <w:tcW w:type="dxa" w:w="1728"/>
          </w:tcPr>
          <w:p>
            <w:pPr>
              <w:jc w:val="center"/>
              <w:spacing w:before="20" w:after="20"/>
            </w:pPr>
            <w:r/>
            <w:r>
              <w:rPr>
                <w:b/>
                <w:i w:val="0"/>
                <w:sz w:val="16"/>
              </w:rPr>
              <w:t>Export</w:t>
            </w:r>
          </w:p>
        </w:tc>
        <w:tc>
          <w:tcPr>
            <w:tcW w:type="dxa" w:w="1728"/>
          </w:tcPr>
          <w:p>
            <w:pPr>
              <w:jc w:val="center"/>
              <w:spacing w:before="20" w:after="20"/>
            </w:pPr>
            <w:r/>
            <w:r>
              <w:rPr>
                <w:b/>
                <w:i w:val="0"/>
                <w:sz w:val="16"/>
              </w:rPr>
              <w:t>Domestic</w:t>
            </w:r>
          </w:p>
        </w:tc>
        <w:tc>
          <w:tcPr>
            <w:tcW w:type="dxa" w:w="1728"/>
          </w:tcPr>
          <w:p>
            <w:pPr>
              <w:jc w:val="center"/>
              <w:spacing w:before="20" w:after="20"/>
            </w:pPr>
            <w:r/>
            <w:r>
              <w:rPr>
                <w:b/>
                <w:i w:val="0"/>
                <w:sz w:val="16"/>
              </w:rPr>
              <w:t>Import</w:t>
            </w:r>
          </w:p>
        </w:tc>
      </w:tr>
      <w:tr>
        <w:tc>
          <w:tcPr>
            <w:tcW w:type="dxa" w:w="1728"/>
            <w:vMerge w:val="restart"/>
            <w:textDirection w:val="btLr"/>
            <w:vAlign w:val="center"/>
          </w:tcPr>
          <w:p>
            <w:pPr>
              <w:jc w:val="center"/>
              <w:spacing w:before="20" w:after="20"/>
              <w:spacing w:before="20" w:after="20"/>
              <w:spacing w:before="20" w:after="20"/>
            </w:pPr>
            <w:r/>
            <w:r>
              <w:rPr>
                <w:b/>
                <w:sz w:val="18"/>
              </w:rPr>
              <w:t>Inference</w:t>
            </w:r>
            <w:r>
              <w:br/>
            </w:r>
            <w:r>
              <w:rPr>
                <w:i/>
                <w:sz w:val="14"/>
              </w:rPr>
              <w:t>← domestic production cost</w:t>
            </w:r>
          </w:p>
        </w:tc>
        <w:tc>
          <w:tcPr>
            <w:tcW w:type="dxa" w:w="1728"/>
          </w:tcPr>
          <w:p>
            <w:pPr>
              <w:jc w:val="center"/>
              <w:spacing w:before="20" w:after="20"/>
            </w:pPr>
            <w:r/>
            <w:r>
              <w:rPr>
                <w:b/>
                <w:i w:val="0"/>
                <w:sz w:val="16"/>
              </w:rPr>
              <w:t>Export</w:t>
            </w:r>
          </w:p>
        </w:tc>
        <w:tc>
          <w:tcPr>
            <w:tcW w:type="dxa" w:w="1728"/>
          </w:tcPr>
          <w:p>
            <w:pPr>
              <w:jc w:val="center"/>
              <w:spacing w:before="20" w:after="20"/>
            </w:pPr>
            <w:r/>
            <w:r>
              <w:rPr>
                <w:b w:val="0"/>
                <w:i w:val="0"/>
                <w:sz w:val="15"/>
              </w:rPr>
              <w:t>✓  (i) EE</w:t>
            </w:r>
            <w:r>
              <w:br/>
            </w:r>
            <w:r>
              <w:rPr>
                <w:b w:val="0"/>
                <w:i w:val="0"/>
                <w:sz w:val="15"/>
              </w:rPr>
              <w:t>T+I exporter</w:t>
            </w:r>
            <w:r>
              <w:br/>
            </w:r>
            <w:r>
              <w:rPr>
                <w:b w:val="0"/>
                <w:i w:val="0"/>
                <w:sz w:val="15"/>
              </w:rPr>
              <w:t>Cheapest producers</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(ii) IE</w:t>
            </w:r>
            <w:r>
              <w:br/>
            </w:r>
            <w:r>
              <w:rPr>
                <w:b w:val="0"/>
                <w:i w:val="0"/>
                <w:sz w:val="15"/>
              </w:rPr>
              <w:t>Inference hub</w:t>
            </w:r>
            <w:r>
              <w:br/>
            </w:r>
            <w:r>
              <w:rPr>
                <w:b w:val="0"/>
                <w:i w:val="0"/>
                <w:sz w:val="15"/>
              </w:rPr>
              <w:t>Regional low-cost hubs</w:t>
            </w:r>
          </w:p>
        </w:tc>
      </w:tr>
      <w:tr>
        <w:tc>
          <w:tcPr>
            <w:tcW w:type="dxa" w:w="1728"/>
            <w:vMerge/>
          </w:tcPr>
          <w:p/>
        </w:tc>
        <w:tc>
          <w:tcPr>
            <w:tcW w:type="dxa" w:w="1728"/>
          </w:tcPr>
          <w:p>
            <w:pPr>
              <w:jc w:val="center"/>
              <w:spacing w:before="20" w:after="20"/>
            </w:pPr>
            <w:r/>
            <w:r>
              <w:rPr>
                <w:b/>
                <w:i w:val="0"/>
                <w:sz w:val="16"/>
              </w:rPr>
              <w:t>Domestic</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(iv) DD</w:t>
            </w:r>
            <w:r>
              <w:br/>
            </w:r>
            <w:r>
              <w:rPr>
                <w:b w:val="0"/>
                <w:i w:val="0"/>
                <w:sz w:val="15"/>
              </w:rPr>
              <w:t>Domestic</w:t>
            </w:r>
            <w:r>
              <w:br/>
            </w:r>
            <w:r>
              <w:rPr>
                <w:b w:val="0"/>
                <w:i w:val="0"/>
                <w:sz w:val="15"/>
              </w:rPr>
              <w:t>High sovereignty</w:t>
            </w:r>
          </w:p>
        </w:tc>
        <w:tc>
          <w:tcPr>
            <w:tcW w:type="dxa" w:w="1728"/>
          </w:tcPr>
          <w:p>
            <w:pPr>
              <w:jc w:val="center"/>
              <w:spacing w:before="20" w:after="20"/>
            </w:pPr>
            <w:r/>
            <w:r>
              <w:rPr>
                <w:b w:val="0"/>
                <w:i w:val="0"/>
                <w:sz w:val="15"/>
              </w:rPr>
              <w:t>✓  (iii) ID</w:t>
            </w:r>
            <w:r>
              <w:br/>
            </w:r>
            <w:r>
              <w:rPr>
                <w:b w:val="0"/>
                <w:i w:val="0"/>
                <w:sz w:val="15"/>
              </w:rPr>
              <w:t>Hybrid</w:t>
            </w:r>
            <w:r>
              <w:br/>
            </w:r>
            <w:r>
              <w:rPr>
                <w:b w:val="0"/>
                <w:i w:val="0"/>
                <w:sz w:val="15"/>
              </w:rPr>
              <w:t>Isolated / moderate cost</w:t>
            </w:r>
          </w:p>
        </w:tc>
      </w:tr>
      <w:tr>
        <w:tc>
          <w:tcPr>
            <w:tcW w:type="dxa" w:w="1728"/>
            <w:vMerge/>
          </w:tcPr>
          <w:p/>
        </w:tc>
        <w:tc>
          <w:tcPr>
            <w:tcW w:type="dxa" w:w="1728"/>
          </w:tcPr>
          <w:p>
            <w:pPr>
              <w:jc w:val="center"/>
              <w:spacing w:before="20" w:after="20"/>
            </w:pPr>
            <w:r/>
            <w:r>
              <w:rPr>
                <w:b/>
                <w:i w:val="0"/>
                <w:sz w:val="16"/>
              </w:rPr>
              <w:t>Import</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shd w:val="clear" w:color="auto" w:fill="E0E0E0"/>
          </w:tcPr>
          <w:p>
            <w:pPr>
              <w:jc w:val="center"/>
              <w:spacing w:before="20" w:after="20"/>
            </w:pPr>
            <w:r/>
            <w:r>
              <w:rPr>
                <w:b w:val="0"/>
                <w:i w:val="0"/>
                <w:sz w:val="15"/>
              </w:rPr>
              <w:t>✗</w:t>
            </w:r>
            <w:r>
              <w:br/>
            </w:r>
            <w:r>
              <w:rPr>
                <w:b w:val="0"/>
                <w:i w:val="0"/>
                <w:sz w:val="15"/>
              </w:rPr>
              <w:t>Sovereignty</w:t>
            </w:r>
            <w:r>
              <w:br/>
            </w:r>
            <w:r>
              <w:rPr>
                <w:b w:val="0"/>
                <w:i w:val="0"/>
                <w:sz w:val="15"/>
              </w:rPr>
              <w:t>dominates</w:t>
            </w:r>
          </w:p>
        </w:tc>
        <w:tc>
          <w:tcPr>
            <w:tcW w:type="dxa" w:w="1728"/>
          </w:tcPr>
          <w:p>
            <w:pPr>
              <w:jc w:val="center"/>
              <w:spacing w:before="20" w:after="20"/>
            </w:pPr>
            <w:r/>
            <w:r>
              <w:rPr>
                <w:b w:val="0"/>
                <w:i w:val="0"/>
                <w:sz w:val="15"/>
              </w:rPr>
              <w:t>✓  (v) II</w:t>
            </w:r>
            <w:r>
              <w:br/>
            </w:r>
            <w:r>
              <w:rPr>
                <w:b w:val="0"/>
                <w:i w:val="0"/>
                <w:sz w:val="15"/>
              </w:rPr>
              <w:t>Full importer</w:t>
            </w:r>
            <w:r>
              <w:br/>
            </w:r>
            <w:r>
              <w:rPr>
                <w:b w:val="0"/>
                <w:i w:val="0"/>
                <w:sz w:val="15"/>
              </w:rPr>
              <w:t>High-cost countries</w:t>
            </w:r>
          </w:p>
        </w:tc>
      </w:tr>
    </w:tbl>
    <w:p>
      <w:pPr>
        <w:spacing w:before="40" w:after="0" w:line="240" w:lineRule="auto"/>
        <w:ind w:firstLine="0"/>
        <w:jc w:val="left"/>
      </w:pPr>
      <w:r>
        <w:rPr>
          <w:sz w:val="20"/>
        </w:rPr>
        <w:t xml:space="preserve">Notes: ✓ = feasible in equilibrium. ✗ = ruled out. Grey cells cannot arise. Roman numerals correspond to regime labels in Proposition 1. Letter codes (EE, IE, ID, DD, II) denote training status (first letter: E = export, I = import, D = domestic) and inference status (second letter), used in </w:t>
      </w:r>
      <w:hyperlink w:anchor="Table3" w:history="1">
        <w:r>
          <w:rPr>
            <w:sz w:val="20"/>
            <w:color w:val="1F3864"/>
            <w:u w:val="single"/>
          </w:rPr>
          <w:t xml:space="preserve">Table 3</w:t>
        </w:r>
      </w:hyperlink>
      <w:r>
        <w:rPr>
          <w:sz w:val="20"/>
        </w:rPr>
        <w:t>.</w:t>
      </w:r>
    </w:p>
    <w:p>
      <w:pPr>
        <w:spacing w:before="0" w:after="0"/>
      </w:pPr>
      <w:r>
        <w:br w:type="page"/>
      </w:r>
    </w:p>
    <w:p>
      <w:pPr>
        <w:spacing w:before="120" w:after="60"/>
        <w:ind w:firstLine="0"/>
        <w:jc w:val="both"/>
      </w:pPr>
      <w:bookmarkStart w:id="110" w:name="Table2"/>
      <w:hyperlink w:anchor="Table2txt" w:history="1">
        <w:r>
          <w:rPr>
            <w:b/>
            <w:sz w:val="20"/>
            <w:color w:val="1F3864"/>
            <w:u w:val="single"/>
          </w:rPr>
          <w:t>Table 2</w:t>
        </w:r>
      </w:hyperlink>
      <w:bookmarkEnd w:id="110"/>
      <w:r>
        <w:rPr>
          <w:b/>
          <w:sz w:val="20"/>
        </w:rPr>
        <w:t>. Model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60"/>
        <w:gridCol w:w="2160"/>
        <w:gridCol w:w="2160"/>
        <w:gridCol w:w="2160"/>
      </w:tblGrid>
      <w:tr>
        <w:tc>
          <w:tcPr>
            <w:tcW w:type="dxa" w:w="3744"/>
            <w:tcBorders>
              <w:top w:val="single" w:sz="4" w:space="0" w:color="auto"/>
              <w:bottom w:val="single" w:sz="4" w:space="0" w:color="auto"/>
            </w:tcBorders>
          </w:tcPr>
          <w:p>
            <w:pPr>
              <w:jc w:val="center"/>
              <w:spacing w:before="10" w:after="10"/>
            </w:pPr>
            <w:r/>
            <w:r>
              <w:rPr>
                <w:rFonts w:ascii="Times New Roman" w:hAnsi="Times New Roman"/>
                <w:b/>
                <w:sz w:val="20"/>
              </w:rPr>
              <w:t>Parameter</w:t>
            </w:r>
          </w:p>
        </w:tc>
        <w:tc>
          <w:tcPr>
            <w:tcW w:type="dxa" w:w="864"/>
            <w:tcBorders>
              <w:top w:val="single" w:sz="4" w:space="0" w:color="auto"/>
              <w:bottom w:val="single" w:sz="4" w:space="0" w:color="auto"/>
            </w:tcBorders>
          </w:tcPr>
          <w:p>
            <w:pPr>
              <w:jc w:val="center"/>
              <w:spacing w:before="10" w:after="10"/>
            </w:pPr>
            <w:r/>
            <w:r>
              <w:rPr>
                <w:rFonts w:ascii="Times New Roman" w:hAnsi="Times New Roman"/>
                <w:b/>
                <w:sz w:val="20"/>
              </w:rPr>
              <w:t>Symbol</w:t>
            </w:r>
          </w:p>
        </w:tc>
        <w:tc>
          <w:tcPr>
            <w:tcW w:type="dxa" w:w="2160"/>
            <w:tcBorders>
              <w:top w:val="single" w:sz="4" w:space="0" w:color="auto"/>
              <w:bottom w:val="single" w:sz="4" w:space="0" w:color="auto"/>
            </w:tcBorders>
          </w:tcPr>
          <w:p>
            <w:pPr>
              <w:jc w:val="center"/>
              <w:spacing w:before="10" w:after="10"/>
            </w:pPr>
            <w:r/>
            <w:r>
              <w:rPr>
                <w:rFonts w:ascii="Times New Roman" w:hAnsi="Times New Roman"/>
                <w:b/>
                <w:sz w:val="20"/>
              </w:rPr>
              <w:t>Value</w:t>
            </w:r>
          </w:p>
        </w:tc>
        <w:tc>
          <w:tcPr>
            <w:tcW w:type="dxa" w:w="2592"/>
            <w:tcBorders>
              <w:top w:val="single" w:sz="4" w:space="0" w:color="auto"/>
              <w:bottom w:val="single" w:sz="4" w:space="0" w:color="auto"/>
            </w:tcBorders>
          </w:tcPr>
          <w:p>
            <w:pPr>
              <w:jc w:val="center"/>
              <w:spacing w:before="10" w:after="10"/>
            </w:pPr>
            <w:r/>
            <w:r>
              <w:rPr>
                <w:rFonts w:ascii="Times New Roman" w:hAnsi="Times New Roman"/>
                <w:b/>
                <w:sz w:val="20"/>
              </w:rPr>
              <w:t>Source</w:t>
            </w:r>
          </w:p>
        </w:tc>
      </w:tr>
      <w:tr>
        <w:tc>
          <w:tcPr>
            <w:tcW w:type="dxa" w:w="3744"/>
          </w:tcPr>
          <w:p>
            <w:pPr>
              <w:jc w:val="left"/>
              <w:spacing w:before="10" w:after="10"/>
            </w:pPr>
            <w:r/>
            <w:r>
              <w:rPr>
                <w:rFonts w:ascii="Times New Roman" w:hAnsi="Times New Roman"/>
                <w:sz w:val="20"/>
              </w:rPr>
              <w:t>GPU thermal design power</w:t>
            </w:r>
          </w:p>
        </w:tc>
        <w:tc>
          <w:tcPr>
            <w:tcW w:type="dxa" w:w="864"/>
          </w:tcPr>
          <w:p>
            <w:pPr>
              <w:jc w:val="center"/>
              <w:spacing w:before="10" w:after="10"/>
            </w:pPr>
            <w:r/>
            <w:r>
              <w:rPr>
                <w:rFonts w:ascii="Times New Roman" w:hAnsi="Times New Roman"/>
                <w:sz w:val="20"/>
              </w:rPr>
              <w:t>γ</w:t>
            </w:r>
          </w:p>
        </w:tc>
        <w:tc>
          <w:tcPr>
            <w:tcW w:type="dxa" w:w="2160"/>
          </w:tcPr>
          <w:p>
            <w:pPr>
              <w:jc w:val="center"/>
              <w:spacing w:before="10" w:after="10"/>
            </w:pPr>
            <w:r/>
            <w:r>
              <w:rPr>
                <w:rFonts w:ascii="Times New Roman" w:hAnsi="Times New Roman"/>
                <w:sz w:val="20"/>
              </w:rPr>
              <w:t>0.700 kW</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purchase price</w:t>
            </w:r>
          </w:p>
        </w:tc>
        <w:tc>
          <w:tcPr>
            <w:tcW w:type="dxa" w:w="864"/>
          </w:tcPr>
          <w:p>
            <w:pPr>
              <w:jc w:val="center"/>
              <w:spacing w:before="10" w:after="10"/>
            </w:pPr>
            <w:r/>
            <w:r>
              <w:rPr>
                <w:rFonts w:ascii="Times New Roman" w:hAnsi="Times New Roman"/>
                <w:i/>
                <w:sz w:val="20"/>
              </w:rPr>
              <w:t>P</w:t>
            </w:r>
            <w:r>
              <w:rPr>
                <w:rFonts w:ascii="Times New Roman" w:hAnsi="Times New Roman"/>
                <w:sz w:val="20"/>
                <w:vertAlign w:val="subscript"/>
              </w:rPr>
              <w:t>GPU</w:t>
            </w:r>
          </w:p>
        </w:tc>
        <w:tc>
          <w:tcPr>
            <w:tcW w:type="dxa" w:w="2160"/>
          </w:tcPr>
          <w:p>
            <w:pPr>
              <w:jc w:val="center"/>
              <w:spacing w:before="10" w:after="10"/>
            </w:pPr>
            <w:r/>
            <w:r>
              <w:rPr>
                <w:rFonts w:ascii="Times New Roman" w:hAnsi="Times New Roman"/>
                <w:sz w:val="20"/>
              </w:rPr>
              <w:t>$25,000</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useful life</w:t>
            </w:r>
          </w:p>
        </w:tc>
        <w:tc>
          <w:tcPr>
            <w:tcW w:type="dxa" w:w="864"/>
          </w:tcPr>
          <w:p>
            <w:pPr>
              <w:jc w:val="center"/>
              <w:spacing w:before="10" w:after="10"/>
            </w:pPr>
            <w:r/>
            <w:r>
              <w:rPr>
                <w:rFonts w:ascii="Times New Roman" w:hAnsi="Times New Roman"/>
                <w:sz w:val="20"/>
              </w:rPr>
              <w:t>L</w:t>
            </w:r>
          </w:p>
        </w:tc>
        <w:tc>
          <w:tcPr>
            <w:tcW w:type="dxa" w:w="2160"/>
          </w:tcPr>
          <w:p>
            <w:pPr>
              <w:jc w:val="center"/>
              <w:spacing w:before="10" w:after="10"/>
            </w:pPr>
            <w:r/>
            <w:r>
              <w:rPr>
                <w:rFonts w:ascii="Times New Roman" w:hAnsi="Times New Roman"/>
                <w:sz w:val="20"/>
              </w:rPr>
              <w:t>3 years</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GPU utilization rate</w:t>
            </w:r>
          </w:p>
        </w:tc>
        <w:tc>
          <w:tcPr>
            <w:tcW w:type="dxa" w:w="864"/>
          </w:tcPr>
          <w:p>
            <w:pPr>
              <w:jc w:val="center"/>
              <w:spacing w:before="10" w:after="10"/>
            </w:pPr>
            <w:r/>
            <w:r>
              <w:rPr>
                <w:rFonts w:ascii="Times New Roman" w:hAnsi="Times New Roman"/>
                <w:sz w:val="20"/>
              </w:rPr>
              <w:t>β</w:t>
            </w:r>
          </w:p>
        </w:tc>
        <w:tc>
          <w:tcPr>
            <w:tcW w:type="dxa" w:w="2160"/>
          </w:tcPr>
          <w:p>
            <w:pPr>
              <w:jc w:val="center"/>
              <w:spacing w:before="10" w:after="10"/>
            </w:pPr>
            <w:r/>
            <w:r>
              <w:rPr>
                <w:rFonts w:ascii="Times New Roman" w:hAnsi="Times New Roman"/>
                <w:sz w:val="20"/>
              </w:rPr>
              <w:t>0.70</w:t>
            </w:r>
          </w:p>
        </w:tc>
        <w:tc>
          <w:tcPr>
            <w:tcW w:type="dxa" w:w="2592"/>
          </w:tcPr>
          <w:p>
            <w:pPr>
              <w:jc w:val="left"/>
              <w:spacing w:before="10" w:after="10"/>
            </w:pPr>
            <w:r/>
            <w:hyperlink w:anchor="Barroso2018" w:history="1">
              <w:r>
                <w:rPr>
                  <w:sz w:val="20"/>
                  <w:rFonts w:ascii="Times New Roman" w:hAnsi="Times New Roman"/>
                  <w:color w:val="1F3864"/>
                  <w:u w:val="single"/>
                </w:rPr>
                <w:t xml:space="preserve">Barroso et al. (2018)</w:t>
              </w:r>
            </w:hyperlink>
          </w:p>
        </w:tc>
      </w:tr>
      <w:tr>
        <w:tc>
          <w:tcPr>
            <w:tcW w:type="dxa" w:w="3744"/>
          </w:tcPr>
          <w:p>
            <w:pPr>
              <w:jc w:val="left"/>
              <w:spacing w:before="10" w:after="10"/>
            </w:pPr>
            <w:r/>
            <w:r>
              <w:rPr>
                <w:rFonts w:ascii="Times New Roman" w:hAnsi="Times New Roman"/>
                <w:sz w:val="20"/>
              </w:rPr>
              <w:t>Hours per year (365.25 x 24)</w:t>
            </w:r>
          </w:p>
        </w:tc>
        <w:tc>
          <w:tcPr>
            <w:tcW w:type="dxa" w:w="864"/>
          </w:tcPr>
          <w:p>
            <w:pPr>
              <w:jc w:val="center"/>
              <w:spacing w:before="10" w:after="10"/>
            </w:pPr>
            <w:r/>
            <w:r>
              <w:rPr>
                <w:rFonts w:ascii="Times New Roman" w:hAnsi="Times New Roman"/>
                <w:sz w:val="20"/>
              </w:rPr>
              <w:t>H</w:t>
            </w:r>
          </w:p>
        </w:tc>
        <w:tc>
          <w:tcPr>
            <w:tcW w:type="dxa" w:w="2160"/>
          </w:tcPr>
          <w:p>
            <w:pPr>
              <w:jc w:val="center"/>
              <w:spacing w:before="10" w:after="10"/>
            </w:pPr>
            <w:r/>
            <w:r>
              <w:rPr>
                <w:rFonts w:ascii="Times New Roman" w:hAnsi="Times New Roman"/>
                <w:sz w:val="20"/>
              </w:rPr>
              <w:t>8766 hr/yr</w:t>
            </w:r>
          </w:p>
        </w:tc>
        <w:tc>
          <w:tcPr>
            <w:tcW w:type="dxa" w:w="2592"/>
          </w:tcPr>
          <w:p>
            <w:pPr>
              <w:jc w:val="left"/>
              <w:spacing w:before="10" w:after="10"/>
            </w:pPr>
            <w:r/>
            <w:r>
              <w:rPr>
                <w:rFonts w:ascii="Times New Roman" w:hAnsi="Times New Roman"/>
                <w:sz w:val="20"/>
              </w:rPr>
              <w:t>Calendar</w:t>
            </w:r>
          </w:p>
        </w:tc>
      </w:tr>
      <w:tr>
        <w:tc>
          <w:tcPr>
            <w:tcW w:type="dxa" w:w="3744"/>
          </w:tcPr>
          <w:p>
            <w:pPr>
              <w:jc w:val="left"/>
              <w:spacing w:before="10" w:after="10"/>
            </w:pPr>
            <w:r/>
            <w:r>
              <w:rPr>
                <w:rFonts w:ascii="Times New Roman" w:hAnsi="Times New Roman"/>
                <w:sz w:val="20"/>
              </w:rPr>
              <w:t>Amortized hardware cost per GPU-hour</w:t>
            </w:r>
          </w:p>
        </w:tc>
        <w:tc>
          <w:tcPr>
            <w:tcW w:type="dxa" w:w="864"/>
          </w:tcPr>
          <w:p>
            <w:pPr>
              <w:jc w:val="center"/>
              <w:spacing w:before="10" w:after="10"/>
            </w:pPr>
            <w:r/>
            <w:r>
              <w:rPr>
                <w:rFonts w:ascii="Times New Roman" w:hAnsi="Times New Roman"/>
                <w:sz w:val="20"/>
              </w:rPr>
              <w:t>ρ</w:t>
            </w:r>
          </w:p>
        </w:tc>
        <w:tc>
          <w:tcPr>
            <w:tcW w:type="dxa" w:w="2160"/>
          </w:tcPr>
          <w:p>
            <w:pPr>
              <w:jc w:val="center"/>
              <w:spacing w:before="10" w:after="10"/>
            </w:pPr>
            <w:r/>
            <w:r>
              <w:rPr>
                <w:rFonts w:ascii="Times New Roman" w:hAnsi="Times New Roman"/>
                <w:sz w:val="20"/>
              </w:rPr>
              <w:t>$1.36/hr</w:t>
            </w:r>
          </w:p>
        </w:tc>
        <w:tc>
          <w:tcPr>
            <w:tcW w:type="dxa" w:w="2592"/>
          </w:tcPr>
          <w:p>
            <w:pPr>
              <w:jc w:val="left"/>
              <w:spacing w:before="10" w:after="10"/>
            </w:pPr>
            <w:r/>
            <w:r>
              <w:rPr>
                <w:rFonts w:ascii="Times New Roman" w:hAnsi="Times New Roman"/>
                <w:sz w:val="20"/>
              </w:rPr>
              <w:t>Derived</w:t>
            </w:r>
          </w:p>
        </w:tc>
      </w:tr>
      <w:tr>
        <w:tc>
          <w:tcPr>
            <w:tcW w:type="dxa" w:w="3744"/>
          </w:tcPr>
          <w:p>
            <w:pPr>
              <w:jc w:val="left"/>
              <w:spacing w:before="10" w:after="10"/>
            </w:pPr>
            <w:r/>
            <w:r>
              <w:rPr>
                <w:rFonts w:ascii="Times New Roman" w:hAnsi="Times New Roman"/>
                <w:sz w:val="20"/>
              </w:rPr>
              <w:t>Amortized networking cost per GPU-hour</w:t>
            </w:r>
          </w:p>
        </w:tc>
        <w:tc>
          <w:tcPr>
            <w:tcW w:type="dxa" w:w="864"/>
          </w:tcPr>
          <w:p>
            <w:pPr>
              <w:jc w:val="center"/>
              <w:spacing w:before="10" w:after="10"/>
            </w:pPr>
            <w:r/>
            <w:r>
              <w:rPr>
                <w:rFonts w:ascii="Times New Roman" w:hAnsi="Times New Roman"/>
                <w:sz w:val="20"/>
              </w:rPr>
              <w:t>η</w:t>
            </w:r>
          </w:p>
        </w:tc>
        <w:tc>
          <w:tcPr>
            <w:tcW w:type="dxa" w:w="2160"/>
          </w:tcPr>
          <w:p>
            <w:pPr>
              <w:jc w:val="center"/>
              <w:spacing w:before="10" w:after="10"/>
            </w:pPr>
            <w:r/>
            <w:r>
              <w:rPr>
                <w:rFonts w:ascii="Times New Roman" w:hAnsi="Times New Roman"/>
                <w:sz w:val="20"/>
              </w:rPr>
              <w:t>$0.15/hr</w:t>
            </w:r>
          </w:p>
        </w:tc>
        <w:tc>
          <w:tcPr>
            <w:tcW w:type="dxa" w:w="2592"/>
          </w:tcPr>
          <w:p>
            <w:pPr>
              <w:jc w:val="left"/>
              <w:spacing w:before="10" w:after="10"/>
            </w:pPr>
            <w:r/>
            <w:hyperlink w:anchor="Liu2023" w:history="1">
              <w:r>
                <w:rPr>
                  <w:sz w:val="20"/>
                  <w:rFonts w:ascii="Times New Roman" w:hAnsi="Times New Roman"/>
                  <w:color w:val="1F3864"/>
                  <w:u w:val="single"/>
                </w:rPr>
                <w:t xml:space="preserve">Liu et al. (2023)</w:t>
              </w:r>
            </w:hyperlink>
          </w:p>
        </w:tc>
      </w:tr>
      <w:tr>
        <w:tc>
          <w:tcPr>
            <w:tcW w:type="dxa" w:w="3744"/>
          </w:tcPr>
          <w:p>
            <w:pPr>
              <w:jc w:val="left"/>
              <w:spacing w:before="10" w:after="10"/>
            </w:pPr>
            <w:r/>
            <w:r>
              <w:rPr>
                <w:rFonts w:ascii="Times New Roman" w:hAnsi="Times New Roman"/>
                <w:sz w:val="20"/>
              </w:rPr>
              <w:t>PUE baseline (best-practice free-air cooling)</w:t>
            </w:r>
          </w:p>
        </w:tc>
        <w:tc>
          <w:tcPr>
            <w:tcW w:type="dxa" w:w="864"/>
          </w:tcPr>
          <w:p>
            <w:pPr>
              <w:jc w:val="center"/>
              <w:spacing w:before="10" w:after="10"/>
            </w:pPr>
            <w:r/>
            <w:r>
              <w:rPr>
                <w:rFonts w:ascii="Times New Roman" w:hAnsi="Times New Roman"/>
                <w:sz w:val="20"/>
              </w:rPr>
              <w:t>φ</w:t>
            </w:r>
          </w:p>
        </w:tc>
        <w:tc>
          <w:tcPr>
            <w:tcW w:type="dxa" w:w="2160"/>
          </w:tcPr>
          <w:p>
            <w:pPr>
              <w:jc w:val="center"/>
              <w:spacing w:before="10" w:after="10"/>
            </w:pPr>
            <w:r/>
            <w:r>
              <w:rPr>
                <w:rFonts w:ascii="Times New Roman" w:hAnsi="Times New Roman"/>
                <w:sz w:val="20"/>
              </w:rPr>
              <w:t>1.08</w:t>
            </w:r>
          </w:p>
        </w:tc>
        <w:tc>
          <w:tcPr>
            <w:tcW w:type="dxa" w:w="2592"/>
          </w:tcPr>
          <w:p>
            <w:pPr>
              <w:jc w:val="left"/>
              <w:spacing w:before="10" w:after="10"/>
            </w:pPr>
            <w:r/>
            <w:hyperlink w:anchor="Google2024" w:history="1">
              <w:r>
                <w:rPr>
                  <w:sz w:val="20"/>
                  <w:rFonts w:ascii="Times New Roman" w:hAnsi="Times New Roman"/>
                  <w:color w:val="1F3864"/>
                  <w:u w:val="single"/>
                </w:rPr>
                <w:t xml:space="preserve">Google (2024)</w:t>
              </w:r>
            </w:hyperlink>
          </w:p>
        </w:tc>
      </w:tr>
      <w:tr>
        <w:tc>
          <w:tcPr>
            <w:tcW w:type="dxa" w:w="3744"/>
          </w:tcPr>
          <w:p>
            <w:pPr>
              <w:jc w:val="left"/>
              <w:spacing w:before="10" w:after="10"/>
            </w:pPr>
            <w:r/>
            <w:r>
              <w:rPr>
                <w:rFonts w:ascii="Times New Roman" w:hAnsi="Times New Roman"/>
                <w:sz w:val="20"/>
              </w:rPr>
              <w:t>PUE temperature sensitivity per degree C</w:t>
            </w:r>
          </w:p>
        </w:tc>
        <w:tc>
          <w:tcPr>
            <w:tcW w:type="dxa" w:w="864"/>
          </w:tcPr>
          <w:p>
            <w:pPr>
              <w:jc w:val="center"/>
              <w:spacing w:before="10" w:after="10"/>
            </w:pPr>
            <w:r/>
            <w:r>
              <w:rPr>
                <w:rFonts w:ascii="Times New Roman" w:hAnsi="Times New Roman"/>
                <w:sz w:val="20"/>
              </w:rPr>
              <w:t>δ</w:t>
            </w:r>
          </w:p>
        </w:tc>
        <w:tc>
          <w:tcPr>
            <w:tcW w:type="dxa" w:w="2160"/>
          </w:tcPr>
          <w:p>
            <w:pPr>
              <w:jc w:val="center"/>
              <w:spacing w:before="10" w:after="10"/>
            </w:pPr>
            <w:r/>
            <w:r>
              <w:rPr>
                <w:rFonts w:ascii="Times New Roman" w:hAnsi="Times New Roman"/>
                <w:sz w:val="20"/>
              </w:rPr>
              <w:t>0.015 per C</w:t>
            </w:r>
          </w:p>
        </w:tc>
        <w:tc>
          <w:tcPr>
            <w:tcW w:type="dxa" w:w="2592"/>
          </w:tcPr>
          <w:p>
            <w:pPr>
              <w:jc w:val="left"/>
              <w:spacing w:before="10" w:after="10"/>
            </w:pPr>
            <w:r/>
            <w:hyperlink w:anchor="Flucker2013" w:history="1">
              <w:r>
                <w:rPr>
                  <w:sz w:val="20"/>
                  <w:rFonts w:ascii="Times New Roman" w:hAnsi="Times New Roman"/>
                  <w:color w:val="1F3864"/>
                  <w:u w:val="single"/>
                </w:rPr>
                <w:t xml:space="preserve">Flucker et al. (2013)</w:t>
              </w:r>
            </w:hyperlink>
          </w:p>
        </w:tc>
      </w:tr>
      <w:tr>
        <w:tc>
          <w:tcPr>
            <w:tcW w:type="dxa" w:w="3744"/>
          </w:tcPr>
          <w:p>
            <w:pPr>
              <w:jc w:val="left"/>
              <w:spacing w:before="10" w:after="10"/>
            </w:pPr>
            <w:r/>
            <w:r>
              <w:rPr>
                <w:rFonts w:ascii="Times New Roman" w:hAnsi="Times New Roman"/>
                <w:sz w:val="20"/>
              </w:rPr>
              <w:t>Free-cooling temperature threshold</w:t>
            </w:r>
          </w:p>
        </w:tc>
        <w:tc>
          <w:tcPr>
            <w:tcW w:type="dxa" w:w="864"/>
          </w:tcPr>
          <w:p>
            <w:pPr>
              <w:jc w:val="center"/>
              <w:spacing w:before="10" w:after="10"/>
            </w:pPr>
            <w:r/>
            <m:oMath>
              <m:bar>
                <m:barPr>
                  <m:pos m:val="top"/>
                </m:barPr>
                <m:e>
                  <m:r>
                    <m:rPr>
                      <m:sty m:val="i"/>
                    </m:rPr>
                    <w:rPr>
                      <w:rFonts w:ascii="Cambria Math" w:hAnsi="Cambria Math"/>
                    </w:rPr>
                    <m:t xml:space="preserve">θ</m:t>
                  </m:r>
                </m:e>
              </m:bar>
            </m:oMath>
          </w:p>
        </w:tc>
        <w:tc>
          <w:tcPr>
            <w:tcW w:type="dxa" w:w="2160"/>
          </w:tcPr>
          <w:p>
            <w:pPr>
              <w:jc w:val="center"/>
              <w:spacing w:before="10" w:after="10"/>
            </w:pPr>
            <w:r/>
            <w:r>
              <w:rPr>
                <w:rFonts w:ascii="Times New Roman" w:hAnsi="Times New Roman"/>
                <w:sz w:val="20"/>
              </w:rPr>
              <w:t>15 C</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Data center facility lifetime</w:t>
            </w:r>
          </w:p>
        </w:tc>
        <w:tc>
          <w:tcPr>
            <w:tcW w:type="dxa" w:w="864"/>
          </w:tcPr>
          <w:p>
            <w:pPr>
              <w:jc w:val="center"/>
              <w:spacing w:before="10" w:after="10"/>
            </w:pPr>
            <w:r/>
            <w:r>
              <w:rPr>
                <w:rFonts w:ascii="Times New Roman" w:hAnsi="Times New Roman"/>
                <w:sz w:val="20"/>
              </w:rPr>
              <w:t>D</w:t>
            </w:r>
          </w:p>
        </w:tc>
        <w:tc>
          <w:tcPr>
            <w:tcW w:type="dxa" w:w="2160"/>
          </w:tcPr>
          <w:p>
            <w:pPr>
              <w:jc w:val="center"/>
              <w:spacing w:before="10" w:after="10"/>
            </w:pPr>
            <w:r/>
            <w:r>
              <w:rPr>
                <w:rFonts w:ascii="Times New Roman" w:hAnsi="Times New Roman"/>
                <w:sz w:val="20"/>
              </w:rPr>
              <w:t>15 years</w:t>
            </w:r>
          </w:p>
        </w:tc>
        <w:tc>
          <w:tcPr>
            <w:tcW w:type="dxa" w:w="2592"/>
          </w:tcPr>
          <w:p>
            <w:pPr>
              <w:jc w:val="left"/>
              <w:spacing w:before="10" w:after="10"/>
            </w:pPr>
            <w:r/>
            <w:hyperlink w:anchor="TurnerTownsend2025" w:history="1">
              <w:r>
                <w:rPr>
                  <w:sz w:val="20"/>
                  <w:rFonts w:ascii="Times New Roman" w:hAnsi="Times New Roman"/>
                  <w:color w:val="1F3864"/>
                  <w:u w:val="single"/>
                </w:rPr>
                <w:t xml:space="preserve">Turner and Townsend (2025)</w:t>
              </w:r>
            </w:hyperlink>
          </w:p>
        </w:tc>
      </w:tr>
      <w:tr>
        <w:tc>
          <w:tcPr>
            <w:tcW w:type="dxa" w:w="3744"/>
          </w:tcPr>
          <w:p>
            <w:pPr>
              <w:jc w:val="left"/>
              <w:spacing w:before="10" w:after="10"/>
            </w:pPr>
            <w:r/>
            <w:r>
              <w:rPr>
                <w:rFonts w:ascii="Times New Roman" w:hAnsi="Times New Roman"/>
                <w:sz w:val="20"/>
              </w:rPr>
              <w:t>Latency degradation per ms of RTT</w:t>
            </w:r>
          </w:p>
        </w:tc>
        <w:tc>
          <w:tcPr>
            <w:tcW w:type="dxa" w:w="864"/>
          </w:tcPr>
          <w:p>
            <w:pPr>
              <w:jc w:val="center"/>
              <w:spacing w:before="10" w:after="10"/>
            </w:pPr>
            <w:r/>
            <w:r>
              <w:rPr>
                <w:rFonts w:ascii="Times New Roman" w:hAnsi="Times New Roman"/>
                <w:sz w:val="20"/>
              </w:rPr>
              <w:t>τ</w:t>
            </w:r>
          </w:p>
        </w:tc>
        <w:tc>
          <w:tcPr>
            <w:tcW w:type="dxa" w:w="2160"/>
          </w:tcPr>
          <w:p>
            <w:pPr>
              <w:jc w:val="center"/>
              <w:spacing w:before="10" w:after="10"/>
            </w:pPr>
            <w:r/>
            <w:r>
              <w:rPr>
                <w:rFonts w:ascii="Times New Roman" w:hAnsi="Times New Roman"/>
                <w:sz w:val="20"/>
              </w:rPr>
              <w:t>0.0008 per ms</w:t>
            </w:r>
          </w:p>
        </w:tc>
        <w:tc>
          <w:tcPr>
            <w:tcW w:type="dxa" w:w="2592"/>
          </w:tcPr>
          <w:p>
            <w:pPr>
              <w:jc w:val="left"/>
              <w:spacing w:before="10" w:after="10"/>
            </w:pPr>
            <w:r/>
            <w:r>
              <w:rPr>
                <w:rFonts w:ascii="Times New Roman" w:hAnsi="Times New Roman"/>
                <w:sz w:val="20"/>
              </w:rPr>
              <w:t>Calibrated</w:t>
            </w:r>
          </w:p>
        </w:tc>
      </w:tr>
      <w:tr>
        <w:tc>
          <w:tcPr>
            <w:tcW w:type="dxa" w:w="3744"/>
          </w:tcPr>
          <w:p>
            <w:pPr>
              <w:jc w:val="left"/>
              <w:spacing w:before="10" w:after="10"/>
            </w:pPr>
            <w:r/>
            <w:r>
              <w:rPr>
                <w:rFonts w:ascii="Times New Roman" w:hAnsi="Times New Roman"/>
                <w:sz w:val="20"/>
              </w:rPr>
              <w:t>Bilateral sovereignty premium</w:t>
            </w:r>
          </w:p>
        </w:tc>
        <w:tc>
          <w:tcPr>
            <w:tcW w:type="dxa" w:w="864"/>
          </w:tcPr>
          <w:p>
            <w:pPr>
              <w:jc w:val="center"/>
              <w:spacing w:before="10" w:after="10"/>
            </w:pPr>
            <w:r/>
            <m:oMath>
              <m:sSub>
                <m:sSubPr/>
                <m:e>
                  <m:r>
                    <m:rPr>
                      <m:sty m:val="i"/>
                    </m:rPr>
                    <w:rPr>
                      <w:rFonts w:ascii="Cambria Math" w:hAnsi="Cambria Math"/>
                    </w:rPr>
                    <m:t xml:space="preserve">λ</m:t>
                  </m:r>
                </m:e>
                <m:sub>
                  <m:r>
                    <m:rPr>
                      <m:sty m:val="i"/>
                    </m:rPr>
                    <w:rPr>
                      <w:rFonts w:ascii="Cambria Math" w:hAnsi="Cambria Math"/>
                    </w:rPr>
                    <m:t xml:space="preserve">ij</m:t>
                  </m:r>
                </m:sub>
              </m:sSub>
            </m:oMath>
          </w:p>
        </w:tc>
        <w:tc>
          <w:tcPr>
            <w:tcW w:type="dxa" w:w="2160"/>
          </w:tcPr>
          <w:p>
            <w:pPr>
              <w:jc w:val="center"/>
              <w:spacing w:before="10" w:after="10"/>
            </w:pPr>
            <w:r/>
            <w:r>
              <w:rPr>
                <w:rFonts w:ascii="Times New Roman" w:hAnsi="Times New Roman"/>
                <w:sz w:val="20"/>
              </w:rPr>
              <w:t>Eq. (2)</w:t>
            </w:r>
          </w:p>
        </w:tc>
        <w:tc>
          <w:tcPr>
            <w:tcW w:type="dxa" w:w="2592"/>
          </w:tcPr>
          <w:p>
            <w:pPr>
              <w:jc w:val="left"/>
              <w:spacing w:before="10" w:after="10"/>
            </w:pPr>
            <w:r/>
            <w:r>
              <w:rPr>
                <w:sz w:val="20"/>
                <w:rFonts w:ascii="Times New Roman" w:hAnsi="Times New Roman"/>
                <w:color w:val="1F3864"/>
                <w:u w:val="single"/>
              </w:rPr>
              <w:t xml:space="preserve">Bailey et al. (2017)</w:t>
            </w:r>
          </w:p>
        </w:tc>
      </w:tr>
      <w:tr>
        <w:tc>
          <w:tcPr>
            <w:tcW w:type="dxa" w:w="3744"/>
          </w:tcPr>
          <w:p>
            <w:pPr>
              <w:jc w:val="left"/>
              <w:spacing w:before="10" w:after="10"/>
            </w:pPr>
            <w:r/>
            <w:r>
              <w:rPr>
                <w:rFonts w:ascii="Times New Roman" w:hAnsi="Times New Roman"/>
                <w:sz w:val="20"/>
              </w:rPr>
              <w:t>Training share of compute demand</w:t>
            </w:r>
          </w:p>
        </w:tc>
        <w:tc>
          <w:tcPr>
            <w:tcW w:type="dxa" w:w="864"/>
          </w:tcPr>
          <w:p>
            <w:pPr>
              <w:jc w:val="center"/>
              <w:spacing w:before="10" w:after="10"/>
            </w:pPr>
            <w:r/>
            <w:r>
              <w:rPr>
                <w:rFonts w:ascii="Times New Roman" w:hAnsi="Times New Roman"/>
                <w:sz w:val="20"/>
              </w:rPr>
              <w:t>α</w:t>
            </w:r>
          </w:p>
        </w:tc>
        <w:tc>
          <w:tcPr>
            <w:tcW w:type="dxa" w:w="2160"/>
          </w:tcPr>
          <w:p>
            <w:pPr>
              <w:jc w:val="center"/>
              <w:spacing w:before="10" w:after="10"/>
            </w:pPr>
            <w:r/>
            <w:r>
              <w:rPr>
                <w:rFonts w:ascii="Times New Roman" w:hAnsi="Times New Roman"/>
                <w:sz w:val="20"/>
              </w:rPr>
              <w:t>0.50</w:t>
            </w:r>
          </w:p>
        </w:tc>
        <w:tc>
          <w:tcPr>
            <w:tcW w:type="dxa" w:w="2592"/>
          </w:tcPr>
          <w:p>
            <w:pPr>
              <w:jc w:val="left"/>
              <w:spacing w:before="10" w:after="10"/>
            </w:pPr>
            <w:r/>
            <w:hyperlink w:anchor="Deloitte2025" w:history="1">
              <w:r>
                <w:rPr>
                  <w:sz w:val="20"/>
                  <w:rFonts w:ascii="Times New Roman" w:hAnsi="Times New Roman"/>
                  <w:color w:val="1F3864"/>
                  <w:u w:val="single"/>
                </w:rPr>
                <w:t xml:space="preserve">Deloitte (2025)</w:t>
              </w:r>
            </w:hyperlink>
          </w:p>
        </w:tc>
      </w:tr>
      <w:tr>
        <w:tc>
          <w:tcPr>
            <w:tcW w:type="dxa" w:w="3744"/>
            <w:tcBorders>
              <w:bottom w:val="double" w:sz="4" w:space="0" w:color="auto"/>
            </w:tcBorders>
          </w:tcPr>
          <w:p>
            <w:pPr>
              <w:jc w:val="left"/>
              <w:spacing w:before="10" w:after="10"/>
            </w:pPr>
            <w:r/>
            <w:r>
              <w:rPr>
                <w:rFonts w:ascii="Times New Roman" w:hAnsi="Times New Roman"/>
                <w:sz w:val="20"/>
              </w:rPr>
              <w:t>Total global compute demand</w:t>
            </w:r>
          </w:p>
        </w:tc>
        <w:tc>
          <w:tcPr>
            <w:tcW w:type="dxa" w:w="864"/>
            <w:tcBorders>
              <w:bottom w:val="double" w:sz="4" w:space="0" w:color="auto"/>
            </w:tcBorders>
          </w:tcPr>
          <w:p>
            <w:pPr>
              <w:jc w:val="center"/>
              <w:spacing w:before="10" w:after="10"/>
            </w:pPr>
            <w:r/>
            <w:r>
              <w:rPr>
                <w:rFonts w:ascii="Times New Roman" w:hAnsi="Times New Roman"/>
                <w:sz w:val="20"/>
              </w:rPr>
              <w:t>Q</w:t>
            </w:r>
          </w:p>
        </w:tc>
        <w:tc>
          <w:tcPr>
            <w:tcW w:type="dxa" w:w="2160"/>
            <w:tcBorders>
              <w:bottom w:val="double" w:sz="4" w:space="0" w:color="auto"/>
            </w:tcBorders>
          </w:tcPr>
          <w:p>
            <w:pPr>
              <w:jc w:val="center"/>
              <w:spacing w:before="10" w:after="10"/>
            </w:pPr>
            <w:r/>
            <w:r>
              <w:rPr>
                <w:rFonts w:ascii="Times New Roman" w:hAnsi="Times New Roman"/>
                <w:sz w:val="20"/>
              </w:rPr>
              <w:t>6×10¹⁰ GPU-hr/yr</w:t>
            </w:r>
          </w:p>
        </w:tc>
        <w:tc>
          <w:tcPr>
            <w:tcW w:type="dxa" w:w="2592"/>
            <w:tcBorders>
              <w:bottom w:val="double" w:sz="4" w:space="0" w:color="auto"/>
            </w:tcBorders>
          </w:tcPr>
          <w:p>
            <w:pPr>
              <w:jc w:val="left"/>
              <w:spacing w:before="10" w:after="10"/>
            </w:pPr>
            <w:r/>
            <w:hyperlink w:anchor="EpochAI2024" w:history="1">
              <w:r>
                <w:rPr>
                  <w:sz w:val="20"/>
                  <w:rFonts w:ascii="Times New Roman" w:hAnsi="Times New Roman"/>
                  <w:color w:val="1F3864"/>
                  <w:u w:val="single"/>
                </w:rPr>
                <w:t xml:space="preserve">Epoch AI (2024)</w:t>
              </w:r>
            </w:hyperlink>
          </w:p>
        </w:tc>
      </w:tr>
    </w:tbl>
    <w:p>
      <w:pPr>
        <w:spacing w:before="80" w:after="120" w:line="240" w:lineRule="auto"/>
        <w:ind w:firstLine="0"/>
        <w:jc w:val="left"/>
        <w:sectPr>
          <w:footerReference w:type="default" r:id="rId11"/>
          <w:footerReference w:type="first" r:id="rId12"/>
          <w:pgSz w:w="12240" w:h="15840"/>
          <w:pgMar w:top="1440" w:right="1440" w:bottom="1440" w:left="1440" w:header="720" w:footer="720"/>
          <w:titlePg/>
        </w:sectPr>
      </w:pPr>
      <w:r>
        <w:rPr>
          <w:b/>
          <w:sz w:val="20"/>
        </w:rPr>
        <w:t xml:space="preserve">Notes: </w:t>
      </w:r>
      <w:r>
        <w:rPr>
          <w:sz w:val="20"/>
        </w:rPr>
        <w:t>Hardware cost ρ = P(GPU) / (L · H · β). PUE(θ) = φ + δ · max(0, θ − θ̄). RTT = round-trip time, the network delay for a data packet to travel from client to server and back, measured in milliseconds. Sanctions exposure is captured by the bilateral sovereignty premium λᵢⱼ (equation 2).</w:t>
      </w:r>
    </w:p>
    <w:p>
      <w:pPr>
        <w:spacing w:before="0" w:after="60" w:line="360" w:lineRule="auto"/>
        <w:ind w:firstLine="0"/>
        <w:jc w:val="both"/>
      </w:pPr>
      <w:bookmarkStart w:id="111" w:name="Table3"/>
      <w:hyperlink w:anchor="Table3txt" w:history="1">
        <w:r>
          <w:rPr>
            <w:b/>
            <w:sz w:val="20"/>
            <w:color w:val="1F3864"/>
            <w:u w:val="single"/>
          </w:rPr>
          <w:t>Table 3</w:t>
        </w:r>
      </w:hyperlink>
      <w:bookmarkEnd w:id="111"/>
      <w:r>
        <w:rPr>
          <w:b/>
          <w:sz w:val="20"/>
        </w:rPr>
        <w:t>. Country rankings under alternative cost and sovereignty specifications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0"/>
        <w:gridCol w:w="960"/>
        <w:gridCol w:w="960"/>
        <w:gridCol w:w="960"/>
        <w:gridCol w:w="960"/>
        <w:gridCol w:w="960"/>
        <w:gridCol w:w="960"/>
        <w:gridCol w:w="960"/>
        <w:gridCol w:w="960"/>
      </w:tblGrid>
      <w:tr>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10" w:after="10"/>
              <w:spacing w:before="10" w:after="10"/>
              <w:spacing w:before="10" w:after="10"/>
            </w:pPr>
            <w:r/>
            <w:r>
              <w:rPr>
                <w:rFonts w:ascii="Times New Roman" w:hAnsi="Times New Roman"/>
                <w:b/>
                <w:sz w:val="16"/>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10" w:after="10"/>
              <w:spacing w:before="10" w:after="10"/>
              <w:spacing w:before="10" w:after="10"/>
            </w:pPr>
            <w:r/>
            <w:r>
              <w:rPr>
                <w:rFonts w:ascii="Times New Roman" w:hAnsi="Times New Roman"/>
                <w:b/>
                <w:sz w:val="16"/>
              </w:rPr>
              <w:t>(2) Cost-Recovery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10" w:after="10"/>
              <w:spacing w:before="10" w:after="10"/>
              <w:spacing w:before="10" w:after="10"/>
            </w:pPr>
            <w:r/>
            <w:r>
              <w:rPr>
                <w:rFonts w:ascii="Times New Roman" w:hAnsi="Times New Roman"/>
                <w:b/>
                <w:sz w:val="16"/>
              </w:rPr>
              <w:t>(3) Bilateral</w:t>
            </w:r>
          </w:p>
        </w:tc>
      </w:tr>
      <w:tr>
        <w:tc>
          <w:tcPr>
            <w:tcBorders>
              <w:top w:val="single" w:sz="4" w:space="0" w:color="auto"/>
              <w:bottom w:val="single" w:sz="4" w:space="0" w:color="auto"/>
            </w:tcBorders>
            <w:tcW w:w="14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50" w:type="dxa"/>
          </w:tcPr>
          <w:p>
            <w:pPr>
              <w:jc w:val="center"/>
              <w:spacing w:before="10" w:after="10"/>
            </w:pPr>
            <w:r/>
            <w:r>
              <w:rPr>
                <w:rFonts w:ascii="Times New Roman" w:hAnsi="Times New Roman"/>
                <w:b/>
                <w:sz w:val="16"/>
              </w:rPr>
              <w:t>Pⱼ</w:t>
            </w:r>
          </w:p>
        </w:tc>
        <w:tc>
          <w:tcPr>
            <w:tcBorders>
              <w:top w:val="single" w:sz="4" w:space="0" w:color="auto"/>
              <w:bottom w:val="single" w:sz="4" w:space="0" w:color="auto"/>
            </w:tcBorders>
            <w:tcW w:w="45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4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50" w:type="dxa"/>
          </w:tcPr>
          <w:p>
            <w:pPr>
              <w:jc w:val="center"/>
              <w:spacing w:before="10" w:after="10"/>
            </w:pPr>
            <w:r/>
            <w:r>
              <w:rPr>
                <w:rFonts w:ascii="Times New Roman" w:hAnsi="Times New Roman"/>
                <w:b/>
                <w:sz w:val="16"/>
              </w:rPr>
              <w:t>Pⱼ</w:t>
            </w:r>
          </w:p>
        </w:tc>
        <w:tc>
          <w:tcPr>
            <w:tcBorders>
              <w:top w:val="single" w:sz="4" w:space="0" w:color="auto"/>
              <w:bottom w:val="single" w:sz="4" w:space="0" w:color="auto"/>
            </w:tcBorders>
            <w:tcW w:w="45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4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50" w:type="dxa"/>
          </w:tcPr>
          <w:p>
            <w:pPr>
              <w:jc w:val="center"/>
              <w:spacing w:before="10" w:after="10"/>
            </w:pPr>
            <w:r/>
            <w:r>
              <w:rPr>
                <w:rFonts w:ascii="Times New Roman" w:hAnsi="Times New Roman"/>
                <w:b/>
                <w:sz w:val="16"/>
              </w:rPr>
              <w:t>Pⱼₖ</w:t>
            </w:r>
          </w:p>
        </w:tc>
        <w:tc>
          <w:tcPr>
            <w:tcBorders>
              <w:top w:val="single" w:sz="4" w:space="0" w:color="auto"/>
              <w:bottom w:val="single" w:sz="4" w:space="0" w:color="auto"/>
            </w:tcBorders>
            <w:tcW w:w="450" w:type="dxa"/>
          </w:tcPr>
          <w:p>
            <w:pPr>
              <w:jc w:val="center"/>
              <w:spacing w:before="10" w:after="10"/>
            </w:pPr>
            <w:r/>
            <w:r>
              <w:rPr>
                <w:rFonts w:ascii="Times New Roman" w:hAnsi="Times New Roman"/>
                <w:b/>
                <w:sz w:val="16"/>
              </w:rPr>
              <w:t>Type</w:t>
            </w:r>
          </w:p>
        </w:tc>
      </w:tr>
      <w:tr>
        <w:tc>
          <w:tcPr>
            <w:tcW w:w="1400" w:type="dxa"/>
          </w:tcPr>
          <w:p>
            <w:pPr>
              <w:jc w:val="left"/>
              <w:spacing w:before="10" w:after="10"/>
            </w:pPr>
            <w:r/>
            <w:r>
              <w:rPr>
                <w:rFonts w:ascii="Times New Roman" w:hAnsi="Times New Roman"/>
                <w:sz w:val="16"/>
              </w:rPr>
              <w:t>Iran</w:t>
            </w:r>
          </w:p>
        </w:tc>
        <w:tc>
          <w:tcPr>
            <w:tcW w:w="550" w:type="dxa"/>
          </w:tcPr>
          <w:p>
            <w:pPr>
              <w:jc w:val="center"/>
              <w:spacing w:before="10" w:after="10"/>
            </w:pPr>
            <w:r/>
            <w:r>
              <w:rPr>
                <w:rFonts w:ascii="Times New Roman" w:hAnsi="Times New Roman"/>
                <w:sz w:val="16"/>
              </w:rPr>
              <w:t>$1.56</w:t>
            </w:r>
          </w:p>
        </w:tc>
        <w:tc>
          <w:tcPr>
            <w:tcW w:w="450" w:type="dxa"/>
          </w:tcPr>
          <w:p>
            <w:pPr>
              <w:jc w:val="center"/>
              <w:spacing w:before="10" w:after="10"/>
            </w:pPr>
            <w:r/>
            <w:r>
              <w:rPr>
                <w:rFonts w:ascii="Times New Roman" w:hAnsi="Times New Roman"/>
                <w:sz w:val="16"/>
              </w:rPr>
              <w:t>DD*</w:t>
            </w:r>
          </w:p>
        </w:tc>
        <w:tc>
          <w:tcPr>
            <w:tcW w:w="1400" w:type="dxa"/>
          </w:tcPr>
          <w:p>
            <w:pPr>
              <w:jc w:val="left"/>
              <w:spacing w:before="10" w:after="10"/>
            </w:pPr>
            <w:r/>
            <w:r>
              <w:rPr>
                <w:rFonts w:ascii="Times New Roman" w:hAnsi="Times New Roman"/>
                <w:sz w:val="16"/>
              </w:rPr>
              <w:t>Kyrgyzstan</w:t>
            </w:r>
          </w:p>
        </w:tc>
        <w:tc>
          <w:tcPr>
            <w:tcW w:w="550" w:type="dxa"/>
          </w:tcPr>
          <w:p>
            <w:pPr>
              <w:jc w:val="center"/>
              <w:spacing w:before="10" w:after="10"/>
            </w:pPr>
            <w:r/>
            <w:r>
              <w:rPr>
                <w:rFonts w:ascii="Times New Roman" w:hAnsi="Times New Roman"/>
                <w:sz w:val="16"/>
              </w:rPr>
              <w:t>$1.58</w:t>
            </w:r>
          </w:p>
        </w:tc>
        <w:tc>
          <w:tcPr>
            <w:tcW w:w="450" w:type="dxa"/>
          </w:tcPr>
          <w:p>
            <w:pPr>
              <w:jc w:val="center"/>
              <w:spacing w:before="10" w:after="10"/>
            </w:pPr>
            <w:r/>
            <w:r>
              <w:rPr>
                <w:rFonts w:ascii="Times New Roman" w:hAnsi="Times New Roman"/>
                <w:sz w:val="16"/>
              </w:rPr>
              <w:t>EE†</w:t>
            </w:r>
          </w:p>
        </w:tc>
        <w:tc>
          <w:tcPr>
            <w:tcW w:w="1400" w:type="dxa"/>
          </w:tcPr>
          <w:p>
            <w:pPr>
              <w:jc w:val="left"/>
              <w:spacing w:before="10" w:after="10"/>
            </w:pPr>
            <w:r/>
            <w:r>
              <w:rPr>
                <w:rFonts w:ascii="Times New Roman" w:hAnsi="Times New Roman"/>
                <w:sz w:val="16"/>
              </w:rPr>
              <w:t>Canada</w:t>
            </w:r>
          </w:p>
        </w:tc>
        <w:tc>
          <w:tcPr>
            <w:tcW w:w="550" w:type="dxa"/>
          </w:tcPr>
          <w:p>
            <w:pPr>
              <w:jc w:val="center"/>
              <w:spacing w:before="10" w:after="10"/>
            </w:pPr>
            <w:r/>
            <w:r>
              <w:rPr>
                <w:rFonts w:ascii="Times New Roman" w:hAnsi="Times New Roman"/>
                <w:sz w:val="16"/>
              </w:rPr>
              <w:t>$1.59</w:t>
            </w:r>
          </w:p>
        </w:tc>
        <w:tc>
          <w:tcPr>
            <w:tcW w:w="450" w:type="dxa"/>
          </w:tcPr>
          <w:p>
            <w:pPr>
              <w:jc w:val="center"/>
              <w:spacing w:before="10" w:after="10"/>
            </w:pPr>
            <w:r/>
            <w:r>
              <w:rPr>
                <w:rFonts w:ascii="Times New Roman" w:hAnsi="Times New Roman"/>
                <w:sz w:val="16"/>
              </w:rPr>
              <w:t>EE</w:t>
            </w:r>
          </w:p>
        </w:tc>
      </w:tr>
      <w:tr>
        <w:tc>
          <w:tcPr>
            <w:tcW w:w="1400" w:type="dxa"/>
          </w:tcPr>
          <w:p>
            <w:pPr>
              <w:jc w:val="left"/>
              <w:spacing w:before="10" w:after="10"/>
            </w:pPr>
            <w:r/>
            <w:r>
              <w:rPr>
                <w:rFonts w:ascii="Times New Roman" w:hAnsi="Times New Roman"/>
                <w:sz w:val="16"/>
              </w:rPr>
              <w:t>Turkmenistan</w:t>
            </w:r>
          </w:p>
        </w:tc>
        <w:tc>
          <w:tcPr>
            <w:tcW w:w="550" w:type="dxa"/>
          </w:tcPr>
          <w:p>
            <w:pPr>
              <w:jc w:val="center"/>
              <w:spacing w:before="10" w:after="10"/>
            </w:pPr>
            <w:r/>
            <w:r>
              <w:rPr>
                <w:rFonts w:ascii="Times New Roman" w:hAnsi="Times New Roman"/>
                <w:sz w:val="16"/>
              </w:rPr>
              <w:t>$1.57</w:t>
            </w:r>
          </w:p>
        </w:tc>
        <w:tc>
          <w:tcPr>
            <w:tcW w:w="450" w:type="dxa"/>
          </w:tcPr>
          <w:p>
            <w:pPr>
              <w:jc w:val="center"/>
              <w:spacing w:before="10" w:after="10"/>
            </w:pPr>
            <w:r/>
            <w:r>
              <w:rPr>
                <w:rFonts w:ascii="Times New Roman" w:hAnsi="Times New Roman"/>
                <w:sz w:val="16"/>
              </w:rPr>
              <w:t>DD*</w:t>
            </w:r>
          </w:p>
        </w:tc>
        <w:tc>
          <w:tcPr>
            <w:tcW w:w="1400" w:type="dxa"/>
          </w:tcPr>
          <w:p>
            <w:pPr>
              <w:jc w:val="left"/>
              <w:spacing w:before="10" w:after="10"/>
            </w:pPr>
            <w:r/>
            <w:r>
              <w:rPr>
                <w:rFonts w:ascii="Times New Roman" w:hAnsi="Times New Roman"/>
                <w:sz w:val="16"/>
              </w:rPr>
              <w:t>Canada</w:t>
            </w:r>
          </w:p>
        </w:tc>
        <w:tc>
          <w:tcPr>
            <w:tcW w:w="550" w:type="dxa"/>
          </w:tcPr>
          <w:p>
            <w:pPr>
              <w:jc w:val="center"/>
              <w:spacing w:before="10" w:after="10"/>
            </w:pPr>
            <w:r/>
            <w:r>
              <w:rPr>
                <w:rFonts w:ascii="Times New Roman" w:hAnsi="Times New Roman"/>
                <w:sz w:val="16"/>
              </w:rPr>
              <w:t>$1.59</w:t>
            </w:r>
          </w:p>
        </w:tc>
        <w:tc>
          <w:tcPr>
            <w:tcW w:w="450" w:type="dxa"/>
          </w:tcPr>
          <w:p>
            <w:pPr>
              <w:jc w:val="center"/>
              <w:spacing w:before="10" w:after="10"/>
            </w:pPr>
            <w:r/>
            <w:r>
              <w:rPr>
                <w:rFonts w:ascii="Times New Roman" w:hAnsi="Times New Roman"/>
                <w:sz w:val="16"/>
              </w:rPr>
              <w:t>EE</w:t>
            </w:r>
          </w:p>
        </w:tc>
        <w:tc>
          <w:tcPr>
            <w:tcW w:w="1400" w:type="dxa"/>
          </w:tcPr>
          <w:p>
            <w:pPr>
              <w:jc w:val="left"/>
              <w:spacing w:before="10" w:after="10"/>
            </w:pPr>
            <w:r/>
            <w:r>
              <w:rPr>
                <w:rFonts w:ascii="Times New Roman" w:hAnsi="Times New Roman"/>
                <w:sz w:val="16"/>
              </w:rPr>
              <w:t>USA</w:t>
            </w:r>
          </w:p>
        </w:tc>
        <w:tc>
          <w:tcPr>
            <w:tcW w:w="55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Ethiopia</w:t>
            </w:r>
          </w:p>
        </w:tc>
        <w:tc>
          <w:tcPr>
            <w:tcW w:w="550" w:type="dxa"/>
          </w:tcPr>
          <w:p>
            <w:pPr>
              <w:jc w:val="center"/>
              <w:spacing w:before="10" w:after="10"/>
            </w:pPr>
            <w:r/>
            <w:r>
              <w:rPr>
                <w:rFonts w:ascii="Times New Roman" w:hAnsi="Times New Roman"/>
                <w:sz w:val="16"/>
              </w:rPr>
              <w:t>$1.58</w:t>
            </w:r>
          </w:p>
        </w:tc>
        <w:tc>
          <w:tcPr>
            <w:tcW w:w="450" w:type="dxa"/>
          </w:tcPr>
          <w:p>
            <w:pPr>
              <w:jc w:val="center"/>
              <w:spacing w:before="10" w:after="10"/>
            </w:pPr>
            <w:r/>
            <w:r>
              <w:rPr>
                <w:rFonts w:ascii="Times New Roman" w:hAnsi="Times New Roman"/>
                <w:sz w:val="16"/>
              </w:rPr>
              <w:t>EE†</w:t>
            </w:r>
          </w:p>
        </w:tc>
        <w:tc>
          <w:tcPr>
            <w:tcW w:w="1400" w:type="dxa"/>
          </w:tcPr>
          <w:p>
            <w:pPr>
              <w:jc w:val="left"/>
              <w:spacing w:before="10" w:after="10"/>
            </w:pPr>
            <w:r/>
            <w:r>
              <w:rPr>
                <w:rFonts w:ascii="Times New Roman" w:hAnsi="Times New Roman"/>
                <w:sz w:val="16"/>
              </w:rPr>
              <w:t>Ethiopia</w:t>
            </w:r>
          </w:p>
        </w:tc>
        <w:tc>
          <w:tcPr>
            <w:tcW w:w="550" w:type="dxa"/>
          </w:tcPr>
          <w:p>
            <w:pPr>
              <w:jc w:val="center"/>
              <w:spacing w:before="10" w:after="10"/>
            </w:pPr>
            <w:r/>
            <w:r>
              <w:rPr>
                <w:rFonts w:ascii="Times New Roman" w:hAnsi="Times New Roman"/>
                <w:sz w:val="16"/>
              </w:rPr>
              <w:t>$1.59</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Australia</w:t>
            </w:r>
          </w:p>
        </w:tc>
        <w:tc>
          <w:tcPr>
            <w:tcW w:w="550" w:type="dxa"/>
          </w:tcPr>
          <w:p>
            <w:pPr>
              <w:jc w:val="center"/>
              <w:spacing w:before="10" w:after="10"/>
            </w:pPr>
            <w:r/>
            <w:r>
              <w:rPr>
                <w:rFonts w:ascii="Times New Roman" w:hAnsi="Times New Roman"/>
                <w:sz w:val="16"/>
              </w:rPr>
              <w:t>$1.65</w:t>
            </w:r>
          </w:p>
        </w:tc>
        <w:tc>
          <w:tcPr>
            <w:tcW w:w="450" w:type="dxa"/>
          </w:tcPr>
          <w:p>
            <w:pPr>
              <w:jc w:val="center"/>
              <w:spacing w:before="10" w:after="10"/>
            </w:pPr>
            <w:r/>
            <w:r>
              <w:rPr>
                <w:rFonts w:ascii="Times New Roman" w:hAnsi="Times New Roman"/>
                <w:sz w:val="16"/>
              </w:rPr>
              <w:t>II</w:t>
            </w:r>
          </w:p>
        </w:tc>
      </w:tr>
      <w:tr>
        <w:tc>
          <w:tcPr>
            <w:tcW w:w="1400" w:type="dxa"/>
          </w:tcPr>
          <w:p>
            <w:pPr>
              <w:jc w:val="left"/>
              <w:spacing w:before="10" w:after="10"/>
            </w:pPr>
            <w:r/>
            <w:r>
              <w:rPr>
                <w:rFonts w:ascii="Times New Roman" w:hAnsi="Times New Roman"/>
                <w:sz w:val="16"/>
              </w:rPr>
              <w:t>Kyrgyzstan</w:t>
            </w:r>
          </w:p>
        </w:tc>
        <w:tc>
          <w:tcPr>
            <w:tcW w:w="550" w:type="dxa"/>
          </w:tcPr>
          <w:p>
            <w:pPr>
              <w:jc w:val="center"/>
              <w:spacing w:before="10" w:after="10"/>
            </w:pPr>
            <w:r/>
            <w:r>
              <w:rPr>
                <w:rFonts w:ascii="Times New Roman" w:hAnsi="Times New Roman"/>
                <w:sz w:val="16"/>
              </w:rPr>
              <w:t>$1.58</w:t>
            </w:r>
          </w:p>
        </w:tc>
        <w:tc>
          <w:tcPr>
            <w:tcW w:w="450" w:type="dxa"/>
          </w:tcPr>
          <w:p>
            <w:pPr>
              <w:jc w:val="center"/>
              <w:spacing w:before="10" w:after="10"/>
            </w:pPr>
            <w:r/>
            <w:r>
              <w:rPr>
                <w:rFonts w:ascii="Times New Roman" w:hAnsi="Times New Roman"/>
                <w:sz w:val="16"/>
              </w:rPr>
              <w:t>EE†</w:t>
            </w:r>
          </w:p>
        </w:tc>
        <w:tc>
          <w:tcPr>
            <w:tcW w:w="1400" w:type="dxa"/>
          </w:tcPr>
          <w:p>
            <w:pPr>
              <w:jc w:val="left"/>
              <w:spacing w:before="10" w:after="10"/>
            </w:pPr>
            <w:r/>
            <w:r>
              <w:rPr>
                <w:rFonts w:ascii="Times New Roman" w:hAnsi="Times New Roman"/>
                <w:sz w:val="16"/>
              </w:rPr>
              <w:t>Kosovo</w:t>
            </w:r>
          </w:p>
        </w:tc>
        <w:tc>
          <w:tcPr>
            <w:tcW w:w="5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Kyrgyzstan</w:t>
            </w:r>
          </w:p>
        </w:tc>
        <w:tc>
          <w:tcPr>
            <w:tcW w:w="550" w:type="dxa"/>
          </w:tcPr>
          <w:p>
            <w:pPr>
              <w:jc w:val="center"/>
              <w:spacing w:before="10" w:after="10"/>
            </w:pPr>
            <w:r/>
            <w:r>
              <w:rPr>
                <w:rFonts w:ascii="Times New Roman" w:hAnsi="Times New Roman"/>
                <w:sz w:val="16"/>
              </w:rPr>
              <w:t>$1.65</w:t>
            </w:r>
          </w:p>
        </w:tc>
        <w:tc>
          <w:tcPr>
            <w:tcW w:w="450" w:type="dxa"/>
          </w:tcPr>
          <w:p>
            <w:pPr>
              <w:jc w:val="center"/>
              <w:spacing w:before="10" w:after="10"/>
            </w:pPr>
            <w:r/>
            <w:r>
              <w:rPr>
                <w:rFonts w:ascii="Times New Roman" w:hAnsi="Times New Roman"/>
                <w:sz w:val="16"/>
              </w:rPr>
              <w:t>EE†</w:t>
            </w:r>
          </w:p>
        </w:tc>
      </w:tr>
      <w:tr>
        <w:tc>
          <w:tcPr>
            <w:tcW w:w="1400" w:type="dxa"/>
          </w:tcPr>
          <w:p>
            <w:pPr>
              <w:jc w:val="left"/>
              <w:spacing w:before="10" w:after="10"/>
            </w:pPr>
            <w:r/>
            <w:r>
              <w:rPr>
                <w:rFonts w:ascii="Times New Roman" w:hAnsi="Times New Roman"/>
                <w:sz w:val="16"/>
              </w:rPr>
              <w:t>Egypt</w:t>
            </w:r>
          </w:p>
        </w:tc>
        <w:tc>
          <w:tcPr>
            <w:tcW w:w="550" w:type="dxa"/>
          </w:tcPr>
          <w:p>
            <w:pPr>
              <w:jc w:val="center"/>
              <w:spacing w:before="10" w:after="10"/>
            </w:pPr>
            <w:r/>
            <w:r>
              <w:rPr>
                <w:rFonts w:ascii="Times New Roman" w:hAnsi="Times New Roman"/>
                <w:sz w:val="16"/>
              </w:rPr>
              <w:t>$1.58</w:t>
            </w:r>
          </w:p>
        </w:tc>
        <w:tc>
          <w:tcPr>
            <w:tcW w:w="450" w:type="dxa"/>
          </w:tcPr>
          <w:p>
            <w:pPr>
              <w:jc w:val="center"/>
              <w:spacing w:before="10" w:after="10"/>
            </w:pPr>
            <w:r/>
            <w:r>
              <w:rPr>
                <w:rFonts w:ascii="Times New Roman" w:hAnsi="Times New Roman"/>
                <w:sz w:val="16"/>
              </w:rPr>
              <w:t>EE†</w:t>
            </w:r>
          </w:p>
        </w:tc>
        <w:tc>
          <w:tcPr>
            <w:tcW w:w="1400" w:type="dxa"/>
          </w:tcPr>
          <w:p>
            <w:pPr>
              <w:jc w:val="left"/>
              <w:spacing w:before="10" w:after="10"/>
            </w:pPr>
            <w:r/>
            <w:r>
              <w:rPr>
                <w:rFonts w:ascii="Times New Roman" w:hAnsi="Times New Roman"/>
                <w:sz w:val="16"/>
              </w:rPr>
              <w:t>Tajikistan</w:t>
            </w:r>
          </w:p>
        </w:tc>
        <w:tc>
          <w:tcPr>
            <w:tcW w:w="5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Norway</w:t>
            </w:r>
          </w:p>
        </w:tc>
        <w:tc>
          <w:tcPr>
            <w:tcW w:w="550" w:type="dxa"/>
          </w:tcPr>
          <w:p>
            <w:pPr>
              <w:jc w:val="center"/>
              <w:spacing w:before="10" w:after="10"/>
            </w:pPr>
            <w:r/>
            <w:r>
              <w:rPr>
                <w:rFonts w:ascii="Times New Roman" w:hAnsi="Times New Roman"/>
                <w:sz w:val="16"/>
              </w:rPr>
              <w:t>$1.66</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Algeria</w:t>
            </w:r>
          </w:p>
        </w:tc>
        <w:tc>
          <w:tcPr>
            <w:tcW w:w="550" w:type="dxa"/>
          </w:tcPr>
          <w:p>
            <w:pPr>
              <w:jc w:val="center"/>
              <w:spacing w:before="10" w:after="10"/>
            </w:pPr>
            <w:r/>
            <w:r>
              <w:rPr>
                <w:rFonts w:ascii="Times New Roman" w:hAnsi="Times New Roman"/>
                <w:sz w:val="16"/>
              </w:rPr>
              <w:t>$1.59</w:t>
            </w:r>
          </w:p>
        </w:tc>
        <w:tc>
          <w:tcPr>
            <w:tcW w:w="450" w:type="dxa"/>
          </w:tcPr>
          <w:p>
            <w:pPr>
              <w:jc w:val="center"/>
              <w:spacing w:before="10" w:after="10"/>
            </w:pPr>
            <w:r/>
            <w:r>
              <w:rPr>
                <w:rFonts w:ascii="Times New Roman" w:hAnsi="Times New Roman"/>
                <w:sz w:val="16"/>
              </w:rPr>
              <w:t>EE†</w:t>
            </w:r>
          </w:p>
        </w:tc>
        <w:tc>
          <w:tcPr>
            <w:tcW w:w="1400" w:type="dxa"/>
          </w:tcPr>
          <w:p>
            <w:pPr>
              <w:jc w:val="left"/>
              <w:spacing w:before="10" w:after="10"/>
            </w:pPr>
            <w:r/>
            <w:r>
              <w:rPr>
                <w:rFonts w:ascii="Times New Roman" w:hAnsi="Times New Roman"/>
                <w:sz w:val="16"/>
              </w:rPr>
              <w:t>Montenegro</w:t>
            </w:r>
          </w:p>
        </w:tc>
        <w:tc>
          <w:tcPr>
            <w:tcW w:w="5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Finland</w:t>
            </w:r>
          </w:p>
        </w:tc>
        <w:tc>
          <w:tcPr>
            <w:tcW w:w="550" w:type="dxa"/>
          </w:tcPr>
          <w:p>
            <w:pPr>
              <w:jc w:val="center"/>
              <w:spacing w:before="10" w:after="10"/>
            </w:pPr>
            <w:r/>
            <w:r>
              <w:rPr>
                <w:rFonts w:ascii="Times New Roman" w:hAnsi="Times New Roman"/>
                <w:sz w:val="16"/>
              </w:rPr>
              <w:t>$1.66</w:t>
            </w:r>
          </w:p>
        </w:tc>
        <w:tc>
          <w:tcPr>
            <w:tcW w:w="450" w:type="dxa"/>
          </w:tcPr>
          <w:p>
            <w:pPr>
              <w:jc w:val="center"/>
              <w:spacing w:before="10" w:after="10"/>
            </w:pPr>
            <w:r/>
            <w:r>
              <w:rPr>
                <w:rFonts w:ascii="Times New Roman" w:hAnsi="Times New Roman"/>
                <w:sz w:val="16"/>
              </w:rPr>
              <w:t>IE</w:t>
            </w:r>
          </w:p>
        </w:tc>
      </w:tr>
      <w:tr>
        <w:tc>
          <w:tcPr>
            <w:tcW w:w="1400" w:type="dxa"/>
          </w:tcPr>
          <w:p>
            <w:pPr>
              <w:jc w:val="left"/>
              <w:spacing w:before="10" w:after="10"/>
            </w:pPr>
            <w:r/>
            <w:r>
              <w:rPr>
                <w:rFonts w:ascii="Times New Roman" w:hAnsi="Times New Roman"/>
                <w:sz w:val="16"/>
              </w:rPr>
              <w:t>Canada</w:t>
            </w:r>
          </w:p>
        </w:tc>
        <w:tc>
          <w:tcPr>
            <w:tcW w:w="550" w:type="dxa"/>
          </w:tcPr>
          <w:p>
            <w:pPr>
              <w:jc w:val="center"/>
              <w:spacing w:before="10" w:after="10"/>
            </w:pPr>
            <w:r/>
            <w:r>
              <w:rPr>
                <w:rFonts w:ascii="Times New Roman" w:hAnsi="Times New Roman"/>
                <w:sz w:val="16"/>
              </w:rPr>
              <w:t>$1.59</w:t>
            </w:r>
          </w:p>
        </w:tc>
        <w:tc>
          <w:tcPr>
            <w:tcW w:w="450" w:type="dxa"/>
          </w:tcPr>
          <w:p>
            <w:pPr>
              <w:jc w:val="center"/>
              <w:spacing w:before="10" w:after="10"/>
            </w:pPr>
            <w:r/>
            <w:r>
              <w:rPr>
                <w:rFonts w:ascii="Times New Roman" w:hAnsi="Times New Roman"/>
                <w:sz w:val="16"/>
              </w:rPr>
              <w:t>EE</w:t>
            </w:r>
          </w:p>
        </w:tc>
        <w:tc>
          <w:tcPr>
            <w:tcW w:w="1400" w:type="dxa"/>
          </w:tcPr>
          <w:p>
            <w:pPr>
              <w:jc w:val="left"/>
              <w:spacing w:before="10" w:after="10"/>
            </w:pPr>
            <w:r/>
            <w:r>
              <w:rPr>
                <w:rFonts w:ascii="Times New Roman" w:hAnsi="Times New Roman"/>
                <w:sz w:val="16"/>
              </w:rPr>
              <w:t>China</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Sweden</w:t>
            </w:r>
          </w:p>
        </w:tc>
        <w:tc>
          <w:tcPr>
            <w:tcW w:w="550" w:type="dxa"/>
          </w:tcPr>
          <w:p>
            <w:pPr>
              <w:jc w:val="center"/>
              <w:spacing w:before="10" w:after="10"/>
            </w:pPr>
            <w:r/>
            <w:r>
              <w:rPr>
                <w:rFonts w:ascii="Times New Roman" w:hAnsi="Times New Roman"/>
                <w:sz w:val="16"/>
              </w:rPr>
              <w:t>$1.67</w:t>
            </w:r>
          </w:p>
        </w:tc>
        <w:tc>
          <w:tcPr>
            <w:tcW w:w="450" w:type="dxa"/>
          </w:tcPr>
          <w:p>
            <w:pPr>
              <w:jc w:val="center"/>
              <w:spacing w:before="10" w:after="10"/>
            </w:pPr>
            <w:r/>
            <w:r>
              <w:rPr>
                <w:rFonts w:ascii="Times New Roman" w:hAnsi="Times New Roman"/>
                <w:sz w:val="16"/>
              </w:rPr>
              <w:t>IE</w:t>
            </w:r>
          </w:p>
        </w:tc>
      </w:tr>
      <w:tr>
        <w:tc>
          <w:tcPr>
            <w:tcW w:w="1400" w:type="dxa"/>
          </w:tcPr>
          <w:p>
            <w:pPr>
              <w:jc w:val="left"/>
              <w:spacing w:before="10" w:after="10"/>
            </w:pPr>
            <w:r/>
            <w:r>
              <w:rPr>
                <w:rFonts w:ascii="Times New Roman" w:hAnsi="Times New Roman"/>
                <w:sz w:val="16"/>
              </w:rPr>
              <w:t>Russia</w:t>
            </w:r>
          </w:p>
        </w:tc>
        <w:tc>
          <w:tcPr>
            <w:tcW w:w="550" w:type="dxa"/>
          </w:tcPr>
          <w:p>
            <w:pPr>
              <w:jc w:val="center"/>
              <w:spacing w:before="10" w:after="10"/>
            </w:pPr>
            <w:r/>
            <w:r>
              <w:rPr>
                <w:rFonts w:ascii="Times New Roman" w:hAnsi="Times New Roman"/>
                <w:sz w:val="16"/>
              </w:rPr>
              <w:t>$1.59</w:t>
            </w:r>
          </w:p>
        </w:tc>
        <w:tc>
          <w:tcPr>
            <w:tcW w:w="450" w:type="dxa"/>
          </w:tcPr>
          <w:p>
            <w:pPr>
              <w:jc w:val="center"/>
              <w:spacing w:before="10" w:after="10"/>
            </w:pPr>
            <w:r/>
            <w:r>
              <w:rPr>
                <w:rFonts w:ascii="Times New Roman" w:hAnsi="Times New Roman"/>
                <w:sz w:val="16"/>
              </w:rPr>
              <w:t>DD*</w:t>
            </w:r>
          </w:p>
        </w:tc>
        <w:tc>
          <w:tcPr>
            <w:tcW w:w="1400" w:type="dxa"/>
          </w:tcPr>
          <w:p>
            <w:pPr>
              <w:jc w:val="left"/>
              <w:spacing w:before="10" w:after="10"/>
            </w:pPr>
            <w:r/>
            <w:r>
              <w:rPr>
                <w:rFonts w:ascii="Times New Roman" w:hAnsi="Times New Roman"/>
                <w:sz w:val="16"/>
              </w:rPr>
              <w:t>Ukraine</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Ethiopia</w:t>
            </w:r>
          </w:p>
        </w:tc>
        <w:tc>
          <w:tcPr>
            <w:tcW w:w="550" w:type="dxa"/>
          </w:tcPr>
          <w:p>
            <w:pPr>
              <w:jc w:val="center"/>
              <w:spacing w:before="10" w:after="10"/>
            </w:pPr>
            <w:r/>
            <w:r>
              <w:rPr>
                <w:rFonts w:ascii="Times New Roman" w:hAnsi="Times New Roman"/>
                <w:sz w:val="16"/>
              </w:rPr>
              <w:t>$1.67</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South Africa</w:t>
            </w:r>
          </w:p>
        </w:tc>
        <w:tc>
          <w:tcPr>
            <w:tcW w:w="5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Argentina</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Kosovo</w:t>
            </w:r>
          </w:p>
        </w:tc>
        <w:tc>
          <w:tcPr>
            <w:tcW w:w="550" w:type="dxa"/>
          </w:tcPr>
          <w:p>
            <w:pPr>
              <w:jc w:val="center"/>
              <w:spacing w:before="10" w:after="10"/>
            </w:pPr>
            <w:r/>
            <w:r>
              <w:rPr>
                <w:rFonts w:ascii="Times New Roman" w:hAnsi="Times New Roman"/>
                <w:sz w:val="16"/>
              </w:rPr>
              <w:t>$1.67</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Kosovo</w:t>
            </w:r>
          </w:p>
        </w:tc>
        <w:tc>
          <w:tcPr>
            <w:tcW w:w="5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Colombia</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South Korea</w:t>
            </w:r>
          </w:p>
        </w:tc>
        <w:tc>
          <w:tcPr>
            <w:tcW w:w="550" w:type="dxa"/>
          </w:tcPr>
          <w:p>
            <w:pPr>
              <w:jc w:val="center"/>
              <w:spacing w:before="10" w:after="10"/>
            </w:pPr>
            <w:r/>
            <w:r>
              <w:rPr>
                <w:rFonts w:ascii="Times New Roman" w:hAnsi="Times New Roman"/>
                <w:sz w:val="16"/>
              </w:rPr>
              <w:t>$1.67</w:t>
            </w:r>
          </w:p>
        </w:tc>
        <w:tc>
          <w:tcPr>
            <w:tcW w:w="450" w:type="dxa"/>
          </w:tcPr>
          <w:p>
            <w:pPr>
              <w:jc w:val="center"/>
              <w:spacing w:before="10" w:after="10"/>
            </w:pPr>
            <w:r/>
            <w:r>
              <w:rPr>
                <w:rFonts w:ascii="Times New Roman" w:hAnsi="Times New Roman"/>
                <w:sz w:val="16"/>
              </w:rPr>
              <w:t>II</w:t>
            </w:r>
          </w:p>
        </w:tc>
      </w:tr>
      <w:tr>
        <w:tc>
          <w:tcPr>
            <w:tcW w:w="1400" w:type="dxa"/>
          </w:tcPr>
          <w:p>
            <w:pPr>
              <w:jc w:val="left"/>
              <w:spacing w:before="10" w:after="10"/>
            </w:pPr>
            <w:r/>
            <w:r>
              <w:rPr>
                <w:rFonts w:ascii="Times New Roman" w:hAnsi="Times New Roman"/>
                <w:sz w:val="16"/>
              </w:rPr>
              <w:t>Nigeria</w:t>
            </w:r>
          </w:p>
        </w:tc>
        <w:tc>
          <w:tcPr>
            <w:tcW w:w="5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Azerbaijan</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Tajikistan</w:t>
            </w:r>
          </w:p>
        </w:tc>
        <w:tc>
          <w:tcPr>
            <w:tcW w:w="550" w:type="dxa"/>
          </w:tcPr>
          <w:p>
            <w:pPr>
              <w:jc w:val="center"/>
              <w:spacing w:before="10" w:after="10"/>
            </w:pPr>
            <w:r/>
            <w:r>
              <w:rPr>
                <w:rFonts w:ascii="Times New Roman" w:hAnsi="Times New Roman"/>
                <w:sz w:val="16"/>
              </w:rPr>
              <w:t>$1.68</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Tajikistan</w:t>
            </w:r>
          </w:p>
        </w:tc>
        <w:tc>
          <w:tcPr>
            <w:tcW w:w="5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Russia</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DD*</w:t>
            </w:r>
          </w:p>
        </w:tc>
        <w:tc>
          <w:tcPr>
            <w:tcW w:w="1400" w:type="dxa"/>
          </w:tcPr>
          <w:p>
            <w:pPr>
              <w:jc w:val="left"/>
              <w:spacing w:before="10" w:after="10"/>
            </w:pPr>
            <w:r/>
            <w:r>
              <w:rPr>
                <w:rFonts w:ascii="Times New Roman" w:hAnsi="Times New Roman"/>
                <w:sz w:val="16"/>
              </w:rPr>
              <w:t>Montenegro</w:t>
            </w:r>
          </w:p>
        </w:tc>
        <w:tc>
          <w:tcPr>
            <w:tcW w:w="550" w:type="dxa"/>
          </w:tcPr>
          <w:p>
            <w:pPr>
              <w:jc w:val="center"/>
              <w:spacing w:before="10" w:after="10"/>
            </w:pPr>
            <w:r/>
            <w:r>
              <w:rPr>
                <w:rFonts w:ascii="Times New Roman" w:hAnsi="Times New Roman"/>
                <w:sz w:val="16"/>
              </w:rPr>
              <w:t>$1.68</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Montenegro</w:t>
            </w:r>
          </w:p>
        </w:tc>
        <w:tc>
          <w:tcPr>
            <w:tcW w:w="550" w:type="dxa"/>
          </w:tcPr>
          <w:p>
            <w:pPr>
              <w:jc w:val="center"/>
              <w:spacing w:before="10" w:after="10"/>
            </w:pPr>
            <w:r/>
            <w:r>
              <w:rPr>
                <w:rFonts w:ascii="Times New Roman" w:hAnsi="Times New Roman"/>
                <w:sz w:val="16"/>
              </w:rPr>
              <w:t>$1.60</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Norway</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Mexico</w:t>
            </w:r>
          </w:p>
        </w:tc>
        <w:tc>
          <w:tcPr>
            <w:tcW w:w="550" w:type="dxa"/>
          </w:tcPr>
          <w:p>
            <w:pPr>
              <w:jc w:val="center"/>
              <w:spacing w:before="10" w:after="10"/>
            </w:pPr>
            <w:r/>
            <w:r>
              <w:rPr>
                <w:rFonts w:ascii="Times New Roman" w:hAnsi="Times New Roman"/>
                <w:sz w:val="16"/>
              </w:rPr>
              <w:t>$1.68</w:t>
            </w:r>
          </w:p>
        </w:tc>
        <w:tc>
          <w:tcPr>
            <w:tcW w:w="450" w:type="dxa"/>
          </w:tcPr>
          <w:p>
            <w:pPr>
              <w:jc w:val="center"/>
              <w:spacing w:before="10" w:after="10"/>
            </w:pPr>
            <w:r/>
            <w:r>
              <w:rPr>
                <w:rFonts w:ascii="Times New Roman" w:hAnsi="Times New Roman"/>
                <w:sz w:val="16"/>
              </w:rPr>
              <w:t>II</w:t>
            </w:r>
          </w:p>
        </w:tc>
      </w:tr>
      <w:tr>
        <w:tc>
          <w:tcPr>
            <w:tcW w:w="1400" w:type="dxa"/>
          </w:tcPr>
          <w:p>
            <w:pPr>
              <w:jc w:val="left"/>
              <w:spacing w:before="10" w:after="10"/>
            </w:pPr>
            <w:r/>
            <w:r>
              <w:rPr>
                <w:rFonts w:ascii="Times New Roman" w:hAnsi="Times New Roman"/>
                <w:sz w:val="16"/>
              </w:rPr>
              <w:t>China</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Algeria</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Ukraine</w:t>
            </w:r>
          </w:p>
        </w:tc>
        <w:tc>
          <w:tcPr>
            <w:tcW w:w="550" w:type="dxa"/>
          </w:tcPr>
          <w:p>
            <w:pPr>
              <w:jc w:val="center"/>
              <w:spacing w:before="10" w:after="10"/>
            </w:pPr>
            <w:r/>
            <w:r>
              <w:rPr>
                <w:rFonts w:ascii="Times New Roman" w:hAnsi="Times New Roman"/>
                <w:sz w:val="16"/>
              </w:rPr>
              <w:t>$1.68</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Qatar</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Finland</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Iceland</w:t>
            </w:r>
          </w:p>
        </w:tc>
        <w:tc>
          <w:tcPr>
            <w:tcW w:w="550" w:type="dxa"/>
          </w:tcPr>
          <w:p>
            <w:pPr>
              <w:jc w:val="center"/>
              <w:spacing w:before="10" w:after="10"/>
            </w:pPr>
            <w:r/>
            <w:r>
              <w:rPr>
                <w:rFonts w:ascii="Times New Roman" w:hAnsi="Times New Roman"/>
                <w:sz w:val="16"/>
              </w:rPr>
              <w:t>$1.68</w:t>
            </w:r>
          </w:p>
        </w:tc>
        <w:tc>
          <w:tcPr>
            <w:tcW w:w="450" w:type="dxa"/>
          </w:tcPr>
          <w:p>
            <w:pPr>
              <w:jc w:val="center"/>
              <w:spacing w:before="10" w:after="10"/>
            </w:pPr>
            <w:r/>
            <w:r>
              <w:rPr>
                <w:rFonts w:ascii="Times New Roman" w:hAnsi="Times New Roman"/>
                <w:sz w:val="16"/>
              </w:rPr>
              <w:t>II</w:t>
            </w:r>
          </w:p>
        </w:tc>
      </w:tr>
      <w:tr>
        <w:tc>
          <w:tcPr>
            <w:tcW w:w="1400" w:type="dxa"/>
          </w:tcPr>
          <w:p>
            <w:pPr>
              <w:jc w:val="left"/>
              <w:spacing w:before="10" w:after="10"/>
            </w:pPr>
            <w:r/>
            <w:r>
              <w:rPr>
                <w:rFonts w:ascii="Times New Roman" w:hAnsi="Times New Roman"/>
                <w:sz w:val="16"/>
              </w:rPr>
              <w:t>Ukraine</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Vietnam</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Argentina</w:t>
            </w:r>
          </w:p>
        </w:tc>
        <w:tc>
          <w:tcPr>
            <w:tcW w:w="550" w:type="dxa"/>
          </w:tcPr>
          <w:p>
            <w:pPr>
              <w:jc w:val="center"/>
              <w:spacing w:before="10" w:after="10"/>
            </w:pPr>
            <w:r/>
            <w:r>
              <w:rPr>
                <w:rFonts w:ascii="Times New Roman" w:hAnsi="Times New Roman"/>
                <w:sz w:val="16"/>
              </w:rPr>
              <w:t>$1.68</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Argentina</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Brazil</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Colombia</w:t>
            </w:r>
          </w:p>
        </w:tc>
        <w:tc>
          <w:tcPr>
            <w:tcW w:w="55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Colombia</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Turkmenistan</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DD*</w:t>
            </w:r>
          </w:p>
        </w:tc>
        <w:tc>
          <w:tcPr>
            <w:tcW w:w="1400" w:type="dxa"/>
          </w:tcPr>
          <w:p>
            <w:pPr>
              <w:jc w:val="left"/>
              <w:spacing w:before="10" w:after="10"/>
            </w:pPr>
            <w:r/>
            <w:r>
              <w:rPr>
                <w:rFonts w:ascii="Times New Roman" w:hAnsi="Times New Roman"/>
                <w:sz w:val="16"/>
              </w:rPr>
              <w:t>Azerbaijan</w:t>
            </w:r>
          </w:p>
        </w:tc>
        <w:tc>
          <w:tcPr>
            <w:tcW w:w="55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Azerbaijan</w:t>
            </w:r>
          </w:p>
        </w:tc>
        <w:tc>
          <w:tcPr>
            <w:tcW w:w="550" w:type="dxa"/>
          </w:tcPr>
          <w:p>
            <w:pPr>
              <w:jc w:val="center"/>
              <w:spacing w:before="10" w:after="10"/>
            </w:pPr>
            <w:r/>
            <w:r>
              <w:rPr>
                <w:rFonts w:ascii="Times New Roman" w:hAnsi="Times New Roman"/>
                <w:sz w:val="16"/>
              </w:rPr>
              <w:t>$1.61</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Egypt</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UK</w:t>
            </w:r>
          </w:p>
        </w:tc>
        <w:tc>
          <w:tcPr>
            <w:tcW w:w="55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II</w:t>
            </w:r>
          </w:p>
        </w:tc>
      </w:tr>
      <w:tr>
        <w:tc>
          <w:tcPr>
            <w:tcW w:w="1400" w:type="dxa"/>
          </w:tcPr>
          <w:p>
            <w:pPr>
              <w:jc w:val="left"/>
              <w:spacing w:before="10" w:after="10"/>
            </w:pPr>
            <w:r/>
            <w:r>
              <w:rPr>
                <w:rFonts w:ascii="Times New Roman" w:hAnsi="Times New Roman"/>
                <w:sz w:val="16"/>
              </w:rPr>
              <w:t>Norway</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Sweden</w:t>
            </w:r>
          </w:p>
        </w:tc>
        <w:tc>
          <w:tcPr>
            <w:tcW w:w="55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New Zealand</w:t>
            </w:r>
          </w:p>
        </w:tc>
        <w:tc>
          <w:tcPr>
            <w:tcW w:w="55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II</w:t>
            </w:r>
          </w:p>
        </w:tc>
      </w:tr>
      <w:tr>
        <w:tc>
          <w:tcPr>
            <w:tcW w:w="1400" w:type="dxa"/>
          </w:tcPr>
          <w:p>
            <w:pPr>
              <w:jc w:val="left"/>
              <w:spacing w:before="10" w:after="10"/>
            </w:pPr>
            <w:r/>
            <w:r>
              <w:rPr>
                <w:rFonts w:ascii="Times New Roman" w:hAnsi="Times New Roman"/>
                <w:sz w:val="16"/>
              </w:rPr>
              <w:t>Kazakhstan</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India</w:t>
            </w:r>
          </w:p>
        </w:tc>
        <w:tc>
          <w:tcPr>
            <w:tcW w:w="55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France</w:t>
            </w:r>
          </w:p>
        </w:tc>
        <w:tc>
          <w:tcPr>
            <w:tcW w:w="55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II</w:t>
            </w:r>
          </w:p>
        </w:tc>
      </w:tr>
      <w:tr>
        <w:tc>
          <w:tcPr>
            <w:tcW w:w="1400" w:type="dxa"/>
          </w:tcPr>
          <w:p>
            <w:pPr>
              <w:jc w:val="left"/>
              <w:spacing w:before="10" w:after="10"/>
            </w:pPr>
            <w:r/>
            <w:r>
              <w:rPr>
                <w:rFonts w:ascii="Times New Roman" w:hAnsi="Times New Roman"/>
                <w:sz w:val="16"/>
              </w:rPr>
              <w:t>Uzbekistan</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Indonesia</w:t>
            </w:r>
          </w:p>
        </w:tc>
        <w:tc>
          <w:tcPr>
            <w:tcW w:w="55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Algeria</w:t>
            </w:r>
          </w:p>
        </w:tc>
        <w:tc>
          <w:tcPr>
            <w:tcW w:w="55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DD</w:t>
            </w:r>
          </w:p>
        </w:tc>
      </w:tr>
      <w:tr>
        <w:tc>
          <w:tcPr>
            <w:tcW w:w="1400" w:type="dxa"/>
          </w:tcPr>
          <w:p>
            <w:pPr>
              <w:jc w:val="left"/>
              <w:spacing w:before="10" w:after="10"/>
            </w:pPr>
            <w:r/>
            <w:r>
              <w:rPr>
                <w:rFonts w:ascii="Times New Roman" w:hAnsi="Times New Roman"/>
                <w:sz w:val="16"/>
              </w:rPr>
              <w:t>Finland</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IE</w:t>
            </w:r>
          </w:p>
        </w:tc>
        <w:tc>
          <w:tcPr>
            <w:tcW w:w="1400" w:type="dxa"/>
          </w:tcPr>
          <w:p>
            <w:pPr>
              <w:jc w:val="left"/>
              <w:spacing w:before="10" w:after="10"/>
            </w:pPr>
            <w:r/>
            <w:r>
              <w:rPr>
                <w:rFonts w:ascii="Times New Roman" w:hAnsi="Times New Roman"/>
                <w:sz w:val="16"/>
              </w:rPr>
              <w:t>Kazakhstan</w:t>
            </w:r>
          </w:p>
        </w:tc>
        <w:tc>
          <w:tcPr>
            <w:tcW w:w="55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Philippines</w:t>
            </w:r>
          </w:p>
        </w:tc>
        <w:tc>
          <w:tcPr>
            <w:tcW w:w="55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II</w:t>
            </w:r>
          </w:p>
        </w:tc>
      </w:tr>
      <w:tr>
        <w:tc>
          <w:tcPr>
            <w:tcW w:w="1400" w:type="dxa"/>
          </w:tcPr>
          <w:p>
            <w:pPr>
              <w:jc w:val="left"/>
              <w:spacing w:before="10" w:after="10"/>
            </w:pPr>
            <w:r/>
            <w:r>
              <w:rPr>
                <w:rFonts w:ascii="Times New Roman" w:hAnsi="Times New Roman"/>
                <w:sz w:val="16"/>
              </w:rPr>
              <w:t>Vietnam</w:t>
            </w:r>
          </w:p>
        </w:tc>
        <w:tc>
          <w:tcPr>
            <w:tcW w:w="550" w:type="dxa"/>
          </w:tcPr>
          <w:p>
            <w:pPr>
              <w:jc w:val="center"/>
              <w:spacing w:before="10" w:after="10"/>
            </w:pPr>
            <w:r/>
            <w:r>
              <w:rPr>
                <w:rFonts w:ascii="Times New Roman" w:hAnsi="Times New Roman"/>
                <w:sz w:val="16"/>
              </w:rPr>
              <w:t>$1.62</w:t>
            </w:r>
          </w:p>
        </w:tc>
        <w:tc>
          <w:tcPr>
            <w:tcW w:w="450" w:type="dxa"/>
          </w:tcPr>
          <w:p>
            <w:pPr>
              <w:jc w:val="center"/>
              <w:spacing w:before="10" w:after="10"/>
            </w:pPr>
            <w:r/>
            <w:r>
              <w:rPr>
                <w:rFonts w:ascii="Times New Roman" w:hAnsi="Times New Roman"/>
                <w:sz w:val="16"/>
              </w:rPr>
              <w:t>II</w:t>
            </w:r>
          </w:p>
        </w:tc>
        <w:tc>
          <w:tcPr>
            <w:tcW w:w="1400" w:type="dxa"/>
          </w:tcPr>
          <w:p>
            <w:pPr>
              <w:jc w:val="left"/>
              <w:spacing w:before="10" w:after="10"/>
            </w:pPr>
            <w:r/>
            <w:r>
              <w:rPr>
                <w:rFonts w:ascii="Times New Roman" w:hAnsi="Times New Roman"/>
                <w:sz w:val="16"/>
              </w:rPr>
              <w:t>Iran</w:t>
            </w:r>
          </w:p>
        </w:tc>
        <w:tc>
          <w:tcPr>
            <w:tcW w:w="55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DD*</w:t>
            </w:r>
          </w:p>
        </w:tc>
        <w:tc>
          <w:tcPr>
            <w:tcW w:w="1400" w:type="dxa"/>
          </w:tcPr>
          <w:p>
            <w:pPr>
              <w:jc w:val="left"/>
              <w:spacing w:before="10" w:after="10"/>
            </w:pPr>
            <w:r/>
            <w:r>
              <w:rPr>
                <w:rFonts w:ascii="Times New Roman" w:hAnsi="Times New Roman"/>
                <w:sz w:val="16"/>
              </w:rPr>
              <w:t>Vietnam</w:t>
            </w:r>
          </w:p>
        </w:tc>
        <w:tc>
          <w:tcPr>
            <w:tcW w:w="55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DD</w:t>
            </w:r>
          </w:p>
        </w:tc>
      </w:tr>
      <w:tr>
        <w:tc>
          <w:tcPr>
            <w:tcBorders>
              <w:bottom w:val="double" w:sz="4" w:space="0" w:color="auto"/>
            </w:tcBorders>
            <w:tcW w:w="1400" w:type="dxa"/>
          </w:tcPr>
          <w:p>
            <w:pPr>
              <w:jc w:val="left"/>
              <w:spacing w:before="10" w:after="10"/>
            </w:pPr>
            <w:r/>
            <w:r>
              <w:rPr>
                <w:rFonts w:ascii="Times New Roman" w:hAnsi="Times New Roman"/>
                <w:sz w:val="16"/>
              </w:rPr>
              <w:t>Saudi Arabia</w:t>
            </w:r>
          </w:p>
        </w:tc>
        <w:tc>
          <w:tcPr>
            <w:tcBorders>
              <w:bottom w:val="double" w:sz="4" w:space="0" w:color="auto"/>
            </w:tcBorders>
            <w:tcW w:w="550" w:type="dxa"/>
          </w:tcPr>
          <w:p>
            <w:pPr>
              <w:jc w:val="center"/>
              <w:spacing w:before="10" w:after="10"/>
            </w:pPr>
            <w:r/>
            <w:r>
              <w:rPr>
                <w:rFonts w:ascii="Times New Roman" w:hAnsi="Times New Roman"/>
                <w:sz w:val="16"/>
              </w:rPr>
              <w:t>$1.62</w:t>
            </w:r>
          </w:p>
        </w:tc>
        <w:tc>
          <w:tcPr>
            <w:tcBorders>
              <w:bottom w:val="double" w:sz="4" w:space="0" w:color="auto"/>
            </w:tcBorders>
            <w:tcW w:w="450" w:type="dxa"/>
          </w:tcPr>
          <w:p>
            <w:pPr>
              <w:jc w:val="center"/>
              <w:spacing w:before="10" w:after="10"/>
            </w:pPr>
            <w:r/>
            <w:r>
              <w:rPr>
                <w:rFonts w:ascii="Times New Roman" w:hAnsi="Times New Roman"/>
                <w:sz w:val="16"/>
              </w:rPr>
              <w:t>II</w:t>
            </w:r>
          </w:p>
        </w:tc>
        <w:tc>
          <w:tcPr>
            <w:tcBorders>
              <w:bottom w:val="double" w:sz="4" w:space="0" w:color="auto"/>
            </w:tcBorders>
            <w:tcW w:w="1400" w:type="dxa"/>
          </w:tcPr>
          <w:p>
            <w:pPr>
              <w:jc w:val="left"/>
              <w:spacing w:before="10" w:after="10"/>
            </w:pPr>
            <w:r/>
            <w:r>
              <w:rPr>
                <w:rFonts w:ascii="Times New Roman" w:hAnsi="Times New Roman"/>
                <w:sz w:val="16"/>
              </w:rPr>
              <w:t>Georgia</w:t>
            </w:r>
          </w:p>
        </w:tc>
        <w:tc>
          <w:tcPr>
            <w:tcBorders>
              <w:bottom w:val="double" w:sz="4" w:space="0" w:color="auto"/>
            </w:tcBorders>
            <w:tcW w:w="550" w:type="dxa"/>
          </w:tcPr>
          <w:p>
            <w:pPr>
              <w:jc w:val="center"/>
              <w:spacing w:before="10" w:after="10"/>
            </w:pPr>
            <w:r/>
            <w:r>
              <w:rPr>
                <w:rFonts w:ascii="Times New Roman" w:hAnsi="Times New Roman"/>
                <w:sz w:val="16"/>
              </w:rPr>
              <w:t>$1.63</w:t>
            </w:r>
          </w:p>
        </w:tc>
        <w:tc>
          <w:tcPr>
            <w:tcBorders>
              <w:bottom w:val="double" w:sz="4" w:space="0" w:color="auto"/>
            </w:tcBorders>
            <w:tcW w:w="450" w:type="dxa"/>
          </w:tcPr>
          <w:p>
            <w:pPr>
              <w:jc w:val="center"/>
              <w:spacing w:before="10" w:after="10"/>
            </w:pPr>
            <w:r/>
            <w:r>
              <w:rPr>
                <w:rFonts w:ascii="Times New Roman" w:hAnsi="Times New Roman"/>
                <w:sz w:val="16"/>
              </w:rPr>
              <w:t>II</w:t>
            </w:r>
          </w:p>
        </w:tc>
        <w:tc>
          <w:tcPr>
            <w:tcBorders>
              <w:bottom w:val="double" w:sz="4" w:space="0" w:color="auto"/>
            </w:tcBorders>
            <w:tcW w:w="1400" w:type="dxa"/>
          </w:tcPr>
          <w:p>
            <w:pPr>
              <w:jc w:val="left"/>
              <w:spacing w:before="10" w:after="10"/>
            </w:pPr>
            <w:r/>
            <w:r>
              <w:rPr>
                <w:rFonts w:ascii="Times New Roman" w:hAnsi="Times New Roman"/>
                <w:sz w:val="16"/>
              </w:rPr>
              <w:t>Poland</w:t>
            </w:r>
          </w:p>
        </w:tc>
        <w:tc>
          <w:tcPr>
            <w:tcBorders>
              <w:bottom w:val="double" w:sz="4" w:space="0" w:color="auto"/>
            </w:tcBorders>
            <w:tcW w:w="550" w:type="dxa"/>
          </w:tcPr>
          <w:p>
            <w:pPr>
              <w:jc w:val="center"/>
              <w:spacing w:before="10" w:after="10"/>
            </w:pPr>
            <w:r/>
            <w:r>
              <w:rPr>
                <w:rFonts w:ascii="Times New Roman" w:hAnsi="Times New Roman"/>
                <w:sz w:val="16"/>
              </w:rPr>
              <w:t>$1.69</w:t>
            </w:r>
          </w:p>
        </w:tc>
        <w:tc>
          <w:tcPr>
            <w:tcBorders>
              <w:bottom w:val="double" w:sz="4" w:space="0" w:color="auto"/>
            </w:tcBorders>
            <w:tcW w:w="450" w:type="dxa"/>
          </w:tcPr>
          <w:p>
            <w:pPr>
              <w:jc w:val="center"/>
              <w:spacing w:before="10" w:after="10"/>
            </w:pPr>
            <w:r/>
            <w:r>
              <w:rPr>
                <w:rFonts w:ascii="Times New Roman" w:hAnsi="Times New Roman"/>
                <w:sz w:val="16"/>
              </w:rPr>
              <w:t>II</w:t>
            </w:r>
          </w:p>
        </w:tc>
      </w:tr>
    </w:tbl>
    <w:p>
      <w:pPr>
        <w:spacing w:before="40" w:after="120" w:line="240" w:lineRule="auto"/>
        <w:ind w:firstLine="0"/>
        <w:jc w:val="left"/>
        <w:sectPr>
          <w:pgSz w:w="15840" w:h="12240" w:orient="landscape"/>
          <w:pgMar w:top="1080" w:right="1080" w:bottom="1080" w:left="1080" w:header="720" w:footer="720"/>
        </w:sectPr>
      </w:pPr>
      <w:r>
        <w:rPr>
          <w:rFonts w:ascii="Times New Roman" w:hAnsi="Times New Roman"/>
          <w:b/>
          <w:sz w:val="20"/>
        </w:rPr>
        <w:t xml:space="preserve">Notes: </w:t>
      </w:r>
      <w:r>
        <w:rPr>
          <w:rFonts w:ascii="Times New Roman" w:hAnsi="Times New Roman"/>
          <w:sz w:val="20"/>
        </w:rPr>
        <w:t xml:space="preserve">Top 25 countries by delivered price under each specification. Pⱼ = delivered price from seller j ($/GPU-hr) from </w:t>
      </w:r>
      <w:bookmarkStart w:id="905" w:name="Eq3txt905"/>
      <w:hyperlink w:anchor="Eq3" w:history="1">
        <w:r>
          <w:rPr>
            <w:rFonts w:ascii="Times New Roman" w:hAnsi="Times New Roman"/>
            <w:sz w:val="20"/>
            <w:color w:val="1F3864"/>
            <w:u w:val="single"/>
          </w:rPr>
          <w:t xml:space="preserve">equation (3)</w:t>
        </w:r>
      </w:hyperlink>
      <w:bookmarkEnd w:id="905"/>
      <w:r>
        <w:rPr>
          <w:rFonts w:ascii="Times New Roman" w:hAnsi="Times New Roman"/>
          <w:sz w:val="20"/>
        </w:rPr>
        <w:t xml:space="preserve">. Under specs (1)–(2), λ = 0, so Pⱼ = cⱼ. Under spec (3), Pⱼₖ = cⱼ(1 + λⱼₖ) where k = United States. EE = training + inference exporter; IE = inference exporter; ID = hybrid (imports training, domestic inference); DD = domestic producer; II = full importer. (1) Raw: observed electricity tariffs. (2) Cost-recovery: subsidized tariffs replaced with LRMC. (3) Bilateral: cost-recovery prices with bilateral sovereignty premium λⱼₖ from equation (2); countries ranked by delivered price to US buyer. * = sanctioned/GPU-blocked. † = developing-country exporter. See </w:t>
      </w:r>
      <w:hyperlink w:anchor="TableA2" w:history="1">
        <w:r>
          <w:rPr>
            <w:sz w:val="20"/>
            <w:color w:val="1F3864"/>
            <w:u w:val="single"/>
          </w:rPr>
          <w:t xml:space="preserve">Table A2</w:t>
        </w:r>
      </w:hyperlink>
      <w:r>
        <w:rPr>
          <w:rFonts w:ascii="Times New Roman" w:hAnsi="Times New Roman"/>
          <w:sz w:val="20"/>
        </w:rPr>
        <w:t xml:space="preserve"> for all 85 countries.</w:t>
      </w:r>
    </w:p>
    <w:p>
      <w:pPr>
        <w:pStyle w:val="Heading1"/>
      </w:pPr>
      <w:r>
        <w:rPr>
          <w:rFonts w:ascii="Times New Roman" w:hAnsi="Times New Roman"/>
          <w:b/>
          <w:color w:val="2F5496"/>
          <w:sz w:val="28"/>
        </w:rPr>
        <w:t>Appendix A</w:t>
      </w:r>
    </w:p>
    <w:p>
      <w:pPr>
        <w:spacing w:before="0" w:after="60" w:line="360" w:lineRule="auto"/>
        <w:ind w:firstLine="0"/>
        <w:jc w:val="both"/>
      </w:pPr>
      <w:bookmarkStart w:id="104" w:name="TableA1"/>
      <w:hyperlink w:anchor="TableA1txt" w:history="1">
        <w:r>
          <w:rPr>
            <w:b/>
            <w:sz w:val="20"/>
            <w:color w:val="1F3864"/>
            <w:u w:val="single"/>
          </w:rPr>
          <w:t>Table A1</w:t>
        </w:r>
      </w:hyperlink>
      <w:bookmarkEnd w:id="104"/>
      <w:r>
        <w:rPr>
          <w:b/>
          <w:sz w:val="20"/>
        </w:rPr>
        <w:t>. Country-specific calibration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0"/>
        <w:gridCol w:w="960"/>
        <w:gridCol w:w="960"/>
        <w:gridCol w:w="960"/>
        <w:gridCol w:w="960"/>
        <w:gridCol w:w="960"/>
        <w:gridCol w:w="960"/>
        <w:gridCol w:w="960"/>
        <w:gridCol w:w="960"/>
      </w:tblGrid>
      <w:tr>
        <w:tc>
          <w:tcPr>
            <w:tcBorders>
              <w:top w:val="single" w:sz="4" w:space="0" w:color="auto"/>
              <w:bottom w:val="single" w:sz="4" w:space="0" w:color="auto"/>
            </w:tcBorders>
            <w:tcW w:w="1500" w:type="dxa"/>
          </w:tcPr>
          <w:p>
            <w:pPr>
              <w:jc w:val="center"/>
              <w:spacing w:before="10" w:after="10"/>
            </w:pPr>
            <w:r/>
            <w:r>
              <w:rPr>
                <w:b/>
                <w:sz w:val="16"/>
              </w:rPr>
              <w:t>Country</w:t>
            </w:r>
          </w:p>
        </w:tc>
        <w:tc>
          <w:tcPr>
            <w:tcBorders>
              <w:top w:val="single" w:sz="4" w:space="0" w:color="auto"/>
              <w:bottom w:val="single" w:sz="4" w:space="0" w:color="auto"/>
            </w:tcBorders>
            <w:tcW w:w="650" w:type="dxa"/>
          </w:tcPr>
          <w:p>
            <w:pPr>
              <w:jc w:val="center"/>
              <w:spacing w:before="10" w:after="10"/>
            </w:pPr>
            <w:r/>
            <w:r>
              <w:rPr>
                <w:b/>
                <w:sz w:val="16"/>
              </w:rPr>
              <w:t>pᴱ</w:t>
              <w:br/>
              <w:t>($/kWh)</w:t>
            </w:r>
          </w:p>
        </w:tc>
        <w:tc>
          <w:tcPr>
            <w:tcBorders>
              <w:top w:val="single" w:sz="4" w:space="0" w:color="auto"/>
              <w:bottom w:val="single" w:sz="4" w:space="0" w:color="auto"/>
            </w:tcBorders>
            <w:tcW w:w="550" w:type="dxa"/>
          </w:tcPr>
          <w:p>
            <w:pPr>
              <w:jc w:val="center"/>
              <w:spacing w:before="10" w:after="10"/>
            </w:pPr>
            <w:r/>
            <w:r>
              <w:rPr>
                <w:b/>
                <w:sz w:val="16"/>
              </w:rPr>
              <w:t>θⱼ</w:t>
              <w:br/>
              <w:t>(°C)</w:t>
            </w:r>
          </w:p>
        </w:tc>
        <w:tc>
          <w:tcPr>
            <w:tcBorders>
              <w:top w:val="single" w:sz="4" w:space="0" w:color="auto"/>
              <w:bottom w:val="single" w:sz="4" w:space="0" w:color="auto"/>
            </w:tcBorders>
            <w:tcW w:w="500" w:type="dxa"/>
          </w:tcPr>
          <w:p>
            <w:pPr>
              <w:jc w:val="center"/>
              <w:spacing w:before="10" w:after="10"/>
            </w:pPr>
            <w:r/>
            <w:r>
              <w:rPr>
                <w:b/>
                <w:sz w:val="16"/>
              </w:rPr>
              <w:t>PUE</w:t>
            </w:r>
          </w:p>
        </w:tc>
        <w:tc>
          <w:tcPr>
            <w:tcBorders>
              <w:top w:val="single" w:sz="4" w:space="0" w:color="auto"/>
              <w:bottom w:val="single" w:sz="4" w:space="0" w:color="auto"/>
            </w:tcBorders>
            <w:tcW w:w="650" w:type="dxa"/>
          </w:tcPr>
          <w:p>
            <w:pPr>
              <w:jc w:val="center"/>
              <w:spacing w:before="10" w:after="10"/>
            </w:pPr>
            <w:r/>
            <w:r>
              <w:rPr>
                <w:b/>
                <w:sz w:val="16"/>
              </w:rPr>
              <w:t>Constr.</w:t>
              <w:br/>
              <w:t>($/W)</w:t>
            </w:r>
          </w:p>
        </w:tc>
        <w:tc>
          <w:tcPr>
            <w:tcBorders>
              <w:top w:val="single" w:sz="4" w:space="0" w:color="auto"/>
              <w:bottom w:val="single" w:sz="4" w:space="0" w:color="auto"/>
            </w:tcBorders>
            <w:tcW w:w="650" w:type="dxa"/>
          </w:tcPr>
          <w:p>
            <w:pPr>
              <w:jc w:val="center"/>
              <w:spacing w:before="10" w:after="10"/>
            </w:pPr>
            <w:r/>
            <w:r>
              <w:rPr>
                <w:b/>
                <w:sz w:val="16"/>
              </w:rPr>
              <w:t>k̄ⱼ</w:t>
              <w:br/>
              <w:t>(MW)</w:t>
            </w:r>
          </w:p>
        </w:tc>
        <w:tc>
          <w:tcPr>
            <w:tcBorders>
              <w:top w:val="single" w:sz="4" w:space="0" w:color="auto"/>
              <w:bottom w:val="single" w:sz="4" w:space="0" w:color="auto"/>
            </w:tcBorders>
            <w:tcW w:w="550" w:type="dxa"/>
          </w:tcPr>
          <w:p>
            <w:pPr>
              <w:jc w:val="center"/>
              <w:spacing w:before="10" w:after="10"/>
            </w:pPr>
            <w:r/>
            <w:r>
              <w:rPr>
                <w:b/>
                <w:sz w:val="16"/>
              </w:rPr>
              <w:t>ωⱼ</w:t>
              <w:br/>
              <w:t>(%)</w:t>
            </w:r>
          </w:p>
        </w:tc>
        <w:tc>
          <w:tcPr>
            <w:tcBorders>
              <w:top w:val="single" w:sz="4" w:space="0" w:color="auto"/>
              <w:bottom w:val="single" w:sz="4" w:space="0" w:color="auto"/>
            </w:tcBorders>
            <w:tcW w:w="700" w:type="dxa"/>
          </w:tcPr>
          <w:p>
            <w:pPr>
              <w:jc w:val="center"/>
              <w:spacing w:before="10" w:after="10"/>
            </w:pPr>
            <w:r/>
            <w:r>
              <w:rPr>
                <w:b/>
                <w:sz w:val="16"/>
              </w:rPr>
              <w:t>cⱼ</w:t>
              <w:br/>
              <w:t>($/hr)</w:t>
            </w:r>
          </w:p>
        </w:tc>
        <w:tc>
          <w:tcPr>
            <w:tcBorders>
              <w:top w:val="single" w:sz="4" w:space="0" w:color="auto"/>
              <w:bottom w:val="single" w:sz="4" w:space="0" w:color="auto"/>
            </w:tcBorders>
            <w:tcW w:w="750" w:type="dxa"/>
          </w:tcPr>
          <w:p>
            <w:pPr>
              <w:jc w:val="center"/>
              <w:spacing w:before="10" w:after="10"/>
            </w:pPr>
            <w:r/>
            <w:r>
              <w:rPr>
                <w:b/>
                <w:sz w:val="16"/>
              </w:rPr>
              <w:t>Cost-Rec.</w:t>
              <w:br/>
              <w:t>pᴱ ($/kWh)</w:t>
            </w:r>
          </w:p>
        </w:tc>
      </w:tr>
      <w:tr>
        <w:tc>
          <w:tcPr>
            <w:tcW w:w="1500" w:type="dxa"/>
          </w:tcPr>
          <w:p>
            <w:pPr>
              <w:spacing w:before="10" w:after="10"/>
            </w:pPr>
            <w:r/>
            <w:r>
              <w:rPr>
                <w:sz w:val="16"/>
              </w:rPr>
              <w:t>Kyrgyzstan</w:t>
            </w:r>
          </w:p>
        </w:tc>
        <w:tc>
          <w:tcPr>
            <w:tcW w:w="650" w:type="dxa"/>
          </w:tcPr>
          <w:p>
            <w:pPr>
              <w:spacing w:before="10" w:after="10"/>
            </w:pPr>
            <w:r/>
            <w:r>
              <w:rPr>
                <w:sz w:val="16"/>
              </w:rPr>
              <w:t>$0.038</w:t>
            </w:r>
          </w:p>
        </w:tc>
        <w:tc>
          <w:tcPr>
            <w:tcW w:w="550" w:type="dxa"/>
          </w:tcPr>
          <w:p>
            <w:pPr>
              <w:jc w:val="right"/>
              <w:spacing w:before="10" w:after="10"/>
            </w:pPr>
            <w:r/>
            <w:r>
              <w:rPr>
                <w:sz w:val="16"/>
              </w:rPr>
              <w:t>13.3</w:t>
            </w:r>
          </w:p>
        </w:tc>
        <w:tc>
          <w:tcPr>
            <w:tcW w:w="500" w:type="dxa"/>
          </w:tcPr>
          <w:p>
            <w:pPr>
              <w:jc w:val="right"/>
              <w:spacing w:before="10" w:after="10"/>
            </w:pPr>
            <w:r/>
            <w:r>
              <w:rPr>
                <w:sz w:val="16"/>
              </w:rPr>
              <w:t>1.08</w:t>
            </w:r>
          </w:p>
        </w:tc>
        <w:tc>
          <w:tcPr>
            <w:tcW w:w="650" w:type="dxa"/>
          </w:tcPr>
          <w:p>
            <w:pPr>
              <w:jc w:val="right"/>
              <w:spacing w:before="10" w:after="10"/>
            </w:pPr>
            <w:r/>
            <w:r>
              <w:rPr>
                <w:sz w:val="16"/>
              </w:rPr>
              <w:t>$7.83</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$1.43</w:t>
            </w:r>
          </w:p>
        </w:tc>
        <w:tc>
          <w:tcPr>
            <w:tcW w:w="750" w:type="dxa"/>
          </w:tcPr>
          <w:p>
            <w:pPr>
              <w:jc w:val="right"/>
              <w:spacing w:before="10" w:after="10"/>
            </w:pPr>
            <w:r/>
            <w:r>
              <w:rPr>
                <w:sz w:val="16"/>
              </w:rPr>
              <w:t>$0.038</w:t>
            </w:r>
          </w:p>
        </w:tc>
      </w:tr>
      <w:tr>
        <w:tc>
          <w:tcPr>
            <w:tcW w:w="1500" w:type="dxa"/>
          </w:tcPr>
          <w:p>
            <w:pPr>
              <w:spacing w:before="10" w:after="10"/>
            </w:pPr>
            <w:r/>
            <w:r>
              <w:rPr>
                <w:sz w:val="16"/>
              </w:rPr>
              <w:t>Canada</w:t>
            </w:r>
          </w:p>
        </w:tc>
        <w:tc>
          <w:tcPr>
            <w:tcW w:w="650" w:type="dxa"/>
          </w:tcPr>
          <w:p>
            <w:pPr>
              <w:spacing w:before="10" w:after="10"/>
            </w:pPr>
            <w:r/>
            <w:r>
              <w:rPr>
                <w:sz w:val="16"/>
              </w:rPr>
              <w:t>$0.045</w:t>
            </w:r>
          </w:p>
        </w:tc>
        <w:tc>
          <w:tcPr>
            <w:tcW w:w="550" w:type="dxa"/>
          </w:tcPr>
          <w:p>
            <w:pPr>
              <w:jc w:val="right"/>
              <w:spacing w:before="10" w:after="10"/>
            </w:pPr>
            <w:r/>
            <w:r>
              <w:rPr>
                <w:sz w:val="16"/>
              </w:rPr>
              <w:t>14.6</w:t>
            </w:r>
          </w:p>
        </w:tc>
        <w:tc>
          <w:tcPr>
            <w:tcW w:w="500" w:type="dxa"/>
          </w:tcPr>
          <w:p>
            <w:pPr>
              <w:jc w:val="right"/>
              <w:spacing w:before="10" w:after="10"/>
            </w:pPr>
            <w:r/>
            <w:r>
              <w:rPr>
                <w:sz w:val="16"/>
              </w:rPr>
              <w:t>1.08</w:t>
            </w:r>
          </w:p>
        </w:tc>
        <w:tc>
          <w:tcPr>
            <w:tcW w:w="650" w:type="dxa"/>
          </w:tcPr>
          <w:p>
            <w:pPr>
              <w:jc w:val="right"/>
              <w:spacing w:before="10" w:after="10"/>
            </w:pPr>
            <w:r/>
            <w:r>
              <w:rPr>
                <w:sz w:val="16"/>
              </w:rPr>
              <w:t>$9.39</w:t>
            </w:r>
          </w:p>
        </w:tc>
        <w:tc>
          <w:tcPr>
            <w:tcW w:w="650" w:type="dxa"/>
          </w:tcPr>
          <w:p>
            <w:pPr>
              <w:jc w:val="right"/>
              <w:spacing w:before="10" w:after="10"/>
            </w:pPr>
            <w:r/>
            <w:r>
              <w:rPr>
                <w:sz w:val="16"/>
              </w:rPr>
              <w:t>3,200</w:t>
            </w:r>
          </w:p>
        </w:tc>
        <w:tc>
          <w:tcPr>
            <w:tcW w:w="550" w:type="dxa"/>
          </w:tcPr>
          <w:p>
            <w:pPr>
              <w:jc w:val="right"/>
              <w:spacing w:before="10" w:after="10"/>
            </w:pPr>
            <w:r/>
            <w:r>
              <w:rPr>
                <w:sz w:val="16"/>
              </w:rPr>
              <w:t>2.6</w:t>
            </w:r>
          </w:p>
        </w:tc>
        <w:tc>
          <w:tcPr>
            <w:tcW w:w="700" w:type="dxa"/>
          </w:tcPr>
          <w:p>
            <w:pPr>
              <w:jc w:val="right"/>
              <w:spacing w:before="10" w:after="10"/>
            </w:pPr>
            <w:r/>
            <w:r>
              <w:rPr>
                <w:sz w:val="16"/>
              </w:rPr>
              <w:t>$1.44</w:t>
            </w:r>
          </w:p>
        </w:tc>
        <w:tc>
          <w:tcPr>
            <w:tcW w:w="750" w:type="dxa"/>
          </w:tcPr>
          <w:p>
            <w:pPr>
              <w:jc w:val="right"/>
              <w:spacing w:before="10" w:after="10"/>
            </w:pPr>
            <w:r/>
            <w:r>
              <w:rPr>
                <w:sz w:val="16"/>
              </w:rPr>
              <w:t>$0.045</w:t>
            </w:r>
          </w:p>
        </w:tc>
      </w:tr>
      <w:tr>
        <w:tc>
          <w:tcPr>
            <w:tcW w:w="1500" w:type="dxa"/>
          </w:tcPr>
          <w:p>
            <w:pPr>
              <w:spacing w:before="10" w:after="10"/>
            </w:pPr>
            <w:r/>
            <w:r>
              <w:rPr>
                <w:sz w:val="16"/>
              </w:rPr>
              <w:t>Ethiopia</w:t>
            </w:r>
          </w:p>
        </w:tc>
        <w:tc>
          <w:tcPr>
            <w:tcW w:w="650" w:type="dxa"/>
          </w:tcPr>
          <w:p>
            <w:pPr>
              <w:spacing w:before="10" w:after="10"/>
            </w:pPr>
            <w:r/>
            <w:r>
              <w:rPr>
                <w:sz w:val="16"/>
              </w:rPr>
              <w:t>$0.030</w:t>
            </w:r>
          </w:p>
        </w:tc>
        <w:tc>
          <w:tcPr>
            <w:tcW w:w="550" w:type="dxa"/>
          </w:tcPr>
          <w:p>
            <w:pPr>
              <w:jc w:val="right"/>
              <w:spacing w:before="10" w:after="10"/>
            </w:pPr>
            <w:r/>
            <w:r>
              <w:rPr>
                <w:sz w:val="16"/>
              </w:rPr>
              <w:t>26.5</w:t>
            </w:r>
          </w:p>
        </w:tc>
        <w:tc>
          <w:tcPr>
            <w:tcW w:w="500" w:type="dxa"/>
          </w:tcPr>
          <w:p>
            <w:pPr>
              <w:jc w:val="right"/>
              <w:spacing w:before="10" w:after="10"/>
            </w:pPr>
            <w:r/>
            <w:r>
              <w:rPr>
                <w:sz w:val="16"/>
              </w:rPr>
              <w:t>1.25</w:t>
            </w:r>
          </w:p>
        </w:tc>
        <w:tc>
          <w:tcPr>
            <w:tcW w:w="650" w:type="dxa"/>
          </w:tcPr>
          <w:p>
            <w:pPr>
              <w:jc w:val="right"/>
              <w:spacing w:before="10" w:after="10"/>
            </w:pPr>
            <w:r/>
            <w:r>
              <w:rPr>
                <w:sz w:val="16"/>
              </w:rPr>
              <w:t>$8.08</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$1.43</w:t>
            </w:r>
          </w:p>
        </w:tc>
        <w:tc>
          <w:tcPr>
            <w:tcW w:w="750" w:type="dxa"/>
          </w:tcPr>
          <w:p>
            <w:pPr>
              <w:jc w:val="right"/>
              <w:spacing w:before="10" w:after="10"/>
            </w:pPr>
            <w:r>
              <w:rPr>
                <w:b/>
              </w:rPr>
            </w:r>
            <w:r>
              <w:rPr>
                <w:sz w:val="16"/>
                <w:b/>
              </w:rPr>
              <w:t>$0.050</w:t>
            </w:r>
          </w:p>
        </w:tc>
      </w:tr>
      <w:tr>
        <w:tc>
          <w:tcPr>
            <w:tcW w:w="1500" w:type="dxa"/>
          </w:tcPr>
          <w:p>
            <w:pPr>
              <w:spacing w:before="10" w:after="10"/>
            </w:pPr>
            <w:r/>
            <w:r>
              <w:rPr>
                <w:sz w:val="16"/>
              </w:rPr>
              <w:t>Kosovo</w:t>
            </w:r>
          </w:p>
        </w:tc>
        <w:tc>
          <w:tcPr>
            <w:tcW w:w="650" w:type="dxa"/>
          </w:tcPr>
          <w:p>
            <w:pPr>
              <w:spacing w:before="10" w:after="10"/>
            </w:pPr>
            <w:r/>
            <w:r>
              <w:rPr>
                <w:sz w:val="16"/>
              </w:rPr>
              <w:t>$0.047</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50" w:type="dxa"/>
          </w:tcPr>
          <w:p>
            <w:pPr>
              <w:jc w:val="right"/>
              <w:spacing w:before="10" w:after="10"/>
            </w:pPr>
            <w:r/>
            <w:r>
              <w:rPr>
                <w:sz w:val="16"/>
              </w:rPr>
              <w:t>$9.48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$0.047</w:t>
            </w:r>
          </w:p>
        </w:tc>
      </w:tr>
      <w:tr>
        <w:tc>
          <w:tcPr>
            <w:tcW w:w="1500" w:type="dxa"/>
          </w:tcPr>
          <w:p>
            <w:pPr>
              <w:spacing w:before="10" w:after="10"/>
            </w:pPr>
            <w:r/>
            <w:r>
              <w:rPr>
                <w:sz w:val="16"/>
              </w:rPr>
              <w:t>Tajikistan</w:t>
            </w:r>
          </w:p>
        </w:tc>
        <w:tc>
          <w:tcPr>
            <w:tcW w:w="650" w:type="dxa"/>
          </w:tcPr>
          <w:p>
            <w:pPr>
              <w:spacing w:before="10" w:after="10"/>
            </w:pPr>
            <w:r/>
            <w:r>
              <w:rPr>
                <w:sz w:val="16"/>
              </w:rPr>
              <w:t>$0.074</w:t>
            </w:r>
          </w:p>
        </w:tc>
        <w:tc>
          <w:tcPr>
            <w:tcW w:w="550" w:type="dxa"/>
          </w:tcPr>
          <w:p>
            <w:pPr>
              <w:jc w:val="right"/>
              <w:spacing w:before="10" w:after="10"/>
            </w:pPr>
            <w:r/>
            <w:r>
              <w:rPr>
                <w:sz w:val="16"/>
              </w:rPr>
              <w:t>16.8</w:t>
            </w:r>
          </w:p>
        </w:tc>
        <w:tc>
          <w:tcPr>
            <w:tcW w:w="500" w:type="dxa"/>
          </w:tcPr>
          <w:p>
            <w:pPr>
              <w:jc w:val="right"/>
              <w:spacing w:before="10" w:after="10"/>
            </w:pPr>
            <w:r/>
            <w:r>
              <w:rPr>
                <w:sz w:val="16"/>
              </w:rPr>
              <w:t>1.11</w:t>
            </w:r>
          </w:p>
        </w:tc>
        <w:tc>
          <w:tcPr>
            <w:tcW w:w="650" w:type="dxa"/>
          </w:tcPr>
          <w:p>
            <w:pPr>
              <w:jc w:val="right"/>
              <w:spacing w:before="10" w:after="10"/>
            </w:pPr>
            <w:r/>
            <w:r>
              <w:rPr>
                <w:sz w:val="16"/>
              </w:rPr>
              <w:t>$7.32</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$0.074</w:t>
            </w:r>
          </w:p>
        </w:tc>
      </w:tr>
      <w:tr>
        <w:tc>
          <w:tcPr>
            <w:tcW w:w="1500" w:type="dxa"/>
          </w:tcPr>
          <w:p>
            <w:pPr>
              <w:spacing w:before="10" w:after="10"/>
            </w:pPr>
            <w:r/>
            <w:r>
              <w:rPr>
                <w:sz w:val="16"/>
              </w:rPr>
              <w:t>Montenegro</w:t>
            </w:r>
          </w:p>
        </w:tc>
        <w:tc>
          <w:tcPr>
            <w:tcW w:w="650" w:type="dxa"/>
          </w:tcPr>
          <w:p>
            <w:pPr>
              <w:spacing w:before="10" w:after="10"/>
            </w:pPr>
            <w:r/>
            <w:r>
              <w:rPr>
                <w:sz w:val="16"/>
              </w:rPr>
              <w:t>$0.051</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50" w:type="dxa"/>
          </w:tcPr>
          <w:p>
            <w:pPr>
              <w:jc w:val="right"/>
              <w:spacing w:before="10" w:after="10"/>
            </w:pPr>
            <w:r/>
            <w:r>
              <w:rPr>
                <w:sz w:val="16"/>
              </w:rPr>
              <w:t>$10.28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$0.051</w:t>
            </w:r>
          </w:p>
        </w:tc>
      </w:tr>
      <w:tr>
        <w:tc>
          <w:tcPr>
            <w:tcW w:w="1500" w:type="dxa"/>
          </w:tcPr>
          <w:p>
            <w:pPr>
              <w:spacing w:before="10" w:after="10"/>
            </w:pPr>
            <w:r/>
            <w:r>
              <w:rPr>
                <w:sz w:val="16"/>
              </w:rPr>
              <w:t>China</w:t>
            </w:r>
          </w:p>
        </w:tc>
        <w:tc>
          <w:tcPr>
            <w:tcW w:w="650" w:type="dxa"/>
          </w:tcPr>
          <w:p>
            <w:pPr>
              <w:spacing w:before="10" w:after="10"/>
            </w:pPr>
            <w:r/>
            <w:r>
              <w:rPr>
                <w:sz w:val="16"/>
              </w:rPr>
              <w:t>$0.079</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50" w:type="dxa"/>
          </w:tcPr>
          <w:p>
            <w:pPr>
              <w:jc w:val="right"/>
              <w:spacing w:before="10" w:after="10"/>
            </w:pPr>
            <w:r/>
            <w:r>
              <w:rPr>
                <w:sz w:val="16"/>
              </w:rPr>
              <w:t>$6.12</w:t>
            </w:r>
          </w:p>
        </w:tc>
        <w:tc>
          <w:tcPr>
            <w:tcW w:w="650" w:type="dxa"/>
          </w:tcPr>
          <w:p>
            <w:pPr>
              <w:jc w:val="right"/>
              <w:spacing w:before="10" w:after="10"/>
            </w:pPr>
            <w:r/>
            <w:r>
              <w:rPr>
                <w:sz w:val="16"/>
              </w:rPr>
              <w:t>31,900</w:t>
            </w:r>
          </w:p>
        </w:tc>
        <w:tc>
          <w:tcPr>
            <w:tcW w:w="550" w:type="dxa"/>
          </w:tcPr>
          <w:p>
            <w:pPr>
              <w:jc w:val="right"/>
              <w:spacing w:before="10" w:after="10"/>
            </w:pPr>
            <w:r/>
            <w:r>
              <w:rPr>
                <w:sz w:val="16"/>
              </w:rPr>
              <w:t>25.8</w:t>
            </w:r>
          </w:p>
        </w:tc>
        <w:tc>
          <w:tcPr>
            <w:tcW w:w="700" w:type="dxa"/>
          </w:tcPr>
          <w:p>
            <w:pPr>
              <w:jc w:val="right"/>
              <w:spacing w:before="10" w:after="10"/>
            </w:pPr>
            <w:r/>
            <w:r>
              <w:rPr>
                <w:sz w:val="16"/>
              </w:rPr>
              <w:t>$1.46</w:t>
            </w:r>
          </w:p>
        </w:tc>
        <w:tc>
          <w:tcPr>
            <w:tcW w:w="750" w:type="dxa"/>
          </w:tcPr>
          <w:p>
            <w:pPr>
              <w:jc w:val="right"/>
              <w:spacing w:before="10" w:after="10"/>
            </w:pPr>
            <w:r/>
            <w:r>
              <w:rPr>
                <w:sz w:val="16"/>
              </w:rPr>
              <w:t>$0.079</w:t>
            </w:r>
          </w:p>
        </w:tc>
      </w:tr>
      <w:tr>
        <w:tc>
          <w:tcPr>
            <w:tcW w:w="1500" w:type="dxa"/>
          </w:tcPr>
          <w:p>
            <w:pPr>
              <w:spacing w:before="10" w:after="10"/>
            </w:pPr>
            <w:r/>
            <w:r>
              <w:rPr>
                <w:sz w:val="16"/>
              </w:rPr>
              <w:t>Ukraine</w:t>
            </w:r>
          </w:p>
        </w:tc>
        <w:tc>
          <w:tcPr>
            <w:tcW w:w="650" w:type="dxa"/>
          </w:tcPr>
          <w:p>
            <w:pPr>
              <w:spacing w:before="10" w:after="10"/>
            </w:pPr>
            <w:r/>
            <w:r>
              <w:rPr>
                <w:sz w:val="16"/>
              </w:rPr>
              <w:t>$0.057</w:t>
            </w:r>
          </w:p>
        </w:tc>
        <w:tc>
          <w:tcPr>
            <w:tcW w:w="550" w:type="dxa"/>
          </w:tcPr>
          <w:p>
            <w:pPr>
              <w:jc w:val="right"/>
              <w:spacing w:before="10" w:after="10"/>
            </w:pPr>
            <w:r/>
            <w:r>
              <w:rPr>
                <w:sz w:val="16"/>
              </w:rPr>
              <w:t>22.5</w:t>
            </w:r>
          </w:p>
        </w:tc>
        <w:tc>
          <w:tcPr>
            <w:tcW w:w="500" w:type="dxa"/>
          </w:tcPr>
          <w:p>
            <w:pPr>
              <w:jc w:val="right"/>
              <w:spacing w:before="10" w:after="10"/>
            </w:pPr>
            <w:r/>
            <w:r>
              <w:rPr>
                <w:sz w:val="16"/>
              </w:rPr>
              <w:t>1.19</w:t>
            </w:r>
          </w:p>
        </w:tc>
        <w:tc>
          <w:tcPr>
            <w:tcW w:w="650" w:type="dxa"/>
          </w:tcPr>
          <w:p>
            <w:pPr>
              <w:jc w:val="right"/>
              <w:spacing w:before="10" w:after="10"/>
            </w:pPr>
            <w:r/>
            <w:r>
              <w:rPr>
                <w:sz w:val="16"/>
              </w:rPr>
              <w:t>$9.86</w:t>
            </w:r>
          </w:p>
        </w:tc>
        <w:tc>
          <w:tcPr>
            <w:tcW w:w="650" w:type="dxa"/>
          </w:tcPr>
          <w:p>
            <w:pPr>
              <w:jc w:val="right"/>
              <w:spacing w:before="10" w:after="10"/>
            </w:pPr>
            <w:r/>
            <w:r>
              <w:rPr>
                <w:sz w:val="16"/>
              </w:rPr>
              <w:t>175</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
              <w:rPr>
                <w:sz w:val="16"/>
              </w:rPr>
              <w:t>$0.057</w:t>
            </w:r>
          </w:p>
        </w:tc>
      </w:tr>
      <w:tr>
        <w:tc>
          <w:tcPr>
            <w:tcW w:w="1500" w:type="dxa"/>
          </w:tcPr>
          <w:p>
            <w:pPr>
              <w:spacing w:before="10" w:after="10"/>
            </w:pPr>
            <w:r/>
            <w:r>
              <w:rPr>
                <w:sz w:val="16"/>
              </w:rPr>
              <w:t>Argentina</w:t>
            </w:r>
          </w:p>
        </w:tc>
        <w:tc>
          <w:tcPr>
            <w:tcW w:w="650" w:type="dxa"/>
          </w:tcPr>
          <w:p>
            <w:pPr>
              <w:spacing w:before="10" w:after="10"/>
            </w:pPr>
            <w:r/>
            <w:r>
              <w:rPr>
                <w:sz w:val="16"/>
              </w:rPr>
              <w:t>$0.060</w:t>
            </w:r>
          </w:p>
        </w:tc>
        <w:tc>
          <w:tcPr>
            <w:tcW w:w="550" w:type="dxa"/>
          </w:tcPr>
          <w:p>
            <w:pPr>
              <w:jc w:val="right"/>
              <w:spacing w:before="10" w:after="10"/>
            </w:pPr>
            <w:r/>
            <w:r>
              <w:rPr>
                <w:sz w:val="16"/>
              </w:rPr>
              <w:t>22.3</w:t>
            </w:r>
          </w:p>
        </w:tc>
        <w:tc>
          <w:tcPr>
            <w:tcW w:w="500" w:type="dxa"/>
          </w:tcPr>
          <w:p>
            <w:pPr>
              <w:jc w:val="right"/>
              <w:spacing w:before="10" w:after="10"/>
            </w:pPr>
            <w:r/>
            <w:r>
              <w:rPr>
                <w:sz w:val="16"/>
              </w:rPr>
              <w:t>1.19</w:t>
            </w:r>
          </w:p>
        </w:tc>
        <w:tc>
          <w:tcPr>
            <w:tcW w:w="650" w:type="dxa"/>
          </w:tcPr>
          <w:p>
            <w:pPr>
              <w:jc w:val="right"/>
              <w:spacing w:before="10" w:after="10"/>
            </w:pPr>
            <w:r/>
            <w:r>
              <w:rPr>
                <w:sz w:val="16"/>
              </w:rPr>
              <w:t>$10.10</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
              <w:rPr>
                <w:sz w:val="16"/>
              </w:rPr>
              <w:t>$0.060</w:t>
            </w:r>
          </w:p>
        </w:tc>
      </w:tr>
      <w:tr>
        <w:tc>
          <w:tcPr>
            <w:tcW w:w="1500" w:type="dxa"/>
          </w:tcPr>
          <w:p>
            <w:pPr>
              <w:spacing w:before="10" w:after="10"/>
            </w:pPr>
            <w:r/>
            <w:r>
              <w:rPr>
                <w:sz w:val="16"/>
              </w:rPr>
              <w:t>Colombia</w:t>
            </w:r>
          </w:p>
        </w:tc>
        <w:tc>
          <w:tcPr>
            <w:tcW w:w="650" w:type="dxa"/>
          </w:tcPr>
          <w:p>
            <w:pPr>
              <w:spacing w:before="10" w:after="10"/>
            </w:pPr>
            <w:r/>
            <w:r>
              <w:rPr>
                <w:sz w:val="16"/>
              </w:rPr>
              <w:t>$0.075</w:t>
            </w:r>
          </w:p>
        </w:tc>
        <w:tc>
          <w:tcPr>
            <w:tcW w:w="550" w:type="dxa"/>
          </w:tcPr>
          <w:p>
            <w:pPr>
              <w:jc w:val="right"/>
              <w:spacing w:before="10" w:after="10"/>
            </w:pPr>
            <w:r/>
            <w:r>
              <w:rPr>
                <w:sz w:val="16"/>
              </w:rPr>
              <w:t>25.5</w:t>
            </w:r>
          </w:p>
        </w:tc>
        <w:tc>
          <w:tcPr>
            <w:tcW w:w="500" w:type="dxa"/>
          </w:tcPr>
          <w:p>
            <w:pPr>
              <w:jc w:val="right"/>
              <w:spacing w:before="10" w:after="10"/>
            </w:pPr>
            <w:r/>
            <w:r>
              <w:rPr>
                <w:sz w:val="16"/>
              </w:rPr>
              <w:t>1.24</w:t>
            </w:r>
          </w:p>
        </w:tc>
        <w:tc>
          <w:tcPr>
            <w:tcW w:w="650" w:type="dxa"/>
          </w:tcPr>
          <w:p>
            <w:pPr>
              <w:jc w:val="right"/>
              <w:spacing w:before="10" w:after="10"/>
            </w:pPr>
            <w:r/>
            <w:r>
              <w:rPr>
                <w:sz w:val="16"/>
              </w:rPr>
              <w:t>$7.49</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
              <w:rPr>
                <w:sz w:val="16"/>
              </w:rPr>
              <w:t>$0.075</w:t>
            </w:r>
          </w:p>
        </w:tc>
      </w:tr>
      <w:tr>
        <w:tc>
          <w:tcPr>
            <w:tcW w:w="1500" w:type="dxa"/>
          </w:tcPr>
          <w:p>
            <w:pPr>
              <w:spacing w:before="10" w:after="10"/>
            </w:pPr>
            <w:r/>
            <w:r>
              <w:rPr>
                <w:sz w:val="16"/>
              </w:rPr>
              <w:t>Azerbaijan</w:t>
            </w:r>
          </w:p>
        </w:tc>
        <w:tc>
          <w:tcPr>
            <w:tcW w:w="650" w:type="dxa"/>
          </w:tcPr>
          <w:p>
            <w:pPr>
              <w:spacing w:before="10" w:after="10"/>
            </w:pPr>
            <w:r/>
            <w:r>
              <w:rPr>
                <w:sz w:val="16"/>
              </w:rPr>
              <w:t>$0.062</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50" w:type="dxa"/>
          </w:tcPr>
          <w:p>
            <w:pPr>
              <w:jc w:val="right"/>
              <w:spacing w:before="10" w:after="10"/>
            </w:pPr>
            <w:r/>
            <w:r>
              <w:rPr>
                <w:sz w:val="16"/>
              </w:rPr>
              <w:t>$9.77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$1.46</w:t>
            </w:r>
          </w:p>
        </w:tc>
        <w:tc>
          <w:tcPr>
            <w:tcW w:w="750" w:type="dxa"/>
          </w:tcPr>
          <w:p>
            <w:pPr>
              <w:jc w:val="right"/>
              <w:spacing w:before="10" w:after="10"/>
            </w:pPr>
            <w:r/>
            <w:r>
              <w:rPr>
                <w:sz w:val="16"/>
              </w:rPr>
              <w:t>$0.062</w:t>
            </w:r>
          </w:p>
        </w:tc>
      </w:tr>
      <w:tr>
        <w:tc>
          <w:tcPr>
            <w:tcW w:w="1500" w:type="dxa"/>
          </w:tcPr>
          <w:p>
            <w:pPr>
              <w:spacing w:before="10" w:after="10"/>
            </w:pPr>
            <w:r/>
            <w:r>
              <w:rPr>
                <w:sz w:val="16"/>
              </w:rPr>
              <w:t>Russia</w:t>
            </w:r>
          </w:p>
        </w:tc>
        <w:tc>
          <w:tcPr>
            <w:tcW w:w="650" w:type="dxa"/>
          </w:tcPr>
          <w:p>
            <w:pPr>
              <w:spacing w:before="10" w:after="10"/>
            </w:pPr>
            <w:r/>
            <w:r>
              <w:rPr>
                <w:sz w:val="16"/>
              </w:rPr>
              <w:t>$0.040</w:t>
            </w:r>
          </w:p>
        </w:tc>
        <w:tc>
          <w:tcPr>
            <w:tcW w:w="550" w:type="dxa"/>
          </w:tcPr>
          <w:p>
            <w:pPr>
              <w:jc w:val="right"/>
              <w:spacing w:before="10" w:after="10"/>
            </w:pPr>
            <w:r/>
            <w:r>
              <w:rPr>
                <w:sz w:val="16"/>
              </w:rPr>
              <w:t>16.9</w:t>
            </w:r>
          </w:p>
        </w:tc>
        <w:tc>
          <w:tcPr>
            <w:tcW w:w="500" w:type="dxa"/>
          </w:tcPr>
          <w:p>
            <w:pPr>
              <w:jc w:val="right"/>
              <w:spacing w:before="10" w:after="10"/>
            </w:pPr>
            <w:r/>
            <w:r>
              <w:rPr>
                <w:sz w:val="16"/>
              </w:rPr>
              <w:t>1.11</w:t>
            </w:r>
          </w:p>
        </w:tc>
        <w:tc>
          <w:tcPr>
            <w:tcW w:w="650" w:type="dxa"/>
          </w:tcPr>
          <w:p>
            <w:pPr>
              <w:jc w:val="right"/>
              <w:spacing w:before="10" w:after="10"/>
            </w:pPr>
            <w:r/>
            <w:r>
              <w:rPr>
                <w:sz w:val="16"/>
              </w:rPr>
              <w:t>$10.36</w:t>
            </w:r>
          </w:p>
        </w:tc>
        <w:tc>
          <w:tcPr>
            <w:tcW w:w="650" w:type="dxa"/>
          </w:tcPr>
          <w:p>
            <w:pPr>
              <w:jc w:val="right"/>
              <w:spacing w:before="10" w:after="10"/>
            </w:pPr>
            <w:r/>
            <w:r>
              <w:rPr>
                <w:sz w:val="16"/>
              </w:rPr>
              <w:t>2,000</w:t>
            </w:r>
          </w:p>
        </w:tc>
        <w:tc>
          <w:tcPr>
            <w:tcW w:w="550" w:type="dxa"/>
          </w:tcPr>
          <w:p>
            <w:pPr>
              <w:jc w:val="right"/>
              <w:spacing w:before="10" w:after="10"/>
            </w:pPr>
            <w:r/>
            <w:r>
              <w:rPr>
                <w:sz w:val="16"/>
              </w:rPr>
              <w:t>1.6</w:t>
            </w:r>
          </w:p>
        </w:tc>
        <w:tc>
          <w:tcPr>
            <w:tcW w:w="700" w:type="dxa"/>
          </w:tcPr>
          <w:p>
            <w:pPr>
              <w:jc w:val="right"/>
              <w:spacing w:before="10" w:after="10"/>
            </w:pPr>
            <w:r/>
            <w:r>
              <w:rPr>
                <w:sz w:val="16"/>
              </w:rPr>
              <w:t>$1.44</w:t>
            </w:r>
          </w:p>
        </w:tc>
        <w:tc>
          <w:tcPr>
            <w:tcW w:w="750" w:type="dxa"/>
          </w:tcPr>
          <w:p>
            <w:pPr>
              <w:jc w:val="right"/>
              <w:spacing w:before="10" w:after="10"/>
            </w:pPr>
            <w:r>
              <w:rPr>
                <w:b/>
              </w:rPr>
            </w:r>
            <w:r>
              <w:rPr>
                <w:sz w:val="16"/>
                <w:b/>
              </w:rPr>
              <w:t>$0.065</w:t>
            </w:r>
          </w:p>
        </w:tc>
      </w:tr>
      <w:tr>
        <w:tc>
          <w:tcPr>
            <w:tcW w:w="1500" w:type="dxa"/>
          </w:tcPr>
          <w:p>
            <w:pPr>
              <w:spacing w:before="10" w:after="10"/>
            </w:pPr>
            <w:r/>
            <w:r>
              <w:rPr>
                <w:sz w:val="16"/>
              </w:rPr>
              <w:t>Norway</w:t>
            </w:r>
          </w:p>
        </w:tc>
        <w:tc>
          <w:tcPr>
            <w:tcW w:w="650" w:type="dxa"/>
          </w:tcPr>
          <w:p>
            <w:pPr>
              <w:spacing w:before="10" w:after="10"/>
            </w:pPr>
            <w:r/>
            <w:r>
              <w:rPr>
                <w:sz w:val="16"/>
              </w:rPr>
              <w:t>$0.054</w:t>
            </w:r>
          </w:p>
        </w:tc>
        <w:tc>
          <w:tcPr>
            <w:tcW w:w="550" w:type="dxa"/>
          </w:tcPr>
          <w:p>
            <w:pPr>
              <w:jc w:val="right"/>
              <w:spacing w:before="10" w:after="10"/>
            </w:pPr>
            <w:r/>
            <w:r>
              <w:rPr>
                <w:sz w:val="16"/>
              </w:rPr>
              <w:t>14.5</w:t>
            </w:r>
          </w:p>
        </w:tc>
        <w:tc>
          <w:tcPr>
            <w:tcW w:w="500" w:type="dxa"/>
          </w:tcPr>
          <w:p>
            <w:pPr>
              <w:jc w:val="right"/>
              <w:spacing w:before="10" w:after="10"/>
            </w:pPr>
            <w:r/>
            <w:r>
              <w:rPr>
                <w:sz w:val="16"/>
              </w:rPr>
              <w:t>1.08</w:t>
            </w:r>
          </w:p>
        </w:tc>
        <w:tc>
          <w:tcPr>
            <w:tcW w:w="650" w:type="dxa"/>
          </w:tcPr>
          <w:p>
            <w:pPr>
              <w:jc w:val="right"/>
              <w:spacing w:before="10" w:after="10"/>
            </w:pPr>
            <w:r/>
            <w:r>
              <w:rPr>
                <w:sz w:val="16"/>
              </w:rPr>
              <w:t>$12.41</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
              <w:rPr>
                <w:sz w:val="16"/>
              </w:rPr>
              <w:t>$0.054</w:t>
            </w:r>
          </w:p>
        </w:tc>
      </w:tr>
      <w:tr>
        <w:tc>
          <w:tcPr>
            <w:tcW w:w="1500" w:type="dxa"/>
          </w:tcPr>
          <w:p>
            <w:pPr>
              <w:spacing w:before="10" w:after="10"/>
            </w:pPr>
            <w:r/>
            <w:r>
              <w:rPr>
                <w:sz w:val="16"/>
              </w:rPr>
              <w:t>Algeria</w:t>
            </w:r>
          </w:p>
        </w:tc>
        <w:tc>
          <w:tcPr>
            <w:tcW w:w="650" w:type="dxa"/>
          </w:tcPr>
          <w:p>
            <w:pPr>
              <w:spacing w:before="10" w:after="10"/>
            </w:pPr>
            <w:r/>
            <w:r>
              <w:rPr>
                <w:sz w:val="16"/>
              </w:rPr>
              <w:t>$0.033</w:t>
            </w:r>
          </w:p>
        </w:tc>
        <w:tc>
          <w:tcPr>
            <w:tcW w:w="550" w:type="dxa"/>
          </w:tcPr>
          <w:p>
            <w:pPr>
              <w:jc w:val="right"/>
              <w:spacing w:before="10" w:after="10"/>
            </w:pPr>
            <w:r/>
            <w:r>
              <w:rPr>
                <w:sz w:val="16"/>
              </w:rPr>
              <w:t>35.8</w:t>
            </w:r>
          </w:p>
        </w:tc>
        <w:tc>
          <w:tcPr>
            <w:tcW w:w="500" w:type="dxa"/>
          </w:tcPr>
          <w:p>
            <w:pPr>
              <w:jc w:val="right"/>
              <w:spacing w:before="10" w:after="10"/>
            </w:pPr>
            <w:r/>
            <w:r>
              <w:rPr>
                <w:sz w:val="16"/>
              </w:rPr>
              <w:t>1.39</w:t>
            </w:r>
          </w:p>
        </w:tc>
        <w:tc>
          <w:tcPr>
            <w:tcW w:w="650" w:type="dxa"/>
          </w:tcPr>
          <w:p>
            <w:pPr>
              <w:jc w:val="right"/>
              <w:spacing w:before="10" w:after="10"/>
            </w:pPr>
            <w:r/>
            <w:r>
              <w:rPr>
                <w:sz w:val="16"/>
              </w:rPr>
              <w:t>$8.48</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700" w:type="dxa"/>
          </w:tcPr>
          <w:p>
            <w:pPr>
              <w:jc w:val="right"/>
              <w:spacing w:before="10" w:after="10"/>
            </w:pPr>
            <w:r/>
            <w:r>
              <w:rPr>
                <w:sz w:val="16"/>
              </w:rPr>
              <w:t>$1.44</w:t>
            </w:r>
          </w:p>
        </w:tc>
        <w:tc>
          <w:tcPr>
            <w:tcW w:w="750" w:type="dxa"/>
          </w:tcPr>
          <w:p>
            <w:pPr>
              <w:jc w:val="right"/>
              <w:spacing w:before="10" w:after="10"/>
            </w:pPr>
            <w:r>
              <w:rPr>
                <w:b/>
              </w:rPr>
            </w:r>
            <w:r>
              <w:rPr>
                <w:sz w:val="16"/>
                <w:b/>
              </w:rPr>
              <w:t>$0.065</w:t>
            </w:r>
          </w:p>
        </w:tc>
      </w:tr>
      <w:tr>
        <w:tc>
          <w:tcPr>
            <w:tcW w:w="1500" w:type="dxa"/>
          </w:tcPr>
          <w:p>
            <w:pPr>
              <w:spacing w:before="10" w:after="10"/>
            </w:pPr>
            <w:r/>
            <w:r>
              <w:rPr>
                <w:sz w:val="16"/>
              </w:rPr>
              <w:t>Finland</w:t>
            </w:r>
          </w:p>
        </w:tc>
        <w:tc>
          <w:tcPr>
            <w:tcW w:w="650" w:type="dxa"/>
          </w:tcPr>
          <w:p>
            <w:pPr>
              <w:spacing w:before="10" w:after="10"/>
            </w:pPr>
            <w:r/>
            <w:r>
              <w:rPr>
                <w:sz w:val="16"/>
              </w:rPr>
              <w:t>$0.057</w:t>
            </w:r>
          </w:p>
        </w:tc>
        <w:tc>
          <w:tcPr>
            <w:tcW w:w="550" w:type="dxa"/>
          </w:tcPr>
          <w:p>
            <w:pPr>
              <w:jc w:val="right"/>
              <w:spacing w:before="10" w:after="10"/>
            </w:pPr>
            <w:r/>
            <w:r>
              <w:rPr>
                <w:sz w:val="16"/>
              </w:rPr>
              <w:t>16.4</w:t>
            </w:r>
          </w:p>
        </w:tc>
        <w:tc>
          <w:tcPr>
            <w:tcW w:w="500" w:type="dxa"/>
          </w:tcPr>
          <w:p>
            <w:pPr>
              <w:jc w:val="right"/>
              <w:spacing w:before="10" w:after="10"/>
            </w:pPr>
            <w:r/>
            <w:r>
              <w:rPr>
                <w:sz w:val="16"/>
              </w:rPr>
              <w:t>1.10</w:t>
            </w:r>
          </w:p>
        </w:tc>
        <w:tc>
          <w:tcPr>
            <w:tcW w:w="650" w:type="dxa"/>
          </w:tcPr>
          <w:p>
            <w:pPr>
              <w:jc w:val="right"/>
              <w:spacing w:before="10" w:after="10"/>
            </w:pPr>
            <w:r/>
            <w:r>
              <w:rPr>
                <w:sz w:val="16"/>
              </w:rPr>
              <w:t>$12.29</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
              <w:rPr>
                <w:sz w:val="16"/>
              </w:rPr>
              <w:t>$0.057</w:t>
            </w:r>
          </w:p>
        </w:tc>
      </w:tr>
      <w:tr>
        <w:tc>
          <w:tcPr>
            <w:tcW w:w="1500" w:type="dxa"/>
          </w:tcPr>
          <w:p>
            <w:pPr>
              <w:spacing w:before="10" w:after="10"/>
            </w:pPr>
            <w:r/>
            <w:r>
              <w:rPr>
                <w:sz w:val="16"/>
              </w:rPr>
              <w:t>Vietnam</w:t>
            </w:r>
          </w:p>
        </w:tc>
        <w:tc>
          <w:tcPr>
            <w:tcW w:w="650" w:type="dxa"/>
          </w:tcPr>
          <w:p>
            <w:pPr>
              <w:spacing w:before="10" w:after="10"/>
            </w:pPr>
            <w:r/>
            <w:r>
              <w:rPr>
                <w:sz w:val="16"/>
              </w:rPr>
              <w:t>$0.073</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50" w:type="dxa"/>
          </w:tcPr>
          <w:p>
            <w:pPr>
              <w:jc w:val="right"/>
              <w:spacing w:before="10" w:after="10"/>
            </w:pPr>
            <w:r/>
            <w:r>
              <w:rPr>
                <w:sz w:val="16"/>
              </w:rPr>
              <w:t>$8.76</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$1.47</w:t>
            </w:r>
          </w:p>
        </w:tc>
        <w:tc>
          <w:tcPr>
            <w:tcW w:w="750" w:type="dxa"/>
          </w:tcPr>
          <w:p>
            <w:pPr>
              <w:jc w:val="right"/>
              <w:spacing w:before="10" w:after="10"/>
            </w:pPr>
            <w:r/>
            <w:r>
              <w:rPr>
                <w:sz w:val="16"/>
              </w:rPr>
              <w:t>$0.073</w:t>
            </w:r>
          </w:p>
        </w:tc>
      </w:tr>
      <w:tr>
        <w:tc>
          <w:tcPr>
            <w:tcW w:w="1500" w:type="dxa"/>
          </w:tcPr>
          <w:p>
            <w:pPr>
              <w:spacing w:before="10" w:after="10"/>
            </w:pPr>
            <w:r/>
            <w:r>
              <w:rPr>
                <w:sz w:val="16"/>
              </w:rPr>
              <w:t>Brazil</w:t>
            </w:r>
          </w:p>
        </w:tc>
        <w:tc>
          <w:tcPr>
            <w:tcW w:w="650" w:type="dxa"/>
          </w:tcPr>
          <w:p>
            <w:pPr>
              <w:spacing w:before="10" w:after="10"/>
            </w:pPr>
            <w:r/>
            <w:r>
              <w:rPr>
                <w:sz w:val="16"/>
              </w:rPr>
              <w:t>$0.063</w:t>
            </w:r>
          </w:p>
        </w:tc>
        <w:tc>
          <w:tcPr>
            <w:tcW w:w="550" w:type="dxa"/>
          </w:tcPr>
          <w:p>
            <w:pPr>
              <w:jc w:val="right"/>
              <w:spacing w:before="10" w:after="10"/>
            </w:pPr>
            <w:r/>
            <w:r>
              <w:rPr>
                <w:sz w:val="16"/>
              </w:rPr>
              <w:t>27.3</w:t>
            </w:r>
          </w:p>
        </w:tc>
        <w:tc>
          <w:tcPr>
            <w:tcW w:w="500" w:type="dxa"/>
          </w:tcPr>
          <w:p>
            <w:pPr>
              <w:jc w:val="right"/>
              <w:spacing w:before="10" w:after="10"/>
            </w:pPr>
            <w:r/>
            <w:r>
              <w:rPr>
                <w:sz w:val="16"/>
              </w:rPr>
              <w:t>1.26</w:t>
            </w:r>
          </w:p>
        </w:tc>
        <w:tc>
          <w:tcPr>
            <w:tcW w:w="650" w:type="dxa"/>
          </w:tcPr>
          <w:p>
            <w:pPr>
              <w:jc w:val="right"/>
              <w:spacing w:before="10" w:after="10"/>
            </w:pPr>
            <w:r/>
            <w:r>
              <w:rPr>
                <w:sz w:val="16"/>
              </w:rPr>
              <w:t>$10.75</w:t>
            </w:r>
          </w:p>
        </w:tc>
        <w:tc>
          <w:tcPr>
            <w:tcW w:w="650" w:type="dxa"/>
          </w:tcPr>
          <w:p>
            <w:pPr>
              <w:jc w:val="right"/>
              <w:spacing w:before="10" w:after="10"/>
            </w:pPr>
            <w:r/>
            <w:r>
              <w:rPr>
                <w:sz w:val="16"/>
              </w:rPr>
              <w:t>1,200</w:t>
            </w:r>
          </w:p>
        </w:tc>
        <w:tc>
          <w:tcPr>
            <w:tcW w:w="550" w:type="dxa"/>
          </w:tcPr>
          <w:p>
            <w:pPr>
              <w:jc w:val="right"/>
              <w:spacing w:before="10" w:after="10"/>
            </w:pPr>
            <w:r/>
            <w:r>
              <w:rPr>
                <w:sz w:val="16"/>
              </w:rPr>
              <w:t>1.0</w:t>
            </w:r>
          </w:p>
        </w:tc>
        <w:tc>
          <w:tcPr>
            <w:tcW w:w="700" w:type="dxa"/>
          </w:tcPr>
          <w:p>
            <w:pPr>
              <w:jc w:val="right"/>
              <w:spacing w:before="10" w:after="10"/>
            </w:pPr>
            <w:r/>
            <w:r>
              <w:rPr>
                <w:sz w:val="16"/>
              </w:rPr>
              <w:t>$1.47</w:t>
            </w:r>
          </w:p>
        </w:tc>
        <w:tc>
          <w:tcPr>
            <w:tcW w:w="750" w:type="dxa"/>
          </w:tcPr>
          <w:p>
            <w:pPr>
              <w:jc w:val="right"/>
              <w:spacing w:before="10" w:after="10"/>
            </w:pPr>
            <w:r/>
            <w:r>
              <w:rPr>
                <w:sz w:val="16"/>
              </w:rPr>
              <w:t>$0.063</w:t>
            </w:r>
          </w:p>
        </w:tc>
      </w:tr>
      <w:tr>
        <w:tc>
          <w:tcPr>
            <w:tcW w:w="1500" w:type="dxa"/>
          </w:tcPr>
          <w:p>
            <w:pPr>
              <w:spacing w:before="10" w:after="10"/>
            </w:pPr>
            <w:r/>
            <w:r>
              <w:rPr>
                <w:sz w:val="16"/>
              </w:rPr>
              <w:t>Turkmenistan</w:t>
            </w:r>
          </w:p>
        </w:tc>
        <w:tc>
          <w:tcPr>
            <w:tcW w:w="650" w:type="dxa"/>
          </w:tcPr>
          <w:p>
            <w:pPr>
              <w:spacing w:before="10" w:after="10"/>
            </w:pPr>
            <w:r/>
            <w:r>
              <w:rPr>
                <w:sz w:val="16"/>
              </w:rPr>
              <w:t>$0.010</w:t>
            </w:r>
          </w:p>
        </w:tc>
        <w:tc>
          <w:tcPr>
            <w:tcW w:w="550" w:type="dxa"/>
          </w:tcPr>
          <w:p>
            <w:pPr>
              <w:jc w:val="right"/>
              <w:spacing w:before="10" w:after="10"/>
            </w:pPr>
            <w:r/>
            <w:r>
              <w:rPr>
                <w:sz w:val="16"/>
              </w:rPr>
              <w:t>32.2</w:t>
            </w:r>
          </w:p>
        </w:tc>
        <w:tc>
          <w:tcPr>
            <w:tcW w:w="500" w:type="dxa"/>
          </w:tcPr>
          <w:p>
            <w:pPr>
              <w:jc w:val="right"/>
              <w:spacing w:before="10" w:after="10"/>
            </w:pPr>
            <w:r/>
            <w:r>
              <w:rPr>
                <w:sz w:val="16"/>
              </w:rPr>
              <w:t>1.34</w:t>
            </w:r>
          </w:p>
        </w:tc>
        <w:tc>
          <w:tcPr>
            <w:tcW w:w="650" w:type="dxa"/>
          </w:tcPr>
          <w:p>
            <w:pPr>
              <w:jc w:val="right"/>
              <w:spacing w:before="10" w:after="10"/>
            </w:pPr>
            <w:r/>
            <w:r>
              <w:rPr>
                <w:sz w:val="16"/>
              </w:rPr>
              <w:t>$9.24</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$1.42</w:t>
            </w:r>
          </w:p>
        </w:tc>
        <w:tc>
          <w:tcPr>
            <w:tcW w:w="750" w:type="dxa"/>
          </w:tcPr>
          <w:p>
            <w:pPr>
              <w:jc w:val="right"/>
              <w:spacing w:before="10" w:after="10"/>
            </w:pPr>
            <w:r>
              <w:rPr>
                <w:b/>
              </w:rPr>
            </w:r>
            <w:r>
              <w:rPr>
                <w:sz w:val="16"/>
                <w:b/>
              </w:rPr>
              <w:t>$0.070</w:t>
            </w:r>
          </w:p>
        </w:tc>
      </w:tr>
      <w:tr>
        <w:tc>
          <w:tcPr>
            <w:tcW w:w="1500" w:type="dxa"/>
          </w:tcPr>
          <w:p>
            <w:pPr>
              <w:spacing w:before="10" w:after="10"/>
            </w:pPr>
            <w:r/>
            <w:r>
              <w:rPr>
                <w:sz w:val="16"/>
              </w:rPr>
              <w:t>Egypt</w:t>
            </w:r>
          </w:p>
        </w:tc>
        <w:tc>
          <w:tcPr>
            <w:tcW w:w="650" w:type="dxa"/>
          </w:tcPr>
          <w:p>
            <w:pPr>
              <w:spacing w:before="10" w:after="10"/>
            </w:pPr>
            <w:r/>
            <w:r>
              <w:rPr>
                <w:sz w:val="16"/>
              </w:rPr>
              <w:t>$0.038</w:t>
            </w:r>
          </w:p>
        </w:tc>
        <w:tc>
          <w:tcPr>
            <w:tcW w:w="550" w:type="dxa"/>
          </w:tcPr>
          <w:p>
            <w:pPr>
              <w:jc w:val="right"/>
              <w:spacing w:before="10" w:after="10"/>
            </w:pPr>
            <w:r/>
            <w:r>
              <w:rPr>
                <w:sz w:val="16"/>
              </w:rPr>
              <w:t>31.7</w:t>
            </w:r>
          </w:p>
        </w:tc>
        <w:tc>
          <w:tcPr>
            <w:tcW w:w="500" w:type="dxa"/>
          </w:tcPr>
          <w:p>
            <w:pPr>
              <w:jc w:val="right"/>
              <w:spacing w:before="10" w:after="10"/>
            </w:pPr>
            <w:r/>
            <w:r>
              <w:rPr>
                <w:sz w:val="16"/>
              </w:rPr>
              <w:t>1.33</w:t>
            </w:r>
          </w:p>
        </w:tc>
        <w:tc>
          <w:tcPr>
            <w:tcW w:w="650" w:type="dxa"/>
          </w:tcPr>
          <w:p>
            <w:pPr>
              <w:jc w:val="right"/>
              <w:spacing w:before="10" w:after="10"/>
            </w:pPr>
            <w:r/>
            <w:r>
              <w:rPr>
                <w:sz w:val="16"/>
              </w:rPr>
              <w:t>$7.63</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$1.43</w:t>
            </w:r>
          </w:p>
        </w:tc>
        <w:tc>
          <w:tcPr>
            <w:tcW w:w="750" w:type="dxa"/>
          </w:tcPr>
          <w:p>
            <w:pPr>
              <w:jc w:val="right"/>
              <w:spacing w:before="10" w:after="10"/>
            </w:pPr>
            <w:r>
              <w:rPr>
                <w:b/>
              </w:rPr>
            </w:r>
            <w:r>
              <w:rPr>
                <w:sz w:val="16"/>
                <w:b/>
              </w:rPr>
              <w:t>$0.080</w:t>
            </w:r>
          </w:p>
        </w:tc>
      </w:tr>
      <w:tr>
        <w:tc>
          <w:tcPr>
            <w:tcW w:w="1500" w:type="dxa"/>
          </w:tcPr>
          <w:p>
            <w:pPr>
              <w:spacing w:before="10" w:after="10"/>
            </w:pPr>
            <w:r/>
            <w:r>
              <w:rPr>
                <w:sz w:val="16"/>
              </w:rPr>
              <w:t>Sweden</w:t>
            </w:r>
          </w:p>
        </w:tc>
        <w:tc>
          <w:tcPr>
            <w:tcW w:w="650" w:type="dxa"/>
          </w:tcPr>
          <w:p>
            <w:pPr>
              <w:spacing w:before="10" w:after="10"/>
            </w:pPr>
            <w:r/>
            <w:r>
              <w:rPr>
                <w:sz w:val="16"/>
              </w:rPr>
              <w:t>$0.068</w:t>
            </w:r>
          </w:p>
        </w:tc>
        <w:tc>
          <w:tcPr>
            <w:tcW w:w="550" w:type="dxa"/>
          </w:tcPr>
          <w:p>
            <w:pPr>
              <w:jc w:val="right"/>
              <w:spacing w:before="10" w:after="10"/>
            </w:pPr>
            <w:r/>
            <w:r>
              <w:rPr>
                <w:sz w:val="16"/>
              </w:rPr>
              <w:t>15.2</w:t>
            </w:r>
          </w:p>
        </w:tc>
        <w:tc>
          <w:tcPr>
            <w:tcW w:w="500" w:type="dxa"/>
          </w:tcPr>
          <w:p>
            <w:pPr>
              <w:jc w:val="right"/>
              <w:spacing w:before="10" w:after="10"/>
            </w:pPr>
            <w:r/>
            <w:r>
              <w:rPr>
                <w:sz w:val="16"/>
              </w:rPr>
              <w:t>1.08</w:t>
            </w:r>
          </w:p>
        </w:tc>
        <w:tc>
          <w:tcPr>
            <w:tcW w:w="650" w:type="dxa"/>
          </w:tcPr>
          <w:p>
            <w:pPr>
              <w:jc w:val="right"/>
              <w:spacing w:before="10" w:after="10"/>
            </w:pPr>
            <w:r/>
            <w:r>
              <w:rPr>
                <w:sz w:val="16"/>
              </w:rPr>
              <w:t>$12.29</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$1.48</w:t>
            </w:r>
          </w:p>
        </w:tc>
        <w:tc>
          <w:tcPr>
            <w:tcW w:w="750" w:type="dxa"/>
          </w:tcPr>
          <w:p>
            <w:pPr>
              <w:jc w:val="right"/>
              <w:spacing w:before="10" w:after="10"/>
            </w:pPr>
            <w:r/>
            <w:r>
              <w:rPr>
                <w:sz w:val="16"/>
              </w:rPr>
              <w:t>$0.068</w:t>
            </w:r>
          </w:p>
        </w:tc>
      </w:tr>
      <w:tr>
        <w:tc>
          <w:tcPr>
            <w:tcW w:w="1500" w:type="dxa"/>
          </w:tcPr>
          <w:p>
            <w:pPr>
              <w:spacing w:before="10" w:after="10"/>
            </w:pPr>
            <w:r/>
            <w:r>
              <w:rPr>
                <w:sz w:val="16"/>
              </w:rPr>
              <w:t>India</w:t>
            </w:r>
          </w:p>
        </w:tc>
        <w:tc>
          <w:tcPr>
            <w:tcW w:w="650" w:type="dxa"/>
          </w:tcPr>
          <w:p>
            <w:pPr>
              <w:spacing w:before="10" w:after="10"/>
            </w:pPr>
            <w:r/>
            <w:r>
              <w:rPr>
                <w:sz w:val="16"/>
              </w:rPr>
              <w:t>$0.090</w:t>
            </w:r>
          </w:p>
        </w:tc>
        <w:tc>
          <w:tcPr>
            <w:tcW w:w="550" w:type="dxa"/>
          </w:tcPr>
          <w:p>
            <w:pPr>
              <w:jc w:val="right"/>
              <w:spacing w:before="10" w:after="10"/>
            </w:pPr>
            <w:r/>
            <w:r>
              <w:rPr>
                <w:sz w:val="16"/>
              </w:rPr>
              <w:t>30.2</w:t>
            </w:r>
          </w:p>
        </w:tc>
        <w:tc>
          <w:tcPr>
            <w:tcW w:w="500" w:type="dxa"/>
          </w:tcPr>
          <w:p>
            <w:pPr>
              <w:jc w:val="right"/>
              <w:spacing w:before="10" w:after="10"/>
            </w:pPr>
            <w:r/>
            <w:r>
              <w:rPr>
                <w:sz w:val="16"/>
              </w:rPr>
              <w:t>1.31</w:t>
            </w:r>
          </w:p>
        </w:tc>
        <w:tc>
          <w:tcPr>
            <w:tcW w:w="650" w:type="dxa"/>
          </w:tcPr>
          <w:p>
            <w:pPr>
              <w:jc w:val="right"/>
              <w:spacing w:before="10" w:after="10"/>
            </w:pPr>
            <w:r/>
            <w:r>
              <w:rPr>
                <w:sz w:val="16"/>
              </w:rPr>
              <w:t>$6.64</w:t>
            </w:r>
          </w:p>
        </w:tc>
        <w:tc>
          <w:tcPr>
            <w:tcW w:w="650" w:type="dxa"/>
          </w:tcPr>
          <w:p>
            <w:pPr>
              <w:jc w:val="right"/>
              <w:spacing w:before="10" w:after="10"/>
            </w:pPr>
            <w:r/>
            <w:r>
              <w:rPr>
                <w:sz w:val="16"/>
              </w:rPr>
              <w:t>3,600</w:t>
            </w:r>
          </w:p>
        </w:tc>
        <w:tc>
          <w:tcPr>
            <w:tcW w:w="550" w:type="dxa"/>
          </w:tcPr>
          <w:p>
            <w:pPr>
              <w:jc w:val="right"/>
              <w:spacing w:before="10" w:after="10"/>
            </w:pPr>
            <w:r/>
            <w:r>
              <w:rPr>
                <w:sz w:val="16"/>
              </w:rPr>
              <w:t>2.9</w:t>
            </w:r>
          </w:p>
        </w:tc>
        <w:tc>
          <w:tcPr>
            <w:tcW w:w="700" w:type="dxa"/>
          </w:tcPr>
          <w:p>
            <w:pPr>
              <w:jc w:val="right"/>
              <w:spacing w:before="10" w:after="10"/>
            </w:pPr>
            <w:r/>
            <w:r>
              <w:rPr>
                <w:sz w:val="16"/>
              </w:rPr>
              <w:t>$1.48</w:t>
            </w:r>
          </w:p>
        </w:tc>
        <w:tc>
          <w:tcPr>
            <w:tcW w:w="750" w:type="dxa"/>
          </w:tcPr>
          <w:p>
            <w:pPr>
              <w:jc w:val="right"/>
              <w:spacing w:before="10" w:after="10"/>
            </w:pPr>
            <w:r/>
            <w:r>
              <w:rPr>
                <w:sz w:val="16"/>
              </w:rPr>
              <w:t>$0.090</w:t>
            </w:r>
          </w:p>
        </w:tc>
      </w:tr>
      <w:tr>
        <w:tc>
          <w:tcPr>
            <w:tcW w:w="1500" w:type="dxa"/>
          </w:tcPr>
          <w:p>
            <w:pPr>
              <w:spacing w:before="10" w:after="10"/>
            </w:pPr>
            <w:r/>
            <w:r>
              <w:rPr>
                <w:sz w:val="16"/>
              </w:rPr>
              <w:t>Indonesia</w:t>
            </w:r>
          </w:p>
        </w:tc>
        <w:tc>
          <w:tcPr>
            <w:tcW w:w="650" w:type="dxa"/>
          </w:tcPr>
          <w:p>
            <w:pPr>
              <w:spacing w:before="10" w:after="10"/>
            </w:pPr>
            <w:r/>
            <w:r>
              <w:rPr>
                <w:sz w:val="16"/>
              </w:rPr>
              <w:t>$0.067</w:t>
            </w:r>
          </w:p>
        </w:tc>
        <w:tc>
          <w:tcPr>
            <w:tcW w:w="550" w:type="dxa"/>
          </w:tcPr>
          <w:p>
            <w:pPr>
              <w:jc w:val="right"/>
              <w:spacing w:before="10" w:after="10"/>
            </w:pPr>
            <w:r/>
            <w:r>
              <w:rPr>
                <w:sz w:val="16"/>
              </w:rPr>
              <w:t>26.4</w:t>
            </w:r>
          </w:p>
        </w:tc>
        <w:tc>
          <w:tcPr>
            <w:tcW w:w="500" w:type="dxa"/>
          </w:tcPr>
          <w:p>
            <w:pPr>
              <w:jc w:val="right"/>
              <w:spacing w:before="10" w:after="10"/>
            </w:pPr>
            <w:r/>
            <w:r>
              <w:rPr>
                <w:sz w:val="16"/>
              </w:rPr>
              <w:t>1.25</w:t>
            </w:r>
          </w:p>
        </w:tc>
        <w:tc>
          <w:tcPr>
            <w:tcW w:w="650" w:type="dxa"/>
          </w:tcPr>
          <w:p>
            <w:pPr>
              <w:jc w:val="right"/>
              <w:spacing w:before="10" w:after="10"/>
            </w:pPr>
            <w:r/>
            <w:r>
              <w:rPr>
                <w:sz w:val="16"/>
              </w:rPr>
              <w:t>$11.21</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$1.48</w:t>
            </w:r>
          </w:p>
        </w:tc>
        <w:tc>
          <w:tcPr>
            <w:tcW w:w="750" w:type="dxa"/>
          </w:tcPr>
          <w:p>
            <w:pPr>
              <w:jc w:val="right"/>
              <w:spacing w:before="10" w:after="10"/>
            </w:pPr>
            <w:r/>
            <w:r>
              <w:rPr>
                <w:sz w:val="16"/>
              </w:rPr>
              <w:t>$0.067</w:t>
            </w:r>
          </w:p>
        </w:tc>
      </w:tr>
      <w:tr>
        <w:tc>
          <w:tcPr>
            <w:tcW w:w="1500" w:type="dxa"/>
          </w:tcPr>
          <w:p>
            <w:pPr>
              <w:spacing w:before="10" w:after="10"/>
            </w:pPr>
            <w:r/>
            <w:r>
              <w:rPr>
                <w:sz w:val="16"/>
              </w:rPr>
              <w:t>Kazakhstan</w:t>
            </w:r>
          </w:p>
        </w:tc>
        <w:tc>
          <w:tcPr>
            <w:tcW w:w="650" w:type="dxa"/>
          </w:tcPr>
          <w:p>
            <w:pPr>
              <w:spacing w:before="10" w:after="10"/>
            </w:pPr>
            <w:r/>
            <w:r>
              <w:rPr>
                <w:sz w:val="16"/>
              </w:rPr>
              <w:t>$0.066</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50" w:type="dxa"/>
          </w:tcPr>
          <w:p>
            <w:pPr>
              <w:jc w:val="right"/>
              <w:spacing w:before="10" w:after="10"/>
            </w:pPr>
            <w:r/>
            <w:r>
              <w:rPr>
                <w:sz w:val="16"/>
              </w:rPr>
              <w:t>$9.53</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$0.085</w:t>
            </w:r>
          </w:p>
        </w:tc>
      </w:tr>
      <w:tr>
        <w:tc>
          <w:tcPr>
            <w:tcW w:w="1500" w:type="dxa"/>
          </w:tcPr>
          <w:p>
            <w:pPr>
              <w:spacing w:before="10" w:after="10"/>
            </w:pPr>
            <w:r/>
            <w:r>
              <w:rPr>
                <w:sz w:val="16"/>
              </w:rPr>
              <w:t>Iran</w:t>
            </w:r>
          </w:p>
        </w:tc>
        <w:tc>
          <w:tcPr>
            <w:tcW w:w="650" w:type="dxa"/>
          </w:tcPr>
          <w:p>
            <w:pPr>
              <w:spacing w:before="10" w:after="10"/>
            </w:pPr>
            <w:r/>
            <w:r>
              <w:rPr>
                <w:sz w:val="16"/>
              </w:rPr>
              <w:t>$0.005</w:t>
            </w:r>
          </w:p>
        </w:tc>
        <w:tc>
          <w:tcPr>
            <w:tcW w:w="550" w:type="dxa"/>
          </w:tcPr>
          <w:p>
            <w:pPr>
              <w:jc w:val="right"/>
              <w:spacing w:before="10" w:after="10"/>
            </w:pPr>
            <w:r/>
            <w:r>
              <w:rPr>
                <w:sz w:val="16"/>
              </w:rPr>
              <w:t>31.2</w:t>
            </w:r>
          </w:p>
        </w:tc>
        <w:tc>
          <w:tcPr>
            <w:tcW w:w="500" w:type="dxa"/>
          </w:tcPr>
          <w:p>
            <w:pPr>
              <w:jc w:val="right"/>
              <w:spacing w:before="10" w:after="10"/>
            </w:pPr>
            <w:r/>
            <w:r>
              <w:rPr>
                <w:sz w:val="16"/>
              </w:rPr>
              <w:t>1.32</w:t>
            </w:r>
          </w:p>
        </w:tc>
        <w:tc>
          <w:tcPr>
            <w:tcW w:w="650" w:type="dxa"/>
          </w:tcPr>
          <w:p>
            <w:pPr>
              <w:jc w:val="right"/>
              <w:spacing w:before="10" w:after="10"/>
            </w:pPr>
            <w:r/>
            <w:r>
              <w:rPr>
                <w:sz w:val="16"/>
              </w:rPr>
              <w:t>$8.50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$1.41</w:t>
            </w:r>
          </w:p>
        </w:tc>
        <w:tc>
          <w:tcPr>
            <w:tcW w:w="750" w:type="dxa"/>
          </w:tcPr>
          <w:p>
            <w:pPr>
              <w:jc w:val="right"/>
              <w:spacing w:before="10" w:after="10"/>
            </w:pPr>
            <w:r>
              <w:rPr>
                <w:b/>
              </w:rPr>
            </w:r>
            <w:r>
              <w:rPr>
                <w:sz w:val="16"/>
                <w:b/>
              </w:rPr>
              <w:t>$0.085</w:t>
            </w:r>
          </w:p>
        </w:tc>
      </w:tr>
      <w:tr>
        <w:tc>
          <w:tcPr>
            <w:tcW w:w="1500" w:type="dxa"/>
          </w:tcPr>
          <w:p>
            <w:pPr>
              <w:spacing w:before="10" w:after="10"/>
            </w:pPr>
            <w:r/>
            <w:r>
              <w:rPr>
                <w:sz w:val="16"/>
              </w:rPr>
              <w:t>Georgia</w:t>
            </w:r>
          </w:p>
        </w:tc>
        <w:tc>
          <w:tcPr>
            <w:tcW w:w="650" w:type="dxa"/>
          </w:tcPr>
          <w:p>
            <w:pPr>
              <w:spacing w:before="10" w:after="10"/>
            </w:pPr>
            <w:r/>
            <w:r>
              <w:rPr>
                <w:sz w:val="16"/>
              </w:rPr>
              <w:t>$0.091</w:t>
            </w:r>
          </w:p>
        </w:tc>
        <w:tc>
          <w:tcPr>
            <w:tcW w:w="550" w:type="dxa"/>
          </w:tcPr>
          <w:p>
            <w:pPr>
              <w:jc w:val="right"/>
              <w:spacing w:before="10" w:after="10"/>
            </w:pPr>
            <w:r/>
            <w:r>
              <w:rPr>
                <w:sz w:val="16"/>
              </w:rPr>
              <w:t>19.4</w:t>
            </w:r>
          </w:p>
        </w:tc>
        <w:tc>
          <w:tcPr>
            <w:tcW w:w="500" w:type="dxa"/>
          </w:tcPr>
          <w:p>
            <w:pPr>
              <w:jc w:val="right"/>
              <w:spacing w:before="10" w:after="10"/>
            </w:pPr>
            <w:r/>
            <w:r>
              <w:rPr>
                <w:sz w:val="16"/>
              </w:rPr>
              <w:t>1.15</w:t>
            </w:r>
          </w:p>
        </w:tc>
        <w:tc>
          <w:tcPr>
            <w:tcW w:w="650" w:type="dxa"/>
          </w:tcPr>
          <w:p>
            <w:pPr>
              <w:jc w:val="right"/>
              <w:spacing w:before="10" w:after="10"/>
            </w:pPr>
            <w:r/>
            <w:r>
              <w:rPr>
                <w:sz w:val="16"/>
              </w:rPr>
              <w:t>$9.58</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700" w:type="dxa"/>
          </w:tcPr>
          <w:p>
            <w:pPr>
              <w:jc w:val="right"/>
              <w:spacing w:before="10" w:after="10"/>
            </w:pPr>
            <w:r/>
            <w:r>
              <w:rPr>
                <w:sz w:val="16"/>
              </w:rPr>
              <w:t>$1.48</w:t>
            </w:r>
          </w:p>
        </w:tc>
        <w:tc>
          <w:tcPr>
            <w:tcW w:w="750" w:type="dxa"/>
          </w:tcPr>
          <w:p>
            <w:pPr>
              <w:jc w:val="right"/>
              <w:spacing w:before="10" w:after="10"/>
            </w:pPr>
            <w:r/>
            <w:r>
              <w:rPr>
                <w:sz w:val="16"/>
              </w:rPr>
              <w:t>$0.091</w:t>
            </w:r>
          </w:p>
        </w:tc>
      </w:tr>
      <w:tr>
        <w:tc>
          <w:tcPr>
            <w:tcW w:w="1500" w:type="dxa"/>
          </w:tcPr>
          <w:p>
            <w:pPr>
              <w:spacing w:before="10" w:after="10"/>
            </w:pPr>
            <w:r/>
            <w:r>
              <w:rPr>
                <w:sz w:val="16"/>
              </w:rPr>
              <w:t>United States of Am.</w:t>
            </w:r>
          </w:p>
        </w:tc>
        <w:tc>
          <w:tcPr>
            <w:tcW w:w="650" w:type="dxa"/>
          </w:tcPr>
          <w:p>
            <w:pPr>
              <w:spacing w:before="10" w:after="10"/>
            </w:pPr>
            <w:r/>
            <w:r>
              <w:rPr>
                <w:sz w:val="16"/>
              </w:rPr>
              <w:t>$0.081</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50" w:type="dxa"/>
          </w:tcPr>
          <w:p>
            <w:pPr>
              <w:jc w:val="right"/>
              <w:spacing w:before="10" w:after="10"/>
            </w:pPr>
            <w:r/>
            <w:r>
              <w:rPr>
                <w:sz w:val="16"/>
              </w:rPr>
              <w:t>$10.78</w:t>
            </w:r>
          </w:p>
        </w:tc>
        <w:tc>
          <w:tcPr>
            <w:tcW w:w="650" w:type="dxa"/>
          </w:tcPr>
          <w:p>
            <w:pPr>
              <w:jc w:val="right"/>
              <w:spacing w:before="10" w:after="10"/>
            </w:pPr>
            <w:r/>
            <w:r>
              <w:rPr>
                <w:sz w:val="16"/>
              </w:rPr>
              <w:t>53,700</w:t>
            </w:r>
          </w:p>
        </w:tc>
        <w:tc>
          <w:tcPr>
            <w:tcW w:w="550" w:type="dxa"/>
          </w:tcPr>
          <w:p>
            <w:pPr>
              <w:jc w:val="right"/>
              <w:spacing w:before="10" w:after="10"/>
            </w:pPr>
            <w:r/>
            <w:r>
              <w:rPr>
                <w:sz w:val="16"/>
              </w:rPr>
              <w:t>43.4</w:t>
            </w:r>
          </w:p>
        </w:tc>
        <w:tc>
          <w:tcPr>
            <w:tcW w:w="700" w:type="dxa"/>
          </w:tcPr>
          <w:p>
            <w:pPr>
              <w:jc w:val="right"/>
              <w:spacing w:before="10" w:after="10"/>
            </w:pPr>
            <w:r/>
            <w:r>
              <w:rPr>
                <w:sz w:val="16"/>
              </w:rPr>
              <w:t>$1.48</w:t>
            </w:r>
          </w:p>
        </w:tc>
        <w:tc>
          <w:tcPr>
            <w:tcW w:w="750" w:type="dxa"/>
          </w:tcPr>
          <w:p>
            <w:pPr>
              <w:jc w:val="right"/>
              <w:spacing w:before="10" w:after="10"/>
            </w:pPr>
            <w:r/>
            <w:r>
              <w:rPr>
                <w:sz w:val="16"/>
              </w:rPr>
              <w:t>$0.081</w:t>
            </w:r>
          </w:p>
        </w:tc>
      </w:tr>
      <w:tr>
        <w:tc>
          <w:tcPr>
            <w:tcW w:w="1500" w:type="dxa"/>
          </w:tcPr>
          <w:p>
            <w:pPr>
              <w:spacing w:before="10" w:after="10"/>
            </w:pPr>
            <w:r/>
            <w:r>
              <w:rPr>
                <w:sz w:val="16"/>
              </w:rPr>
              <w:t>Uzbekistan</w:t>
            </w:r>
          </w:p>
        </w:tc>
        <w:tc>
          <w:tcPr>
            <w:tcW w:w="650" w:type="dxa"/>
          </w:tcPr>
          <w:p>
            <w:pPr>
              <w:spacing w:before="10" w:after="10"/>
            </w:pPr>
            <w:r/>
            <w:r>
              <w:rPr>
                <w:sz w:val="16"/>
              </w:rPr>
              <w:t>$0.071</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50" w:type="dxa"/>
          </w:tcPr>
          <w:p>
            <w:pPr>
              <w:jc w:val="right"/>
              <w:spacing w:before="10" w:after="10"/>
            </w:pPr>
            <w:r/>
            <w:r>
              <w:rPr>
                <w:sz w:val="16"/>
              </w:rPr>
              <w:t>$8.37</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$0.090</w:t>
            </w:r>
          </w:p>
        </w:tc>
      </w:tr>
      <w:tr>
        <w:tc>
          <w:tcPr>
            <w:tcW w:w="1500" w:type="dxa"/>
          </w:tcPr>
          <w:p>
            <w:pPr>
              <w:spacing w:before="10" w:after="10"/>
            </w:pPr>
            <w:r/>
            <w:r>
              <w:rPr>
                <w:sz w:val="16"/>
              </w:rPr>
              <w:t>Kenya</w:t>
            </w:r>
          </w:p>
        </w:tc>
        <w:tc>
          <w:tcPr>
            <w:tcW w:w="650" w:type="dxa"/>
          </w:tcPr>
          <w:p>
            <w:pPr>
              <w:spacing w:before="10" w:after="10"/>
            </w:pPr>
            <w:r/>
            <w:r>
              <w:rPr>
                <w:sz w:val="16"/>
              </w:rPr>
              <w:t>$0.088</w:t>
            </w:r>
          </w:p>
        </w:tc>
        <w:tc>
          <w:tcPr>
            <w:tcW w:w="550" w:type="dxa"/>
          </w:tcPr>
          <w:p>
            <w:pPr>
              <w:jc w:val="right"/>
              <w:spacing w:before="10" w:after="10"/>
            </w:pPr>
            <w:r/>
            <w:r>
              <w:rPr>
                <w:sz w:val="16"/>
              </w:rPr>
              <w:t>27.4</w:t>
            </w:r>
          </w:p>
        </w:tc>
        <w:tc>
          <w:tcPr>
            <w:tcW w:w="500" w:type="dxa"/>
          </w:tcPr>
          <w:p>
            <w:pPr>
              <w:jc w:val="right"/>
              <w:spacing w:before="10" w:after="10"/>
            </w:pPr>
            <w:r/>
            <w:r>
              <w:rPr>
                <w:sz w:val="16"/>
              </w:rPr>
              <w:t>1.26</w:t>
            </w:r>
          </w:p>
        </w:tc>
        <w:tc>
          <w:tcPr>
            <w:tcW w:w="650" w:type="dxa"/>
          </w:tcPr>
          <w:p>
            <w:pPr>
              <w:jc w:val="right"/>
              <w:spacing w:before="10" w:after="10"/>
            </w:pPr>
            <w:r/>
            <w:r>
              <w:rPr>
                <w:sz w:val="16"/>
              </w:rPr>
              <w:t>$9.74</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
              <w:rPr>
                <w:sz w:val="16"/>
              </w:rPr>
              <w:t>$0.088</w:t>
            </w:r>
          </w:p>
        </w:tc>
      </w:tr>
      <w:tr>
        <w:tc>
          <w:tcPr>
            <w:tcW w:w="1500" w:type="dxa"/>
          </w:tcPr>
          <w:p>
            <w:pPr>
              <w:spacing w:before="10" w:after="10"/>
            </w:pPr>
            <w:r/>
            <w:r>
              <w:rPr>
                <w:sz w:val="16"/>
              </w:rPr>
              <w:t>Turkey</w:t>
            </w:r>
          </w:p>
        </w:tc>
        <w:tc>
          <w:tcPr>
            <w:tcW w:w="650" w:type="dxa"/>
          </w:tcPr>
          <w:p>
            <w:pPr>
              <w:spacing w:before="10" w:after="10"/>
            </w:pPr>
            <w:r/>
            <w:r>
              <w:rPr>
                <w:sz w:val="16"/>
              </w:rPr>
              <w:t>$0.086</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50" w:type="dxa"/>
          </w:tcPr>
          <w:p>
            <w:pPr>
              <w:jc w:val="right"/>
              <w:spacing w:before="10" w:after="10"/>
            </w:pPr>
            <w:r/>
            <w:r>
              <w:rPr>
                <w:sz w:val="16"/>
              </w:rPr>
              <w:t>$10.57</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700" w:type="dxa"/>
          </w:tcPr>
          <w:p>
            <w:pPr>
              <w:jc w:val="right"/>
              <w:spacing w:before="10" w:after="10"/>
            </w:pPr>
            <w:r/>
            <w:r>
              <w:rPr>
                <w:sz w:val="16"/>
              </w:rPr>
              <w:t>$1.49</w:t>
            </w:r>
          </w:p>
        </w:tc>
        <w:tc>
          <w:tcPr>
            <w:tcW w:w="750" w:type="dxa"/>
          </w:tcPr>
          <w:p>
            <w:pPr>
              <w:jc w:val="right"/>
              <w:spacing w:before="10" w:after="10"/>
            </w:pPr>
            <w:r/>
            <w:r>
              <w:rPr>
                <w:sz w:val="16"/>
              </w:rPr>
              <w:t>$0.086</w:t>
            </w:r>
          </w:p>
        </w:tc>
      </w:tr>
      <w:tr>
        <w:tc>
          <w:tcPr>
            <w:tcW w:w="1500" w:type="dxa"/>
          </w:tcPr>
          <w:p>
            <w:pPr>
              <w:spacing w:before="10" w:after="10"/>
            </w:pPr>
            <w:r/>
            <w:r>
              <w:rPr>
                <w:sz w:val="16"/>
              </w:rPr>
              <w:t>Bosnia and Herz.</w:t>
            </w:r>
          </w:p>
        </w:tc>
        <w:tc>
          <w:tcPr>
            <w:tcW w:w="650" w:type="dxa"/>
          </w:tcPr>
          <w:p>
            <w:pPr>
              <w:spacing w:before="10" w:after="10"/>
            </w:pPr>
            <w:r/>
            <w:r>
              <w:rPr>
                <w:sz w:val="16"/>
              </w:rPr>
              <w:t>$0.099</w:t>
            </w:r>
          </w:p>
        </w:tc>
        <w:tc>
          <w:tcPr>
            <w:tcW w:w="550" w:type="dxa"/>
          </w:tcPr>
          <w:p>
            <w:pPr>
              <w:jc w:val="right"/>
              <w:spacing w:before="10" w:after="10"/>
            </w:pPr>
            <w:r/>
            <w:r>
              <w:rPr>
                <w:sz w:val="16"/>
              </w:rPr>
              <w:t>21.6</w:t>
            </w:r>
          </w:p>
        </w:tc>
        <w:tc>
          <w:tcPr>
            <w:tcW w:w="500" w:type="dxa"/>
          </w:tcPr>
          <w:p>
            <w:pPr>
              <w:jc w:val="right"/>
              <w:spacing w:before="10" w:after="10"/>
            </w:pPr>
            <w:r/>
            <w:r>
              <w:rPr>
                <w:sz w:val="16"/>
              </w:rPr>
              <w:t>1.18</w:t>
            </w:r>
          </w:p>
        </w:tc>
        <w:tc>
          <w:tcPr>
            <w:tcW w:w="650" w:type="dxa"/>
          </w:tcPr>
          <w:p>
            <w:pPr>
              <w:jc w:val="right"/>
              <w:spacing w:before="10" w:after="10"/>
            </w:pPr>
            <w:r/>
            <w:r>
              <w:rPr>
                <w:sz w:val="16"/>
              </w:rPr>
              <w:t>$9.17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
              <w:rPr>
                <w:sz w:val="16"/>
              </w:rPr>
              <w:t>$0.099</w:t>
            </w:r>
          </w:p>
        </w:tc>
      </w:tr>
      <w:tr>
        <w:tc>
          <w:tcPr>
            <w:tcW w:w="1500" w:type="dxa"/>
          </w:tcPr>
          <w:p>
            <w:pPr>
              <w:spacing w:before="10" w:after="10"/>
            </w:pPr>
            <w:r/>
            <w:r>
              <w:rPr>
                <w:sz w:val="16"/>
              </w:rPr>
              <w:t>Nigeria</w:t>
            </w:r>
          </w:p>
        </w:tc>
        <w:tc>
          <w:tcPr>
            <w:tcW w:w="650" w:type="dxa"/>
          </w:tcPr>
          <w:p>
            <w:pPr>
              <w:spacing w:before="10" w:after="10"/>
            </w:pPr>
            <w:r/>
            <w:r>
              <w:rPr>
                <w:sz w:val="16"/>
              </w:rPr>
              <w:t>$0.042</w:t>
            </w:r>
          </w:p>
        </w:tc>
        <w:tc>
          <w:tcPr>
            <w:tcW w:w="550" w:type="dxa"/>
          </w:tcPr>
          <w:p>
            <w:pPr>
              <w:jc w:val="right"/>
              <w:spacing w:before="10" w:after="10"/>
            </w:pPr>
            <w:r/>
            <w:r>
              <w:rPr>
                <w:sz w:val="16"/>
              </w:rPr>
              <w:t>31.4</w:t>
            </w:r>
          </w:p>
        </w:tc>
        <w:tc>
          <w:tcPr>
            <w:tcW w:w="500" w:type="dxa"/>
          </w:tcPr>
          <w:p>
            <w:pPr>
              <w:jc w:val="right"/>
              <w:spacing w:before="10" w:after="10"/>
            </w:pPr>
            <w:r/>
            <w:r>
              <w:rPr>
                <w:sz w:val="16"/>
              </w:rPr>
              <w:t>1.33</w:t>
            </w:r>
          </w:p>
        </w:tc>
        <w:tc>
          <w:tcPr>
            <w:tcW w:w="650" w:type="dxa"/>
          </w:tcPr>
          <w:p>
            <w:pPr>
              <w:jc w:val="right"/>
              <w:spacing w:before="10" w:after="10"/>
            </w:pPr>
            <w:r/>
            <w:r>
              <w:rPr>
                <w:sz w:val="16"/>
              </w:rPr>
              <w:t>$10.50</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$1.45</w:t>
            </w:r>
          </w:p>
        </w:tc>
        <w:tc>
          <w:tcPr>
            <w:tcW w:w="750" w:type="dxa"/>
          </w:tcPr>
          <w:p>
            <w:pPr>
              <w:jc w:val="right"/>
              <w:spacing w:before="10" w:after="10"/>
            </w:pPr>
            <w:r>
              <w:rPr>
                <w:b/>
              </w:rPr>
            </w:r>
            <w:r>
              <w:rPr>
                <w:sz w:val="16"/>
                <w:b/>
              </w:rPr>
              <w:t>$0.080</w:t>
            </w:r>
          </w:p>
        </w:tc>
      </w:tr>
      <w:tr>
        <w:tc>
          <w:tcPr>
            <w:tcW w:w="1500" w:type="dxa"/>
          </w:tcPr>
          <w:p>
            <w:pPr>
              <w:spacing w:before="10" w:after="10"/>
            </w:pPr>
            <w:r/>
            <w:r>
              <w:rPr>
                <w:sz w:val="16"/>
              </w:rPr>
              <w:t>Iceland</w:t>
            </w:r>
          </w:p>
        </w:tc>
        <w:tc>
          <w:tcPr>
            <w:tcW w:w="650" w:type="dxa"/>
          </w:tcPr>
          <w:p>
            <w:pPr>
              <w:spacing w:before="10" w:after="10"/>
            </w:pPr>
            <w:r/>
            <w:r>
              <w:rPr>
                <w:sz w:val="16"/>
              </w:rPr>
              <w:t>$0.089</w:t>
            </w:r>
          </w:p>
        </w:tc>
        <w:tc>
          <w:tcPr>
            <w:tcW w:w="550" w:type="dxa"/>
          </w:tcPr>
          <w:p>
            <w:pPr>
              <w:jc w:val="right"/>
              <w:spacing w:before="10" w:after="10"/>
            </w:pPr>
            <w:r/>
            <w:r>
              <w:rPr>
                <w:sz w:val="16"/>
              </w:rPr>
              <w:t>8.7</w:t>
            </w:r>
          </w:p>
        </w:tc>
        <w:tc>
          <w:tcPr>
            <w:tcW w:w="500" w:type="dxa"/>
          </w:tcPr>
          <w:p>
            <w:pPr>
              <w:jc w:val="right"/>
              <w:spacing w:before="10" w:after="10"/>
            </w:pPr>
            <w:r/>
            <w:r>
              <w:rPr>
                <w:sz w:val="16"/>
              </w:rPr>
              <w:t>1.08</w:t>
            </w:r>
          </w:p>
        </w:tc>
        <w:tc>
          <w:tcPr>
            <w:tcW w:w="650" w:type="dxa"/>
          </w:tcPr>
          <w:p>
            <w:pPr>
              <w:jc w:val="right"/>
              <w:spacing w:before="10" w:after="10"/>
            </w:pPr>
            <w:r/>
            <w:r>
              <w:rPr>
                <w:sz w:val="16"/>
              </w:rPr>
              <w:t>$12.47</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
              <w:rPr>
                <w:sz w:val="16"/>
              </w:rPr>
              <w:t>$0.089</w:t>
            </w:r>
          </w:p>
        </w:tc>
      </w:tr>
      <w:tr>
        <w:tc>
          <w:tcPr>
            <w:tcW w:w="1500" w:type="dxa"/>
          </w:tcPr>
          <w:p>
            <w:pPr>
              <w:spacing w:before="10" w:after="10"/>
            </w:pPr>
            <w:r/>
            <w:r>
              <w:rPr>
                <w:sz w:val="16"/>
              </w:rPr>
              <w:t>South Africa</w:t>
            </w:r>
          </w:p>
        </w:tc>
        <w:tc>
          <w:tcPr>
            <w:tcW w:w="650" w:type="dxa"/>
          </w:tcPr>
          <w:p>
            <w:pPr>
              <w:spacing w:before="10" w:after="10"/>
            </w:pPr>
            <w:r/>
            <w:r>
              <w:rPr>
                <w:sz w:val="16"/>
              </w:rPr>
              <w:t>$0.040</w:t>
            </w:r>
          </w:p>
        </w:tc>
        <w:tc>
          <w:tcPr>
            <w:tcW w:w="550" w:type="dxa"/>
          </w:tcPr>
          <w:p>
            <w:pPr>
              <w:jc w:val="right"/>
              <w:spacing w:before="10" w:after="10"/>
            </w:pPr>
            <w:r/>
            <w:r>
              <w:rPr>
                <w:sz w:val="16"/>
              </w:rPr>
              <w:t>23.5</w:t>
            </w:r>
          </w:p>
        </w:tc>
        <w:tc>
          <w:tcPr>
            <w:tcW w:w="500" w:type="dxa"/>
          </w:tcPr>
          <w:p>
            <w:pPr>
              <w:jc w:val="right"/>
              <w:spacing w:before="10" w:after="10"/>
            </w:pPr>
            <w:r/>
            <w:r>
              <w:rPr>
                <w:sz w:val="16"/>
              </w:rPr>
              <w:t>1.21</w:t>
            </w:r>
          </w:p>
        </w:tc>
        <w:tc>
          <w:tcPr>
            <w:tcW w:w="650" w:type="dxa"/>
          </w:tcPr>
          <w:p>
            <w:pPr>
              <w:jc w:val="right"/>
              <w:spacing w:before="10" w:after="10"/>
            </w:pPr>
            <w:r/>
            <w:r>
              <w:rPr>
                <w:sz w:val="16"/>
              </w:rPr>
              <w:t>$10.20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$1.45</w:t>
            </w:r>
          </w:p>
        </w:tc>
        <w:tc>
          <w:tcPr>
            <w:tcW w:w="750" w:type="dxa"/>
          </w:tcPr>
          <w:p>
            <w:pPr>
              <w:jc w:val="right"/>
              <w:spacing w:before="10" w:after="10"/>
            </w:pPr>
            <w:r>
              <w:rPr>
                <w:b/>
              </w:rPr>
            </w:r>
            <w:r>
              <w:rPr>
                <w:sz w:val="16"/>
                <w:b/>
              </w:rPr>
              <w:t>$0.095</w:t>
            </w:r>
          </w:p>
        </w:tc>
      </w:tr>
      <w:tr>
        <w:tc>
          <w:tcPr>
            <w:tcW w:w="1500" w:type="dxa"/>
          </w:tcPr>
          <w:p>
            <w:pPr>
              <w:spacing w:before="10" w:after="10"/>
            </w:pPr>
            <w:r/>
            <w:r>
              <w:rPr>
                <w:sz w:val="16"/>
              </w:rPr>
              <w:t>United Kingdom</w:t>
            </w:r>
          </w:p>
        </w:tc>
        <w:tc>
          <w:tcPr>
            <w:tcW w:w="650" w:type="dxa"/>
          </w:tcPr>
          <w:p>
            <w:pPr>
              <w:spacing w:before="10" w:after="10"/>
            </w:pPr>
            <w:r/>
            <w:r>
              <w:rPr>
                <w:sz w:val="16"/>
              </w:rPr>
              <w:t>$0.097</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50" w:type="dxa"/>
          </w:tcPr>
          <w:p>
            <w:pPr>
              <w:jc w:val="right"/>
              <w:spacing w:before="10" w:after="10"/>
            </w:pPr>
            <w:r/>
            <w:r>
              <w:rPr>
                <w:sz w:val="16"/>
              </w:rPr>
              <w:t>$11.88</w:t>
            </w:r>
          </w:p>
        </w:tc>
        <w:tc>
          <w:tcPr>
            <w:tcW w:w="650" w:type="dxa"/>
          </w:tcPr>
          <w:p>
            <w:pPr>
              <w:jc w:val="right"/>
              <w:spacing w:before="10" w:after="10"/>
            </w:pPr>
            <w:r/>
            <w:r>
              <w:rPr>
                <w:sz w:val="16"/>
              </w:rPr>
              <w:t>2,590</w:t>
            </w:r>
          </w:p>
        </w:tc>
        <w:tc>
          <w:tcPr>
            <w:tcW w:w="550" w:type="dxa"/>
          </w:tcPr>
          <w:p>
            <w:pPr>
              <w:jc w:val="right"/>
              <w:spacing w:before="10" w:after="10"/>
            </w:pPr>
            <w:r/>
            <w:r>
              <w:rPr>
                <w:sz w:val="16"/>
              </w:rPr>
              <w:t>2.1</w:t>
            </w:r>
          </w:p>
        </w:tc>
        <w:tc>
          <w:tcPr>
            <w:tcW w:w="700" w:type="dxa"/>
          </w:tcPr>
          <w:p>
            <w:pPr>
              <w:jc w:val="right"/>
              <w:spacing w:before="10" w:after="10"/>
            </w:pPr>
            <w:r/>
            <w:r>
              <w:rPr>
                <w:sz w:val="16"/>
              </w:rPr>
              <w:t>$1.50</w:t>
            </w:r>
          </w:p>
        </w:tc>
        <w:tc>
          <w:tcPr>
            <w:tcW w:w="750" w:type="dxa"/>
          </w:tcPr>
          <w:p>
            <w:pPr>
              <w:jc w:val="right"/>
              <w:spacing w:before="10" w:after="10"/>
            </w:pPr>
            <w:r/>
            <w:r>
              <w:rPr>
                <w:sz w:val="16"/>
              </w:rPr>
              <w:t>$0.097</w:t>
            </w:r>
          </w:p>
        </w:tc>
      </w:tr>
      <w:tr>
        <w:tc>
          <w:tcPr>
            <w:tcW w:w="1500" w:type="dxa"/>
          </w:tcPr>
          <w:p>
            <w:pPr>
              <w:spacing w:before="10" w:after="10"/>
            </w:pPr>
            <w:r/>
            <w:r>
              <w:rPr>
                <w:sz w:val="16"/>
              </w:rPr>
              <w:t>Belarus</w:t>
            </w:r>
          </w:p>
        </w:tc>
        <w:tc>
          <w:tcPr>
            <w:tcW w:w="650" w:type="dxa"/>
          </w:tcPr>
          <w:p>
            <w:pPr>
              <w:spacing w:before="10" w:after="10"/>
            </w:pPr>
            <w:r/>
            <w:r>
              <w:rPr>
                <w:sz w:val="16"/>
              </w:rPr>
              <w:t>$0.099</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50" w:type="dxa"/>
          </w:tcPr>
          <w:p>
            <w:pPr>
              <w:jc w:val="right"/>
              <w:spacing w:before="10" w:after="10"/>
            </w:pPr>
            <w:r/>
            <w:r>
              <w:rPr>
                <w:sz w:val="16"/>
              </w:rPr>
              <w:t>$10.91</w:t>
            </w:r>
          </w:p>
        </w:tc>
        <w:tc>
          <w:tcPr>
            <w:tcW w:w="650" w:type="dxa"/>
          </w:tcPr>
          <w:p>
            <w:pPr>
              <w:jc w:val="right"/>
              <w:spacing w:before="10" w:after="10"/>
            </w:pPr>
            <w:r/>
            <w:r>
              <w:rPr>
                <w:sz w:val="16"/>
              </w:rPr>
              <w:t>35</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$0.099</w:t>
            </w:r>
          </w:p>
        </w:tc>
      </w:tr>
      <w:tr>
        <w:tc>
          <w:tcPr>
            <w:tcW w:w="1500" w:type="dxa"/>
          </w:tcPr>
          <w:p>
            <w:pPr>
              <w:spacing w:before="10" w:after="10"/>
            </w:pPr>
            <w:r/>
            <w:r>
              <w:rPr>
                <w:sz w:val="16"/>
              </w:rPr>
              <w:t>Australia</w:t>
            </w:r>
          </w:p>
        </w:tc>
        <w:tc>
          <w:tcPr>
            <w:tcW w:w="650" w:type="dxa"/>
          </w:tcPr>
          <w:p>
            <w:pPr>
              <w:spacing w:before="10" w:after="10"/>
            </w:pPr>
            <w:r/>
            <w:r>
              <w:rPr>
                <w:sz w:val="16"/>
              </w:rPr>
              <w:t>$0.090</w:t>
            </w:r>
          </w:p>
        </w:tc>
        <w:tc>
          <w:tcPr>
            <w:tcW w:w="550" w:type="dxa"/>
          </w:tcPr>
          <w:p>
            <w:pPr>
              <w:jc w:val="right"/>
              <w:spacing w:before="10" w:after="10"/>
            </w:pPr>
            <w:r/>
            <w:r>
              <w:rPr>
                <w:sz w:val="16"/>
              </w:rPr>
              <w:t>28.8</w:t>
            </w:r>
          </w:p>
        </w:tc>
        <w:tc>
          <w:tcPr>
            <w:tcW w:w="500" w:type="dxa"/>
          </w:tcPr>
          <w:p>
            <w:pPr>
              <w:jc w:val="right"/>
              <w:spacing w:before="10" w:after="10"/>
            </w:pPr>
            <w:r/>
            <w:r>
              <w:rPr>
                <w:sz w:val="16"/>
              </w:rPr>
              <w:t>1.29</w:t>
            </w:r>
          </w:p>
        </w:tc>
        <w:tc>
          <w:tcPr>
            <w:tcW w:w="650" w:type="dxa"/>
          </w:tcPr>
          <w:p>
            <w:pPr>
              <w:jc w:val="right"/>
              <w:spacing w:before="10" w:after="10"/>
            </w:pPr>
            <w:r/>
            <w:r>
              <w:rPr>
                <w:sz w:val="16"/>
              </w:rPr>
              <w:t>$10.68</w:t>
            </w:r>
          </w:p>
        </w:tc>
        <w:tc>
          <w:tcPr>
            <w:tcW w:w="650" w:type="dxa"/>
          </w:tcPr>
          <w:p>
            <w:pPr>
              <w:jc w:val="right"/>
              <w:spacing w:before="10" w:after="10"/>
            </w:pPr>
            <w:r/>
            <w:r>
              <w:rPr>
                <w:sz w:val="16"/>
              </w:rPr>
              <w:t>2,670</w:t>
            </w:r>
          </w:p>
        </w:tc>
        <w:tc>
          <w:tcPr>
            <w:tcW w:w="550" w:type="dxa"/>
          </w:tcPr>
          <w:p>
            <w:pPr>
              <w:jc w:val="right"/>
              <w:spacing w:before="10" w:after="10"/>
            </w:pPr>
            <w:r/>
            <w:r>
              <w:rPr>
                <w:sz w:val="16"/>
              </w:rPr>
              <w:t>2.2</w:t>
            </w:r>
          </w:p>
        </w:tc>
        <w:tc>
          <w:tcPr>
            <w:tcW w:w="700" w:type="dxa"/>
          </w:tcPr>
          <w:p>
            <w:pPr>
              <w:jc w:val="right"/>
              <w:spacing w:before="10" w:after="10"/>
            </w:pPr>
            <w:r/>
            <w:r>
              <w:rPr>
                <w:sz w:val="16"/>
              </w:rPr>
              <w:t>$1.50</w:t>
            </w:r>
          </w:p>
        </w:tc>
        <w:tc>
          <w:tcPr>
            <w:tcW w:w="750" w:type="dxa"/>
          </w:tcPr>
          <w:p>
            <w:pPr>
              <w:jc w:val="right"/>
              <w:spacing w:before="10" w:after="10"/>
            </w:pPr>
            <w:r/>
            <w:r>
              <w:rPr>
                <w:sz w:val="16"/>
              </w:rPr>
              <w:t>$0.090</w:t>
            </w:r>
          </w:p>
        </w:tc>
      </w:tr>
      <w:tr>
        <w:tc>
          <w:tcPr>
            <w:tcW w:w="1500" w:type="dxa"/>
          </w:tcPr>
          <w:p>
            <w:pPr>
              <w:spacing w:before="10" w:after="10"/>
            </w:pPr>
            <w:r/>
            <w:r>
              <w:rPr>
                <w:sz w:val="16"/>
              </w:rPr>
              <w:t>New Zealand</w:t>
            </w:r>
          </w:p>
        </w:tc>
        <w:tc>
          <w:tcPr>
            <w:tcW w:w="650" w:type="dxa"/>
          </w:tcPr>
          <w:p>
            <w:pPr>
              <w:spacing w:before="10" w:after="10"/>
            </w:pPr>
            <w:r/>
            <w:r>
              <w:rPr>
                <w:sz w:val="16"/>
              </w:rPr>
              <w:t>$0.095</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50" w:type="dxa"/>
          </w:tcPr>
          <w:p>
            <w:pPr>
              <w:jc w:val="right"/>
              <w:spacing w:before="10" w:after="10"/>
            </w:pPr>
            <w:r/>
            <w:r>
              <w:rPr>
                <w:sz w:val="16"/>
              </w:rPr>
              <w:t>$12.30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$1.50</w:t>
            </w:r>
          </w:p>
        </w:tc>
        <w:tc>
          <w:tcPr>
            <w:tcW w:w="750" w:type="dxa"/>
          </w:tcPr>
          <w:p>
            <w:pPr>
              <w:jc w:val="right"/>
              <w:spacing w:before="10" w:after="10"/>
            </w:pPr>
            <w:r/>
            <w:r>
              <w:rPr>
                <w:sz w:val="16"/>
              </w:rPr>
              <w:t>$0.095</w:t>
            </w:r>
          </w:p>
        </w:tc>
      </w:tr>
      <w:tr>
        <w:tc>
          <w:tcPr>
            <w:tcW w:w="1500" w:type="dxa"/>
          </w:tcPr>
          <w:p>
            <w:pPr>
              <w:spacing w:before="10" w:after="10"/>
            </w:pPr>
            <w:r/>
            <w:r>
              <w:rPr>
                <w:sz w:val="16"/>
              </w:rPr>
              <w:t>Morocco</w:t>
            </w:r>
          </w:p>
        </w:tc>
        <w:tc>
          <w:tcPr>
            <w:tcW w:w="650" w:type="dxa"/>
          </w:tcPr>
          <w:p>
            <w:pPr>
              <w:spacing w:before="10" w:after="10"/>
            </w:pPr>
            <w:r/>
            <w:r>
              <w:rPr>
                <w:sz w:val="16"/>
              </w:rPr>
              <w:t>$0.108</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50" w:type="dxa"/>
          </w:tcPr>
          <w:p>
            <w:pPr>
              <w:jc w:val="right"/>
              <w:spacing w:before="10" w:after="10"/>
            </w:pPr>
            <w:r/>
            <w:r>
              <w:rPr>
                <w:sz w:val="16"/>
              </w:rPr>
              <w:t>$7.82</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$0.108</w:t>
            </w:r>
          </w:p>
        </w:tc>
      </w:tr>
      <w:tr>
        <w:tc>
          <w:tcPr>
            <w:tcW w:w="1500" w:type="dxa"/>
          </w:tcPr>
          <w:p>
            <w:pPr>
              <w:spacing w:before="10" w:after="10"/>
            </w:pPr>
            <w:r/>
            <w:r>
              <w:rPr>
                <w:sz w:val="16"/>
              </w:rPr>
              <w:t>Mexico</w:t>
            </w:r>
          </w:p>
        </w:tc>
        <w:tc>
          <w:tcPr>
            <w:tcW w:w="650" w:type="dxa"/>
          </w:tcPr>
          <w:p>
            <w:pPr>
              <w:spacing w:before="10" w:after="10"/>
            </w:pPr>
            <w:r/>
            <w:r>
              <w:rPr>
                <w:sz w:val="16"/>
              </w:rPr>
              <w:t>$0.095</w:t>
            </w:r>
          </w:p>
        </w:tc>
        <w:tc>
          <w:tcPr>
            <w:tcW w:w="550" w:type="dxa"/>
          </w:tcPr>
          <w:p>
            <w:pPr>
              <w:jc w:val="right"/>
              <w:spacing w:before="10" w:after="10"/>
            </w:pPr>
            <w:r/>
            <w:r>
              <w:rPr>
                <w:sz w:val="16"/>
              </w:rPr>
              <w:t>26.6</w:t>
            </w:r>
          </w:p>
        </w:tc>
        <w:tc>
          <w:tcPr>
            <w:tcW w:w="500" w:type="dxa"/>
          </w:tcPr>
          <w:p>
            <w:pPr>
              <w:jc w:val="right"/>
              <w:spacing w:before="10" w:after="10"/>
            </w:pPr>
            <w:r/>
            <w:r>
              <w:rPr>
                <w:sz w:val="16"/>
              </w:rPr>
              <w:t>1.25</w:t>
            </w:r>
          </w:p>
        </w:tc>
        <w:tc>
          <w:tcPr>
            <w:tcW w:w="650" w:type="dxa"/>
          </w:tcPr>
          <w:p>
            <w:pPr>
              <w:jc w:val="right"/>
              <w:spacing w:before="10" w:after="10"/>
            </w:pPr>
            <w:r/>
            <w:r>
              <w:rPr>
                <w:sz w:val="16"/>
              </w:rPr>
              <w:t>$10.40</w:t>
            </w:r>
          </w:p>
        </w:tc>
        <w:tc>
          <w:tcPr>
            <w:tcW w:w="650" w:type="dxa"/>
          </w:tcPr>
          <w:p>
            <w:pPr>
              <w:jc w:val="right"/>
              <w:spacing w:before="10" w:after="10"/>
            </w:pPr>
            <w:r/>
            <w:r>
              <w:rPr>
                <w:sz w:val="16"/>
              </w:rPr>
              <w:t>900</w:t>
            </w:r>
          </w:p>
        </w:tc>
        <w:tc>
          <w:tcPr>
            <w:tcW w:w="550" w:type="dxa"/>
          </w:tcPr>
          <w:p>
            <w:pPr>
              <w:jc w:val="right"/>
              <w:spacing w:before="10" w:after="10"/>
            </w:pPr>
            <w:r/>
            <w:r>
              <w:rPr>
                <w:sz w:val="16"/>
              </w:rPr>
              <w:t>0.7</w:t>
            </w:r>
          </w:p>
        </w:tc>
        <w:tc>
          <w:tcPr>
            <w:tcW w:w="700" w:type="dxa"/>
          </w:tcPr>
          <w:p>
            <w:pPr>
              <w:jc w:val="right"/>
              <w:spacing w:before="10" w:after="10"/>
            </w:pPr>
            <w:r/>
            <w:r>
              <w:rPr>
                <w:sz w:val="16"/>
              </w:rPr>
              <w:t>$1.50</w:t>
            </w:r>
          </w:p>
        </w:tc>
        <w:tc>
          <w:tcPr>
            <w:tcW w:w="750" w:type="dxa"/>
          </w:tcPr>
          <w:p>
            <w:pPr>
              <w:jc w:val="right"/>
              <w:spacing w:before="10" w:after="10"/>
            </w:pPr>
            <w:r/>
            <w:r>
              <w:rPr>
                <w:sz w:val="16"/>
              </w:rPr>
              <w:t>$0.095</w:t>
            </w:r>
          </w:p>
        </w:tc>
      </w:tr>
      <w:tr>
        <w:tc>
          <w:tcPr>
            <w:tcW w:w="1500" w:type="dxa"/>
          </w:tcPr>
          <w:p>
            <w:pPr>
              <w:spacing w:before="10" w:after="10"/>
            </w:pPr>
            <w:r/>
            <w:r>
              <w:rPr>
                <w:sz w:val="16"/>
              </w:rPr>
              <w:t>France</w:t>
            </w:r>
          </w:p>
        </w:tc>
        <w:tc>
          <w:tcPr>
            <w:tcW w:w="650" w:type="dxa"/>
          </w:tcPr>
          <w:p>
            <w:pPr>
              <w:spacing w:before="10" w:after="10"/>
            </w:pPr>
            <w:r/>
            <w:r>
              <w:rPr>
                <w:sz w:val="16"/>
              </w:rPr>
              <w:t>$0.102</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50" w:type="dxa"/>
          </w:tcPr>
          <w:p>
            <w:pPr>
              <w:jc w:val="right"/>
              <w:spacing w:before="10" w:after="10"/>
            </w:pPr>
            <w:r/>
            <w:r>
              <w:rPr>
                <w:sz w:val="16"/>
              </w:rPr>
              <w:t>$10.43</w:t>
            </w:r>
          </w:p>
        </w:tc>
        <w:tc>
          <w:tcPr>
            <w:tcW w:w="650" w:type="dxa"/>
          </w:tcPr>
          <w:p>
            <w:pPr>
              <w:jc w:val="right"/>
              <w:spacing w:before="10" w:after="10"/>
            </w:pPr>
            <w:r/>
            <w:r>
              <w:rPr>
                <w:sz w:val="16"/>
              </w:rPr>
              <w:t>1,400</w:t>
            </w:r>
          </w:p>
        </w:tc>
        <w:tc>
          <w:tcPr>
            <w:tcW w:w="550" w:type="dxa"/>
          </w:tcPr>
          <w:p>
            <w:pPr>
              <w:jc w:val="right"/>
              <w:spacing w:before="10" w:after="10"/>
            </w:pPr>
            <w:r/>
            <w:r>
              <w:rPr>
                <w:sz w:val="16"/>
              </w:rPr>
              <w:t>1.1</w:t>
            </w:r>
          </w:p>
        </w:tc>
        <w:tc>
          <w:tcPr>
            <w:tcW w:w="700" w:type="dxa"/>
          </w:tcPr>
          <w:p>
            <w:pPr>
              <w:jc w:val="right"/>
              <w:spacing w:before="10" w:after="10"/>
            </w:pPr>
            <w:r/>
            <w:r>
              <w:rPr>
                <w:sz w:val="16"/>
              </w:rPr>
              <w:t>$1.50</w:t>
            </w:r>
          </w:p>
        </w:tc>
        <w:tc>
          <w:tcPr>
            <w:tcW w:w="750" w:type="dxa"/>
          </w:tcPr>
          <w:p>
            <w:pPr>
              <w:jc w:val="right"/>
              <w:spacing w:before="10" w:after="10"/>
            </w:pPr>
            <w:r/>
            <w:r>
              <w:rPr>
                <w:sz w:val="16"/>
              </w:rPr>
              <w:t>$0.102</w:t>
            </w:r>
          </w:p>
        </w:tc>
      </w:tr>
      <w:tr>
        <w:tc>
          <w:tcPr>
            <w:tcW w:w="1500" w:type="dxa"/>
          </w:tcPr>
          <w:p>
            <w:pPr>
              <w:spacing w:before="10" w:after="10"/>
            </w:pPr>
            <w:r/>
            <w:r>
              <w:rPr>
                <w:sz w:val="16"/>
              </w:rPr>
              <w:t>Armenia</w:t>
            </w:r>
          </w:p>
        </w:tc>
        <w:tc>
          <w:tcPr>
            <w:tcW w:w="650" w:type="dxa"/>
          </w:tcPr>
          <w:p>
            <w:pPr>
              <w:spacing w:before="10" w:after="10"/>
            </w:pPr>
            <w:r/>
            <w:r>
              <w:rPr>
                <w:sz w:val="16"/>
              </w:rPr>
              <w:t>$0.111</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50" w:type="dxa"/>
          </w:tcPr>
          <w:p>
            <w:pPr>
              <w:jc w:val="right"/>
              <w:spacing w:before="10" w:after="10"/>
            </w:pPr>
            <w:r/>
            <w:r>
              <w:rPr>
                <w:sz w:val="16"/>
              </w:rPr>
              <w:t>$9.76</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$0.111</w:t>
            </w:r>
          </w:p>
        </w:tc>
      </w:tr>
      <w:tr>
        <w:tc>
          <w:tcPr>
            <w:tcW w:w="1500" w:type="dxa"/>
          </w:tcPr>
          <w:p>
            <w:pPr>
              <w:spacing w:before="10" w:after="10"/>
            </w:pPr>
            <w:r/>
            <w:r>
              <w:rPr>
                <w:sz w:val="16"/>
              </w:rPr>
              <w:t>United Arab Emirates</w:t>
            </w:r>
          </w:p>
        </w:tc>
        <w:tc>
          <w:tcPr>
            <w:tcW w:w="650" w:type="dxa"/>
          </w:tcPr>
          <w:p>
            <w:pPr>
              <w:spacing w:before="10" w:after="10"/>
            </w:pPr>
            <w:r/>
            <w:r>
              <w:rPr>
                <w:sz w:val="16"/>
              </w:rPr>
              <w:t>$0.065</w:t>
            </w:r>
          </w:p>
        </w:tc>
        <w:tc>
          <w:tcPr>
            <w:tcW w:w="550" w:type="dxa"/>
          </w:tcPr>
          <w:p>
            <w:pPr>
              <w:jc w:val="right"/>
              <w:spacing w:before="10" w:after="10"/>
            </w:pPr>
            <w:r/>
            <w:r>
              <w:rPr>
                <w:sz w:val="16"/>
              </w:rPr>
              <w:t>37.1</w:t>
            </w:r>
          </w:p>
        </w:tc>
        <w:tc>
          <w:tcPr>
            <w:tcW w:w="500" w:type="dxa"/>
          </w:tcPr>
          <w:p>
            <w:pPr>
              <w:jc w:val="right"/>
              <w:spacing w:before="10" w:after="10"/>
            </w:pPr>
            <w:r/>
            <w:r>
              <w:rPr>
                <w:sz w:val="16"/>
              </w:rPr>
              <w:t>1.41</w:t>
            </w:r>
          </w:p>
        </w:tc>
        <w:tc>
          <w:tcPr>
            <w:tcW w:w="650" w:type="dxa"/>
          </w:tcPr>
          <w:p>
            <w:pPr>
              <w:jc w:val="right"/>
              <w:spacing w:before="10" w:after="10"/>
            </w:pPr>
            <w:r/>
            <w:r>
              <w:rPr>
                <w:sz w:val="16"/>
              </w:rPr>
              <w:t>$9.24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$0.095</w:t>
            </w:r>
          </w:p>
        </w:tc>
      </w:tr>
      <w:tr>
        <w:tc>
          <w:tcPr>
            <w:tcW w:w="1500" w:type="dxa"/>
          </w:tcPr>
          <w:p>
            <w:pPr>
              <w:spacing w:before="10" w:after="10"/>
            </w:pPr>
            <w:r/>
            <w:r>
              <w:rPr>
                <w:sz w:val="16"/>
              </w:rPr>
              <w:t>Chile</w:t>
            </w:r>
          </w:p>
        </w:tc>
        <w:tc>
          <w:tcPr>
            <w:tcW w:w="650" w:type="dxa"/>
          </w:tcPr>
          <w:p>
            <w:pPr>
              <w:spacing w:before="10" w:after="10"/>
            </w:pPr>
            <w:r/>
            <w:r>
              <w:rPr>
                <w:sz w:val="16"/>
              </w:rPr>
              <w:t>$0.130</w:t>
            </w:r>
          </w:p>
        </w:tc>
        <w:tc>
          <w:tcPr>
            <w:tcW w:w="550" w:type="dxa"/>
          </w:tcPr>
          <w:p>
            <w:pPr>
              <w:jc w:val="right"/>
              <w:spacing w:before="10" w:after="10"/>
            </w:pPr>
            <w:r/>
            <w:r>
              <w:rPr>
                <w:sz w:val="16"/>
              </w:rPr>
              <w:t>13.4</w:t>
            </w:r>
          </w:p>
        </w:tc>
        <w:tc>
          <w:tcPr>
            <w:tcW w:w="500" w:type="dxa"/>
          </w:tcPr>
          <w:p>
            <w:pPr>
              <w:jc w:val="right"/>
              <w:spacing w:before="10" w:after="10"/>
            </w:pPr>
            <w:r/>
            <w:r>
              <w:rPr>
                <w:sz w:val="16"/>
              </w:rPr>
              <w:t>1.08</w:t>
            </w:r>
          </w:p>
        </w:tc>
        <w:tc>
          <w:tcPr>
            <w:tcW w:w="650" w:type="dxa"/>
          </w:tcPr>
          <w:p>
            <w:pPr>
              <w:jc w:val="right"/>
              <w:spacing w:before="10" w:after="10"/>
            </w:pPr>
            <w:r/>
            <w:r>
              <w:rPr>
                <w:sz w:val="16"/>
              </w:rPr>
              <w:t>$8.61</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700" w:type="dxa"/>
          </w:tcPr>
          <w:p>
            <w:pPr>
              <w:jc w:val="right"/>
              <w:spacing w:before="10" w:after="10"/>
            </w:pPr>
            <w:r/>
            <w:r>
              <w:rPr>
                <w:sz w:val="16"/>
              </w:rPr>
              <w:t>$1.50</w:t>
            </w:r>
          </w:p>
        </w:tc>
        <w:tc>
          <w:tcPr>
            <w:tcW w:w="750" w:type="dxa"/>
          </w:tcPr>
          <w:p>
            <w:pPr>
              <w:jc w:val="right"/>
              <w:spacing w:before="10" w:after="10"/>
            </w:pPr>
            <w:r/>
            <w:r>
              <w:rPr>
                <w:sz w:val="16"/>
              </w:rPr>
              <w:t>$0.130</w:t>
            </w:r>
          </w:p>
        </w:tc>
      </w:tr>
      <w:tr>
        <w:tc>
          <w:tcPr>
            <w:tcW w:w="1500" w:type="dxa"/>
          </w:tcPr>
          <w:p>
            <w:pPr>
              <w:spacing w:before="10" w:after="10"/>
            </w:pPr>
            <w:r/>
            <w:r>
              <w:rPr>
                <w:sz w:val="16"/>
              </w:rPr>
              <w:t>Poland</w:t>
            </w:r>
          </w:p>
        </w:tc>
        <w:tc>
          <w:tcPr>
            <w:tcW w:w="650" w:type="dxa"/>
          </w:tcPr>
          <w:p>
            <w:pPr>
              <w:spacing w:before="10" w:after="10"/>
            </w:pPr>
            <w:r/>
            <w:r>
              <w:rPr>
                <w:sz w:val="16"/>
              </w:rPr>
              <w:t>$0.119</w:t>
            </w:r>
          </w:p>
        </w:tc>
        <w:tc>
          <w:tcPr>
            <w:tcW w:w="550" w:type="dxa"/>
          </w:tcPr>
          <w:p>
            <w:pPr>
              <w:jc w:val="right"/>
              <w:spacing w:before="10" w:after="10"/>
            </w:pPr>
            <w:r/>
            <w:r>
              <w:rPr>
                <w:sz w:val="16"/>
              </w:rPr>
              <w:t>19.7</w:t>
            </w:r>
          </w:p>
        </w:tc>
        <w:tc>
          <w:tcPr>
            <w:tcW w:w="500" w:type="dxa"/>
          </w:tcPr>
          <w:p>
            <w:pPr>
              <w:jc w:val="right"/>
              <w:spacing w:before="10" w:after="10"/>
            </w:pPr>
            <w:r/>
            <w:r>
              <w:rPr>
                <w:sz w:val="16"/>
              </w:rPr>
              <w:t>1.15</w:t>
            </w:r>
          </w:p>
        </w:tc>
        <w:tc>
          <w:tcPr>
            <w:tcW w:w="650" w:type="dxa"/>
          </w:tcPr>
          <w:p>
            <w:pPr>
              <w:jc w:val="right"/>
              <w:spacing w:before="10" w:after="10"/>
            </w:pPr>
            <w:r/>
            <w:r>
              <w:rPr>
                <w:sz w:val="16"/>
              </w:rPr>
              <w:t>$9.16</w:t>
            </w:r>
          </w:p>
        </w:tc>
        <w:tc>
          <w:tcPr>
            <w:tcW w:w="650" w:type="dxa"/>
          </w:tcPr>
          <w:p>
            <w:pPr>
              <w:jc w:val="right"/>
              <w:spacing w:before="10" w:after="10"/>
            </w:pPr>
            <w:r/>
            <w:r>
              <w:rPr>
                <w:sz w:val="16"/>
              </w:rPr>
              <w:t>600</w:t>
            </w:r>
          </w:p>
        </w:tc>
        <w:tc>
          <w:tcPr>
            <w:tcW w:w="550" w:type="dxa"/>
          </w:tcPr>
          <w:p>
            <w:pPr>
              <w:jc w:val="right"/>
              <w:spacing w:before="10" w:after="10"/>
            </w:pPr>
            <w:r/>
            <w:r>
              <w:rPr>
                <w:sz w:val="16"/>
              </w:rPr>
              <w:t>0.5</w:t>
            </w:r>
          </w:p>
        </w:tc>
        <w:tc>
          <w:tcPr>
            <w:tcW w:w="700" w:type="dxa"/>
          </w:tcPr>
          <w:p>
            <w:pPr>
              <w:jc w:val="right"/>
              <w:spacing w:before="10" w:after="10"/>
            </w:pPr>
            <w:r/>
            <w:r>
              <w:rPr>
                <w:sz w:val="16"/>
              </w:rPr>
              <w:t>$1.50</w:t>
            </w:r>
          </w:p>
        </w:tc>
        <w:tc>
          <w:tcPr>
            <w:tcW w:w="750" w:type="dxa"/>
          </w:tcPr>
          <w:p>
            <w:pPr>
              <w:jc w:val="right"/>
              <w:spacing w:before="10" w:after="10"/>
            </w:pPr>
            <w:r/>
            <w:r>
              <w:rPr>
                <w:sz w:val="16"/>
              </w:rPr>
              <w:t>$0.119</w:t>
            </w:r>
          </w:p>
        </w:tc>
      </w:tr>
      <w:tr>
        <w:tc>
          <w:tcPr>
            <w:tcW w:w="1500" w:type="dxa"/>
          </w:tcPr>
          <w:p>
            <w:pPr>
              <w:spacing w:before="10" w:after="10"/>
            </w:pPr>
            <w:r/>
            <w:r>
              <w:rPr>
                <w:sz w:val="16"/>
              </w:rPr>
              <w:t>Latvia</w:t>
            </w:r>
          </w:p>
        </w:tc>
        <w:tc>
          <w:tcPr>
            <w:tcW w:w="650" w:type="dxa"/>
          </w:tcPr>
          <w:p>
            <w:pPr>
              <w:spacing w:before="10" w:after="10"/>
            </w:pPr>
            <w:r/>
            <w:r>
              <w:rPr>
                <w:sz w:val="16"/>
              </w:rPr>
              <w:t>$0.110</w:t>
            </w:r>
          </w:p>
        </w:tc>
        <w:tc>
          <w:tcPr>
            <w:tcW w:w="550" w:type="dxa"/>
          </w:tcPr>
          <w:p>
            <w:pPr>
              <w:jc w:val="right"/>
              <w:spacing w:before="10" w:after="10"/>
            </w:pPr>
            <w:r/>
            <w:r>
              <w:rPr>
                <w:sz w:val="16"/>
              </w:rPr>
              <w:t>18.4</w:t>
            </w:r>
          </w:p>
        </w:tc>
        <w:tc>
          <w:tcPr>
            <w:tcW w:w="500" w:type="dxa"/>
          </w:tcPr>
          <w:p>
            <w:pPr>
              <w:jc w:val="right"/>
              <w:spacing w:before="10" w:after="10"/>
            </w:pPr>
            <w:r/>
            <w:r>
              <w:rPr>
                <w:sz w:val="16"/>
              </w:rPr>
              <w:t>1.13</w:t>
            </w:r>
          </w:p>
        </w:tc>
        <w:tc>
          <w:tcPr>
            <w:tcW w:w="650" w:type="dxa"/>
          </w:tcPr>
          <w:p>
            <w:pPr>
              <w:jc w:val="right"/>
              <w:spacing w:before="10" w:after="10"/>
            </w:pPr>
            <w:r/>
            <w:r>
              <w:rPr>
                <w:sz w:val="16"/>
              </w:rPr>
              <w:t>$10.92</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700" w:type="dxa"/>
          </w:tcPr>
          <w:p>
            <w:pPr>
              <w:jc w:val="right"/>
              <w:spacing w:before="10" w:after="10"/>
            </w:pPr>
            <w:r/>
            <w:r>
              <w:rPr>
                <w:sz w:val="16"/>
              </w:rPr>
              <w:t>$1.50</w:t>
            </w:r>
          </w:p>
        </w:tc>
        <w:tc>
          <w:tcPr>
            <w:tcW w:w="750" w:type="dxa"/>
          </w:tcPr>
          <w:p>
            <w:pPr>
              <w:jc w:val="right"/>
              <w:spacing w:before="10" w:after="10"/>
            </w:pPr>
            <w:r/>
            <w:r>
              <w:rPr>
                <w:sz w:val="16"/>
              </w:rPr>
              <w:t>$0.110</w:t>
            </w:r>
          </w:p>
        </w:tc>
      </w:tr>
      <w:tr>
        <w:tc>
          <w:tcPr>
            <w:tcW w:w="1500" w:type="dxa"/>
          </w:tcPr>
          <w:p>
            <w:pPr>
              <w:spacing w:before="10" w:after="10"/>
            </w:pPr>
            <w:r/>
            <w:r>
              <w:rPr>
                <w:sz w:val="16"/>
              </w:rPr>
              <w:t>Portugal</w:t>
            </w:r>
          </w:p>
        </w:tc>
        <w:tc>
          <w:tcPr>
            <w:tcW w:w="650" w:type="dxa"/>
          </w:tcPr>
          <w:p>
            <w:pPr>
              <w:spacing w:before="10" w:after="10"/>
            </w:pPr>
            <w:r/>
            <w:r>
              <w:rPr>
                <w:sz w:val="16"/>
              </w:rPr>
              <w:t>$0.109</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50" w:type="dxa"/>
          </w:tcPr>
          <w:p>
            <w:pPr>
              <w:jc w:val="right"/>
              <w:spacing w:before="10" w:after="10"/>
            </w:pPr>
            <w:r/>
            <w:r>
              <w:rPr>
                <w:sz w:val="16"/>
              </w:rPr>
              <w:t>$10.25</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$1.50</w:t>
            </w:r>
          </w:p>
        </w:tc>
        <w:tc>
          <w:tcPr>
            <w:tcW w:w="750" w:type="dxa"/>
          </w:tcPr>
          <w:p>
            <w:pPr>
              <w:jc w:val="right"/>
              <w:spacing w:before="10" w:after="10"/>
            </w:pPr>
            <w:r/>
            <w:r>
              <w:rPr>
                <w:sz w:val="16"/>
              </w:rPr>
              <w:t>$0.109</w:t>
            </w:r>
          </w:p>
        </w:tc>
      </w:tr>
      <w:tr>
        <w:tc>
          <w:tcPr>
            <w:tcW w:w="1500" w:type="dxa"/>
          </w:tcPr>
          <w:p>
            <w:pPr>
              <w:spacing w:before="10" w:after="10"/>
            </w:pPr>
            <w:r/>
            <w:r>
              <w:rPr>
                <w:sz w:val="16"/>
              </w:rPr>
              <w:t>Malta</w:t>
            </w:r>
          </w:p>
        </w:tc>
        <w:tc>
          <w:tcPr>
            <w:tcW w:w="650" w:type="dxa"/>
          </w:tcPr>
          <w:p>
            <w:pPr>
              <w:spacing w:before="10" w:after="10"/>
            </w:pPr>
            <w:r/>
            <w:r>
              <w:rPr>
                <w:sz w:val="16"/>
              </w:rPr>
              <w:t>$0.111</w:t>
            </w:r>
          </w:p>
        </w:tc>
        <w:tc>
          <w:tcPr>
            <w:tcW w:w="550" w:type="dxa"/>
          </w:tcPr>
          <w:p>
            <w:pPr>
              <w:jc w:val="right"/>
              <w:spacing w:before="10" w:after="10"/>
            </w:pPr>
            <w:r/>
            <w:r>
              <w:rPr>
                <w:sz w:val="16"/>
              </w:rPr>
              <w:t>27.0</w:t>
            </w:r>
          </w:p>
        </w:tc>
        <w:tc>
          <w:tcPr>
            <w:tcW w:w="500" w:type="dxa"/>
          </w:tcPr>
          <w:p>
            <w:pPr>
              <w:jc w:val="right"/>
              <w:spacing w:before="10" w:after="10"/>
            </w:pPr>
            <w:r/>
            <w:r>
              <w:rPr>
                <w:sz w:val="16"/>
              </w:rPr>
              <w:t>1.26</w:t>
            </w:r>
          </w:p>
        </w:tc>
        <w:tc>
          <w:tcPr>
            <w:tcW w:w="650" w:type="dxa"/>
          </w:tcPr>
          <w:p>
            <w:pPr>
              <w:jc w:val="right"/>
              <w:spacing w:before="10" w:after="10"/>
            </w:pPr>
            <w:r/>
            <w:r>
              <w:rPr>
                <w:sz w:val="16"/>
              </w:rPr>
              <w:t>$9.40</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$1.51</w:t>
            </w:r>
          </w:p>
        </w:tc>
        <w:tc>
          <w:tcPr>
            <w:tcW w:w="750" w:type="dxa"/>
          </w:tcPr>
          <w:p>
            <w:pPr>
              <w:jc w:val="right"/>
              <w:spacing w:before="10" w:after="10"/>
            </w:pPr>
            <w:r/>
            <w:r>
              <w:rPr>
                <w:sz w:val="16"/>
              </w:rPr>
              <w:t>$0.111</w:t>
            </w:r>
          </w:p>
        </w:tc>
      </w:tr>
      <w:tr>
        <w:tc>
          <w:tcPr>
            <w:tcW w:w="1500" w:type="dxa"/>
          </w:tcPr>
          <w:p>
            <w:pPr>
              <w:spacing w:before="10" w:after="10"/>
            </w:pPr>
            <w:r/>
            <w:r>
              <w:rPr>
                <w:sz w:val="16"/>
              </w:rPr>
              <w:t>Malaysia</w:t>
            </w:r>
          </w:p>
        </w:tc>
        <w:tc>
          <w:tcPr>
            <w:tcW w:w="650" w:type="dxa"/>
          </w:tcPr>
          <w:p>
            <w:pPr>
              <w:spacing w:before="10" w:after="10"/>
            </w:pPr>
            <w:r/>
            <w:r>
              <w:rPr>
                <w:sz w:val="16"/>
              </w:rPr>
              <w:t>$0.099</w:t>
            </w:r>
          </w:p>
        </w:tc>
        <w:tc>
          <w:tcPr>
            <w:tcW w:w="550" w:type="dxa"/>
          </w:tcPr>
          <w:p>
            <w:pPr>
              <w:jc w:val="right"/>
              <w:spacing w:before="10" w:after="10"/>
            </w:pPr>
            <w:r/>
            <w:r>
              <w:rPr>
                <w:sz w:val="16"/>
              </w:rPr>
              <w:t>26.9</w:t>
            </w:r>
          </w:p>
        </w:tc>
        <w:tc>
          <w:tcPr>
            <w:tcW w:w="500" w:type="dxa"/>
          </w:tcPr>
          <w:p>
            <w:pPr>
              <w:jc w:val="right"/>
              <w:spacing w:before="10" w:after="10"/>
            </w:pPr>
            <w:r/>
            <w:r>
              <w:rPr>
                <w:sz w:val="16"/>
              </w:rPr>
              <w:t>1.26</w:t>
            </w:r>
          </w:p>
        </w:tc>
        <w:tc>
          <w:tcPr>
            <w:tcW w:w="650" w:type="dxa"/>
          </w:tcPr>
          <w:p>
            <w:pPr>
              <w:jc w:val="right"/>
              <w:spacing w:before="10" w:after="10"/>
            </w:pPr>
            <w:r/>
            <w:r>
              <w:rPr>
                <w:sz w:val="16"/>
              </w:rPr>
              <w:t>$11.37</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$1.51</w:t>
            </w:r>
          </w:p>
        </w:tc>
        <w:tc>
          <w:tcPr>
            <w:tcW w:w="750" w:type="dxa"/>
          </w:tcPr>
          <w:p>
            <w:pPr>
              <w:jc w:val="right"/>
              <w:spacing w:before="10" w:after="10"/>
            </w:pPr>
            <w:r/>
            <w:r>
              <w:rPr>
                <w:sz w:val="16"/>
              </w:rPr>
              <w:t>$0.099</w:t>
            </w:r>
          </w:p>
        </w:tc>
      </w:tr>
      <w:tr>
        <w:tc>
          <w:tcPr>
            <w:tcW w:w="1500" w:type="dxa"/>
          </w:tcPr>
          <w:p>
            <w:pPr>
              <w:spacing w:before="10" w:after="10"/>
            </w:pPr>
            <w:r/>
            <w:r>
              <w:rPr>
                <w:sz w:val="16"/>
              </w:rPr>
              <w:t>Philippines</w:t>
            </w:r>
          </w:p>
        </w:tc>
        <w:tc>
          <w:tcPr>
            <w:tcW w:w="650" w:type="dxa"/>
          </w:tcPr>
          <w:p>
            <w:pPr>
              <w:spacing w:before="10" w:after="10"/>
            </w:pPr>
            <w:r/>
            <w:r>
              <w:rPr>
                <w:sz w:val="16"/>
              </w:rPr>
              <w:t>$0.115</w:t>
            </w:r>
          </w:p>
        </w:tc>
        <w:tc>
          <w:tcPr>
            <w:tcW w:w="550" w:type="dxa"/>
          </w:tcPr>
          <w:p>
            <w:pPr>
              <w:jc w:val="right"/>
              <w:spacing w:before="10" w:after="10"/>
            </w:pPr>
            <w:r/>
            <w:r>
              <w:rPr>
                <w:sz w:val="16"/>
              </w:rPr>
              <w:t>27.8</w:t>
            </w:r>
          </w:p>
        </w:tc>
        <w:tc>
          <w:tcPr>
            <w:tcW w:w="500" w:type="dxa"/>
          </w:tcPr>
          <w:p>
            <w:pPr>
              <w:jc w:val="right"/>
              <w:spacing w:before="10" w:after="10"/>
            </w:pPr>
            <w:r/>
            <w:r>
              <w:rPr>
                <w:sz w:val="16"/>
              </w:rPr>
              <w:t>1.27</w:t>
            </w:r>
          </w:p>
        </w:tc>
        <w:tc>
          <w:tcPr>
            <w:tcW w:w="650" w:type="dxa"/>
          </w:tcPr>
          <w:p>
            <w:pPr>
              <w:jc w:val="right"/>
              <w:spacing w:before="10" w:after="10"/>
            </w:pPr>
            <w:r/>
            <w:r>
              <w:rPr>
                <w:sz w:val="16"/>
              </w:rPr>
              <w:t>$8.80</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
              <w:rPr>
                <w:sz w:val="16"/>
              </w:rPr>
              <w:t>$0.115</w:t>
            </w:r>
          </w:p>
        </w:tc>
      </w:tr>
      <w:tr>
        <w:tc>
          <w:tcPr>
            <w:tcW w:w="1500" w:type="dxa"/>
          </w:tcPr>
          <w:p>
            <w:pPr>
              <w:spacing w:before="10" w:after="10"/>
            </w:pPr>
            <w:r/>
            <w:r>
              <w:rPr>
                <w:sz w:val="16"/>
              </w:rPr>
              <w:t>Israel</w:t>
            </w:r>
          </w:p>
        </w:tc>
        <w:tc>
          <w:tcPr>
            <w:tcW w:w="650" w:type="dxa"/>
          </w:tcPr>
          <w:p>
            <w:pPr>
              <w:spacing w:before="10" w:after="10"/>
            </w:pPr>
            <w:r/>
            <w:r>
              <w:rPr>
                <w:sz w:val="16"/>
              </w:rPr>
              <w:t>$0.108</w:t>
            </w:r>
          </w:p>
        </w:tc>
        <w:tc>
          <w:tcPr>
            <w:tcW w:w="550" w:type="dxa"/>
          </w:tcPr>
          <w:p>
            <w:pPr>
              <w:jc w:val="right"/>
              <w:spacing w:before="10" w:after="10"/>
            </w:pPr>
            <w:r/>
            <w:r>
              <w:rPr>
                <w:sz w:val="16"/>
              </w:rPr>
              <w:t>28.2</w:t>
            </w:r>
          </w:p>
        </w:tc>
        <w:tc>
          <w:tcPr>
            <w:tcW w:w="500" w:type="dxa"/>
          </w:tcPr>
          <w:p>
            <w:pPr>
              <w:jc w:val="right"/>
              <w:spacing w:before="10" w:after="10"/>
            </w:pPr>
            <w:r/>
            <w:r>
              <w:rPr>
                <w:sz w:val="16"/>
              </w:rPr>
              <w:t>1.28</w:t>
            </w:r>
          </w:p>
        </w:tc>
        <w:tc>
          <w:tcPr>
            <w:tcW w:w="650" w:type="dxa"/>
          </w:tcPr>
          <w:p>
            <w:pPr>
              <w:jc w:val="right"/>
              <w:spacing w:before="10" w:after="10"/>
            </w:pPr>
            <w:r/>
            <w:r>
              <w:rPr>
                <w:sz w:val="16"/>
              </w:rPr>
              <w:t>$10.09</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
              <w:rPr>
                <w:sz w:val="16"/>
              </w:rPr>
              <w:t>$0.108</w:t>
            </w:r>
          </w:p>
        </w:tc>
      </w:tr>
      <w:tr>
        <w:tc>
          <w:tcPr>
            <w:tcW w:w="1500" w:type="dxa"/>
          </w:tcPr>
          <w:p>
            <w:pPr>
              <w:spacing w:before="10" w:after="10"/>
            </w:pPr>
            <w:r/>
            <w:r>
              <w:rPr>
                <w:sz w:val="16"/>
              </w:rPr>
              <w:t>Spain</w:t>
            </w:r>
          </w:p>
        </w:tc>
        <w:tc>
          <w:tcPr>
            <w:tcW w:w="650" w:type="dxa"/>
          </w:tcPr>
          <w:p>
            <w:pPr>
              <w:spacing w:before="10" w:after="10"/>
            </w:pPr>
            <w:r/>
            <w:r>
              <w:rPr>
                <w:sz w:val="16"/>
              </w:rPr>
              <w:t>$0.113</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50" w:type="dxa"/>
          </w:tcPr>
          <w:p>
            <w:pPr>
              <w:jc w:val="right"/>
              <w:spacing w:before="10" w:after="10"/>
            </w:pPr>
            <w:r/>
            <w:r>
              <w:rPr>
                <w:sz w:val="16"/>
              </w:rPr>
              <w:t>$10.04</w:t>
            </w:r>
          </w:p>
        </w:tc>
        <w:tc>
          <w:tcPr>
            <w:tcW w:w="650" w:type="dxa"/>
          </w:tcPr>
          <w:p>
            <w:pPr>
              <w:jc w:val="right"/>
              <w:spacing w:before="10" w:after="10"/>
            </w:pPr>
            <w:r/>
            <w:r>
              <w:rPr>
                <w:sz w:val="16"/>
              </w:rPr>
              <w:t>720</w:t>
            </w:r>
          </w:p>
        </w:tc>
        <w:tc>
          <w:tcPr>
            <w:tcW w:w="550" w:type="dxa"/>
          </w:tcPr>
          <w:p>
            <w:pPr>
              <w:jc w:val="right"/>
              <w:spacing w:before="10" w:after="10"/>
            </w:pPr>
            <w:r/>
            <w:r>
              <w:rPr>
                <w:sz w:val="16"/>
              </w:rPr>
              <w:t>0.6</w:t>
            </w:r>
          </w:p>
        </w:tc>
        <w:tc>
          <w:tcPr>
            <w:tcW w:w="700" w:type="dxa"/>
          </w:tcPr>
          <w:p>
            <w:pPr>
              <w:jc w:val="right"/>
              <w:spacing w:before="10" w:after="10"/>
            </w:pPr>
            <w:r/>
            <w:r>
              <w:rPr>
                <w:sz w:val="16"/>
              </w:rPr>
              <w:t>$1.51</w:t>
            </w:r>
          </w:p>
        </w:tc>
        <w:tc>
          <w:tcPr>
            <w:tcW w:w="750" w:type="dxa"/>
          </w:tcPr>
          <w:p>
            <w:pPr>
              <w:jc w:val="right"/>
              <w:spacing w:before="10" w:after="10"/>
            </w:pPr>
            <w:r/>
            <w:r>
              <w:rPr>
                <w:sz w:val="16"/>
              </w:rPr>
              <w:t>$0.113</w:t>
            </w:r>
          </w:p>
        </w:tc>
      </w:tr>
      <w:tr>
        <w:tc>
          <w:tcPr>
            <w:tcW w:w="1500" w:type="dxa"/>
          </w:tcPr>
          <w:p>
            <w:pPr>
              <w:spacing w:before="10" w:after="10"/>
            </w:pPr>
            <w:r/>
            <w:r>
              <w:rPr>
                <w:sz w:val="16"/>
              </w:rPr>
              <w:t>Thailand</w:t>
            </w:r>
          </w:p>
        </w:tc>
        <w:tc>
          <w:tcPr>
            <w:tcW w:w="650" w:type="dxa"/>
          </w:tcPr>
          <w:p>
            <w:pPr>
              <w:spacing w:before="10" w:after="10"/>
            </w:pPr>
            <w:r/>
            <w:r>
              <w:rPr>
                <w:sz w:val="16"/>
              </w:rPr>
              <w:t>$0.108</w:t>
            </w:r>
          </w:p>
        </w:tc>
        <w:tc>
          <w:tcPr>
            <w:tcW w:w="550" w:type="dxa"/>
          </w:tcPr>
          <w:p>
            <w:pPr>
              <w:jc w:val="right"/>
              <w:spacing w:before="10" w:after="10"/>
            </w:pPr>
            <w:r/>
            <w:r>
              <w:rPr>
                <w:sz w:val="16"/>
              </w:rPr>
              <w:t>29.3</w:t>
            </w:r>
          </w:p>
        </w:tc>
        <w:tc>
          <w:tcPr>
            <w:tcW w:w="500" w:type="dxa"/>
          </w:tcPr>
          <w:p>
            <w:pPr>
              <w:jc w:val="right"/>
              <w:spacing w:before="10" w:after="10"/>
            </w:pPr>
            <w:r/>
            <w:r>
              <w:rPr>
                <w:sz w:val="16"/>
              </w:rPr>
              <w:t>1.29</w:t>
            </w:r>
          </w:p>
        </w:tc>
        <w:tc>
          <w:tcPr>
            <w:tcW w:w="650" w:type="dxa"/>
          </w:tcPr>
          <w:p>
            <w:pPr>
              <w:jc w:val="right"/>
              <w:spacing w:before="10" w:after="10"/>
            </w:pPr>
            <w:r/>
            <w:r>
              <w:rPr>
                <w:sz w:val="16"/>
              </w:rPr>
              <w:t>$10.03</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
              <w:rPr>
                <w:sz w:val="16"/>
              </w:rPr>
              <w:t>$0.108</w:t>
            </w:r>
          </w:p>
        </w:tc>
      </w:tr>
      <w:tr>
        <w:tc>
          <w:tcPr>
            <w:tcW w:w="1500" w:type="dxa"/>
          </w:tcPr>
          <w:p>
            <w:pPr>
              <w:spacing w:before="10" w:after="10"/>
            </w:pPr>
            <w:r/>
            <w:r>
              <w:rPr>
                <w:sz w:val="16"/>
              </w:rPr>
              <w:t>Belgium</w:t>
            </w:r>
          </w:p>
        </w:tc>
        <w:tc>
          <w:tcPr>
            <w:tcW w:w="650" w:type="dxa"/>
          </w:tcPr>
          <w:p>
            <w:pPr>
              <w:spacing w:before="10" w:after="10"/>
            </w:pPr>
            <w:r/>
            <w:r>
              <w:rPr>
                <w:sz w:val="16"/>
              </w:rPr>
              <w:t>$0.125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50" w:type="dxa"/>
          </w:tcPr>
          <w:p>
            <w:pPr>
              <w:jc w:val="right"/>
              <w:spacing w:before="10" w:after="10"/>
            </w:pPr>
            <w:r/>
            <w:r>
              <w:rPr>
                <w:sz w:val="16"/>
              </w:rPr>
              <w:t>$9.97</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$1.51</w:t>
            </w:r>
          </w:p>
        </w:tc>
        <w:tc>
          <w:tcPr>
            <w:tcW w:w="750" w:type="dxa"/>
          </w:tcPr>
          <w:p>
            <w:pPr>
              <w:jc w:val="right"/>
              <w:spacing w:before="10" w:after="10"/>
            </w:pPr>
            <w:r/>
            <w:r>
              <w:rPr>
                <w:sz w:val="16"/>
              </w:rPr>
              <w:t>$0.125</w:t>
            </w:r>
          </w:p>
        </w:tc>
      </w:tr>
      <w:tr>
        <w:tc>
          <w:tcPr>
            <w:tcW w:w="1500" w:type="dxa"/>
          </w:tcPr>
          <w:p>
            <w:pPr>
              <w:spacing w:before="10" w:after="10"/>
            </w:pPr>
            <w:r/>
            <w:r>
              <w:rPr>
                <w:sz w:val="16"/>
              </w:rPr>
              <w:t>Serbia</w:t>
            </w:r>
          </w:p>
        </w:tc>
        <w:tc>
          <w:tcPr>
            <w:tcW w:w="650" w:type="dxa"/>
          </w:tcPr>
          <w:p>
            <w:pPr>
              <w:spacing w:before="10" w:after="10"/>
            </w:pPr>
            <w:r/>
            <w:r>
              <w:rPr>
                <w:sz w:val="16"/>
              </w:rPr>
              <w:t>$0.120</w:t>
            </w:r>
          </w:p>
        </w:tc>
        <w:tc>
          <w:tcPr>
            <w:tcW w:w="550" w:type="dxa"/>
          </w:tcPr>
          <w:p>
            <w:pPr>
              <w:jc w:val="right"/>
              <w:spacing w:before="10" w:after="10"/>
            </w:pPr>
            <w:r/>
            <w:r>
              <w:rPr>
                <w:sz w:val="16"/>
              </w:rPr>
              <w:t>23.2</w:t>
            </w:r>
          </w:p>
        </w:tc>
        <w:tc>
          <w:tcPr>
            <w:tcW w:w="500" w:type="dxa"/>
          </w:tcPr>
          <w:p>
            <w:pPr>
              <w:jc w:val="right"/>
              <w:spacing w:before="10" w:after="10"/>
            </w:pPr>
            <w:r/>
            <w:r>
              <w:rPr>
                <w:sz w:val="16"/>
              </w:rPr>
              <w:t>1.20</w:t>
            </w:r>
          </w:p>
        </w:tc>
        <w:tc>
          <w:tcPr>
            <w:tcW w:w="650" w:type="dxa"/>
          </w:tcPr>
          <w:p>
            <w:pPr>
              <w:jc w:val="right"/>
              <w:spacing w:before="10" w:after="10"/>
            </w:pPr>
            <w:r/>
            <w:r>
              <w:rPr>
                <w:sz w:val="16"/>
              </w:rPr>
              <w:t>$10.15</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$1.51</w:t>
            </w:r>
          </w:p>
        </w:tc>
        <w:tc>
          <w:tcPr>
            <w:tcW w:w="750" w:type="dxa"/>
          </w:tcPr>
          <w:p>
            <w:pPr>
              <w:jc w:val="right"/>
              <w:spacing w:before="10" w:after="10"/>
            </w:pPr>
            <w:r/>
            <w:r>
              <w:rPr>
                <w:sz w:val="16"/>
              </w:rPr>
              <w:t>$0.120</w:t>
            </w:r>
          </w:p>
        </w:tc>
      </w:tr>
      <w:tr>
        <w:tc>
          <w:tcPr>
            <w:tcW w:w="1500" w:type="dxa"/>
          </w:tcPr>
          <w:p>
            <w:pPr>
              <w:spacing w:before="10" w:after="10"/>
            </w:pPr>
            <w:r/>
            <w:r>
              <w:rPr>
                <w:sz w:val="16"/>
              </w:rPr>
              <w:t>Pakistan</w:t>
            </w:r>
          </w:p>
        </w:tc>
        <w:tc>
          <w:tcPr>
            <w:tcW w:w="650" w:type="dxa"/>
          </w:tcPr>
          <w:p>
            <w:pPr>
              <w:spacing w:before="10" w:after="10"/>
            </w:pPr>
            <w:r/>
            <w:r>
              <w:rPr>
                <w:sz w:val="16"/>
              </w:rPr>
              <w:t>$0.134</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50" w:type="dxa"/>
          </w:tcPr>
          <w:p>
            <w:pPr>
              <w:jc w:val="right"/>
              <w:spacing w:before="10" w:after="10"/>
            </w:pPr>
            <w:r/>
            <w:r>
              <w:rPr>
                <w:sz w:val="16"/>
              </w:rPr>
              <w:t>$6.57</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$0.134</w:t>
            </w:r>
          </w:p>
        </w:tc>
      </w:tr>
      <w:tr>
        <w:tc>
          <w:tcPr>
            <w:tcW w:w="1500" w:type="dxa"/>
          </w:tcPr>
          <w:p>
            <w:pPr>
              <w:spacing w:before="10" w:after="10"/>
            </w:pPr>
            <w:r/>
            <w:r>
              <w:rPr>
                <w:sz w:val="16"/>
              </w:rPr>
              <w:t>Saudi Arabia</w:t>
            </w:r>
          </w:p>
        </w:tc>
        <w:tc>
          <w:tcPr>
            <w:tcW w:w="650" w:type="dxa"/>
          </w:tcPr>
          <w:p>
            <w:pPr>
              <w:spacing w:before="10" w:after="10"/>
            </w:pPr>
            <w:r/>
            <w:r>
              <w:rPr>
                <w:sz w:val="16"/>
              </w:rPr>
              <w:t>$0.053</w:t>
            </w:r>
          </w:p>
        </w:tc>
        <w:tc>
          <w:tcPr>
            <w:tcW w:w="550" w:type="dxa"/>
          </w:tcPr>
          <w:p>
            <w:pPr>
              <w:jc w:val="right"/>
              <w:spacing w:before="10" w:after="10"/>
            </w:pPr>
            <w:r/>
            <w:r>
              <w:rPr>
                <w:sz w:val="16"/>
              </w:rPr>
              <w:t>36.0</w:t>
            </w:r>
          </w:p>
        </w:tc>
        <w:tc>
          <w:tcPr>
            <w:tcW w:w="500" w:type="dxa"/>
          </w:tcPr>
          <w:p>
            <w:pPr>
              <w:jc w:val="right"/>
              <w:spacing w:before="10" w:after="10"/>
            </w:pPr>
            <w:r/>
            <w:r>
              <w:rPr>
                <w:sz w:val="16"/>
              </w:rPr>
              <w:t>1.40</w:t>
            </w:r>
          </w:p>
        </w:tc>
        <w:tc>
          <w:tcPr>
            <w:tcW w:w="650" w:type="dxa"/>
          </w:tcPr>
          <w:p>
            <w:pPr>
              <w:jc w:val="right"/>
              <w:spacing w:before="10" w:after="10"/>
            </w:pPr>
            <w:r/>
            <w:r>
              <w:rPr>
                <w:sz w:val="16"/>
              </w:rPr>
              <w:t>$11.34</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$0.100</w:t>
            </w:r>
          </w:p>
        </w:tc>
      </w:tr>
      <w:tr>
        <w:tc>
          <w:tcPr>
            <w:tcW w:w="1500" w:type="dxa"/>
          </w:tcPr>
          <w:p>
            <w:pPr>
              <w:spacing w:before="10" w:after="10"/>
            </w:pPr>
            <w:r/>
            <w:r>
              <w:rPr>
                <w:sz w:val="16"/>
              </w:rPr>
              <w:t>Luxembourg</w:t>
            </w:r>
          </w:p>
        </w:tc>
        <w:tc>
          <w:tcPr>
            <w:tcW w:w="650" w:type="dxa"/>
          </w:tcPr>
          <w:p>
            <w:pPr>
              <w:spacing w:before="10" w:after="10"/>
            </w:pPr>
            <w:r/>
            <w:r>
              <w:rPr>
                <w:sz w:val="16"/>
              </w:rPr>
              <w:t>$0.128</w:t>
            </w:r>
          </w:p>
        </w:tc>
        <w:tc>
          <w:tcPr>
            <w:tcW w:w="550" w:type="dxa"/>
          </w:tcPr>
          <w:p>
            <w:pPr>
              <w:jc w:val="right"/>
              <w:spacing w:before="10" w:after="10"/>
            </w:pPr>
            <w:r/>
            <w:r>
              <w:rPr>
                <w:sz w:val="16"/>
              </w:rPr>
              <w:t>18.0</w:t>
            </w:r>
          </w:p>
        </w:tc>
        <w:tc>
          <w:tcPr>
            <w:tcW w:w="500" w:type="dxa"/>
          </w:tcPr>
          <w:p>
            <w:pPr>
              <w:jc w:val="right"/>
              <w:spacing w:before="10" w:after="10"/>
            </w:pPr>
            <w:r/>
            <w:r>
              <w:rPr>
                <w:sz w:val="16"/>
              </w:rPr>
              <w:t>1.12</w:t>
            </w:r>
          </w:p>
        </w:tc>
        <w:tc>
          <w:tcPr>
            <w:tcW w:w="650" w:type="dxa"/>
          </w:tcPr>
          <w:p>
            <w:pPr>
              <w:jc w:val="right"/>
              <w:spacing w:before="10" w:after="10"/>
            </w:pPr>
            <w:r/>
            <w:r>
              <w:rPr>
                <w:sz w:val="16"/>
              </w:rPr>
              <w:t>$10.99</w:t>
            </w:r>
          </w:p>
        </w:tc>
        <w:tc>
          <w:tcPr>
            <w:tcW w:w="650" w:type="dxa"/>
          </w:tcPr>
          <w:p>
            <w:pPr>
              <w:jc w:val="right"/>
              <w:spacing w:before="10" w:after="10"/>
            </w:pPr>
            <w:r/>
            <w:r>
              <w:rPr>
                <w:sz w:val="16"/>
              </w:rPr>
              <w:t>70</w:t>
            </w:r>
          </w:p>
        </w:tc>
        <w:tc>
          <w:tcPr>
            <w:tcW w:w="550" w:type="dxa"/>
          </w:tcPr>
          <w:p>
            <w:pPr>
              <w:jc w:val="right"/>
              <w:spacing w:before="10" w:after="10"/>
            </w:pPr>
            <w:r/>
            <w:r>
              <w:rPr>
                <w:sz w:val="16"/>
              </w:rPr>
              <w:t>0.1</w:t>
            </w:r>
          </w:p>
        </w:tc>
        <w:tc>
          <w:tcPr>
            <w:tcW w:w="700" w:type="dxa"/>
          </w:tcPr>
          <w:p>
            <w:pPr>
              <w:jc w:val="right"/>
              <w:spacing w:before="10" w:after="10"/>
            </w:pPr>
            <w:r/>
            <w:r>
              <w:rPr>
                <w:sz w:val="16"/>
              </w:rPr>
              <w:t>$1.52</w:t>
            </w:r>
          </w:p>
        </w:tc>
        <w:tc>
          <w:tcPr>
            <w:tcW w:w="750" w:type="dxa"/>
          </w:tcPr>
          <w:p>
            <w:pPr>
              <w:jc w:val="right"/>
              <w:spacing w:before="10" w:after="10"/>
            </w:pPr>
            <w:r/>
            <w:r>
              <w:rPr>
                <w:sz w:val="16"/>
              </w:rPr>
              <w:t>$0.128</w:t>
            </w:r>
          </w:p>
        </w:tc>
      </w:tr>
      <w:tr>
        <w:tc>
          <w:tcPr>
            <w:tcW w:w="1500" w:type="dxa"/>
          </w:tcPr>
          <w:p>
            <w:pPr>
              <w:spacing w:before="10" w:after="10"/>
            </w:pPr>
            <w:r/>
            <w:r>
              <w:rPr>
                <w:sz w:val="16"/>
              </w:rPr>
              <w:t>Qatar</w:t>
            </w:r>
          </w:p>
        </w:tc>
        <w:tc>
          <w:tcPr>
            <w:tcW w:w="650" w:type="dxa"/>
          </w:tcPr>
          <w:p>
            <w:pPr>
              <w:spacing w:before="10" w:after="10"/>
            </w:pPr>
            <w:r/>
            <w:r>
              <w:rPr>
                <w:sz w:val="16"/>
              </w:rPr>
              <w:t>$0.036</w:t>
            </w:r>
          </w:p>
        </w:tc>
        <w:tc>
          <w:tcPr>
            <w:tcW w:w="550" w:type="dxa"/>
          </w:tcPr>
          <w:p>
            <w:pPr>
              <w:jc w:val="right"/>
              <w:spacing w:before="10" w:after="10"/>
            </w:pPr>
            <w:r/>
            <w:r>
              <w:rPr>
                <w:sz w:val="16"/>
              </w:rPr>
              <w:t>36.1</w:t>
            </w:r>
          </w:p>
        </w:tc>
        <w:tc>
          <w:tcPr>
            <w:tcW w:w="500" w:type="dxa"/>
          </w:tcPr>
          <w:p>
            <w:pPr>
              <w:jc w:val="right"/>
              <w:spacing w:before="10" w:after="10"/>
            </w:pPr>
            <w:r/>
            <w:r>
              <w:rPr>
                <w:sz w:val="16"/>
              </w:rPr>
              <w:t>1.40</w:t>
            </w:r>
          </w:p>
        </w:tc>
        <w:tc>
          <w:tcPr>
            <w:tcW w:w="650" w:type="dxa"/>
          </w:tcPr>
          <w:p>
            <w:pPr>
              <w:jc w:val="right"/>
              <w:spacing w:before="10" w:after="10"/>
            </w:pPr>
            <w:r/>
            <w:r>
              <w:rPr>
                <w:sz w:val="16"/>
              </w:rPr>
              <w:t>$11.86</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Pr>
                <w:b/>
              </w:rPr>
            </w:r>
            <w:r>
              <w:rPr>
                <w:sz w:val="16"/>
                <w:b/>
              </w:rPr>
              <w:t>$0.100</w:t>
            </w:r>
          </w:p>
        </w:tc>
      </w:tr>
      <w:tr>
        <w:tc>
          <w:tcPr>
            <w:tcW w:w="1500" w:type="dxa"/>
          </w:tcPr>
          <w:p>
            <w:pPr>
              <w:spacing w:before="10" w:after="10"/>
            </w:pPr>
            <w:r/>
            <w:r>
              <w:rPr>
                <w:sz w:val="16"/>
              </w:rPr>
              <w:t>Netherlands</w:t>
            </w:r>
          </w:p>
        </w:tc>
        <w:tc>
          <w:tcPr>
            <w:tcW w:w="650" w:type="dxa"/>
          </w:tcPr>
          <w:p>
            <w:pPr>
              <w:spacing w:before="10" w:after="10"/>
            </w:pPr>
            <w:r/>
            <w:r>
              <w:rPr>
                <w:sz w:val="16"/>
              </w:rPr>
              <w:t>$0.130</w:t>
            </w:r>
          </w:p>
        </w:tc>
        <w:tc>
          <w:tcPr>
            <w:tcW w:w="550" w:type="dxa"/>
          </w:tcPr>
          <w:p>
            <w:pPr>
              <w:jc w:val="right"/>
              <w:spacing w:before="10" w:after="10"/>
            </w:pPr>
            <w:r/>
            <w:r>
              <w:rPr>
                <w:sz w:val="16"/>
              </w:rPr>
              <w:t>18.9</w:t>
            </w:r>
          </w:p>
        </w:tc>
        <w:tc>
          <w:tcPr>
            <w:tcW w:w="500" w:type="dxa"/>
          </w:tcPr>
          <w:p>
            <w:pPr>
              <w:jc w:val="right"/>
              <w:spacing w:before="10" w:after="10"/>
            </w:pPr>
            <w:r/>
            <w:r>
              <w:rPr>
                <w:sz w:val="16"/>
              </w:rPr>
              <w:t>1.14</w:t>
            </w:r>
          </w:p>
        </w:tc>
        <w:tc>
          <w:tcPr>
            <w:tcW w:w="650" w:type="dxa"/>
          </w:tcPr>
          <w:p>
            <w:pPr>
              <w:jc w:val="right"/>
              <w:spacing w:before="10" w:after="10"/>
            </w:pPr>
            <w:r/>
            <w:r>
              <w:rPr>
                <w:sz w:val="16"/>
              </w:rPr>
              <w:t>$10.81</w:t>
            </w:r>
          </w:p>
        </w:tc>
        <w:tc>
          <w:tcPr>
            <w:tcW w:w="650" w:type="dxa"/>
          </w:tcPr>
          <w:p>
            <w:pPr>
              <w:jc w:val="right"/>
              <w:spacing w:before="10" w:after="10"/>
            </w:pPr>
            <w:r/>
            <w:r>
              <w:rPr>
                <w:sz w:val="16"/>
              </w:rPr>
              <w:t>1,800</w:t>
            </w:r>
          </w:p>
        </w:tc>
        <w:tc>
          <w:tcPr>
            <w:tcW w:w="550" w:type="dxa"/>
          </w:tcPr>
          <w:p>
            <w:pPr>
              <w:jc w:val="right"/>
              <w:spacing w:before="10" w:after="10"/>
            </w:pPr>
            <w:r/>
            <w:r>
              <w:rPr>
                <w:sz w:val="16"/>
              </w:rPr>
              <w:t>1.5</w:t>
            </w:r>
          </w:p>
        </w:tc>
        <w:tc>
          <w:tcPr>
            <w:tcW w:w="700" w:type="dxa"/>
          </w:tcPr>
          <w:p>
            <w:pPr>
              <w:jc w:val="right"/>
              <w:spacing w:before="10" w:after="10"/>
            </w:pPr>
            <w:r/>
            <w:r>
              <w:rPr>
                <w:sz w:val="16"/>
              </w:rPr>
              <w:t>$1.52</w:t>
            </w:r>
          </w:p>
        </w:tc>
        <w:tc>
          <w:tcPr>
            <w:tcW w:w="750" w:type="dxa"/>
          </w:tcPr>
          <w:p>
            <w:pPr>
              <w:jc w:val="right"/>
              <w:spacing w:before="10" w:after="10"/>
            </w:pPr>
            <w:r/>
            <w:r>
              <w:rPr>
                <w:sz w:val="16"/>
              </w:rPr>
              <w:t>$0.130</w:t>
            </w:r>
          </w:p>
        </w:tc>
      </w:tr>
      <w:tr>
        <w:tc>
          <w:tcPr>
            <w:tcW w:w="1500" w:type="dxa"/>
          </w:tcPr>
          <w:p>
            <w:pPr>
              <w:spacing w:before="10" w:after="10"/>
            </w:pPr>
            <w:r/>
            <w:r>
              <w:rPr>
                <w:sz w:val="16"/>
              </w:rPr>
              <w:t>Estonia</w:t>
            </w:r>
          </w:p>
        </w:tc>
        <w:tc>
          <w:tcPr>
            <w:tcW w:w="650" w:type="dxa"/>
          </w:tcPr>
          <w:p>
            <w:pPr>
              <w:spacing w:before="10" w:after="10"/>
            </w:pPr>
            <w:r/>
            <w:r>
              <w:rPr>
                <w:sz w:val="16"/>
              </w:rPr>
              <w:t>$0.129</w:t>
            </w:r>
          </w:p>
        </w:tc>
        <w:tc>
          <w:tcPr>
            <w:tcW w:w="550" w:type="dxa"/>
          </w:tcPr>
          <w:p>
            <w:pPr>
              <w:jc w:val="right"/>
              <w:spacing w:before="10" w:after="10"/>
            </w:pPr>
            <w:r/>
            <w:r>
              <w:rPr>
                <w:sz w:val="16"/>
              </w:rPr>
              <w:t>18.2</w:t>
            </w:r>
          </w:p>
        </w:tc>
        <w:tc>
          <w:tcPr>
            <w:tcW w:w="500" w:type="dxa"/>
          </w:tcPr>
          <w:p>
            <w:pPr>
              <w:jc w:val="right"/>
              <w:spacing w:before="10" w:after="10"/>
            </w:pPr>
            <w:r/>
            <w:r>
              <w:rPr>
                <w:sz w:val="16"/>
              </w:rPr>
              <w:t>1.13</w:t>
            </w:r>
          </w:p>
        </w:tc>
        <w:tc>
          <w:tcPr>
            <w:tcW w:w="650" w:type="dxa"/>
          </w:tcPr>
          <w:p>
            <w:pPr>
              <w:jc w:val="right"/>
              <w:spacing w:before="10" w:after="10"/>
            </w:pPr>
            <w:r/>
            <w:r>
              <w:rPr>
                <w:sz w:val="16"/>
              </w:rPr>
              <w:t>$11.19</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$0.129</w:t>
            </w:r>
          </w:p>
        </w:tc>
      </w:tr>
      <w:tr>
        <w:tc>
          <w:tcPr>
            <w:tcW w:w="1500" w:type="dxa"/>
          </w:tcPr>
          <w:p>
            <w:pPr>
              <w:spacing w:before="10" w:after="10"/>
            </w:pPr>
            <w:r/>
            <w:r>
              <w:rPr>
                <w:sz w:val="16"/>
              </w:rPr>
              <w:t>South Korea</w:t>
            </w:r>
          </w:p>
        </w:tc>
        <w:tc>
          <w:tcPr>
            <w:tcW w:w="650" w:type="dxa"/>
          </w:tcPr>
          <w:p>
            <w:pPr>
              <w:spacing w:before="10" w:after="10"/>
            </w:pPr>
            <w:r/>
            <w:r>
              <w:rPr>
                <w:sz w:val="16"/>
              </w:rPr>
              <w:t>$0.125</w:t>
            </w:r>
          </w:p>
        </w:tc>
        <w:tc>
          <w:tcPr>
            <w:tcW w:w="550" w:type="dxa"/>
          </w:tcPr>
          <w:p>
            <w:pPr>
              <w:jc w:val="right"/>
              <w:spacing w:before="10" w:after="10"/>
            </w:pPr>
            <w:r/>
            <w:r>
              <w:rPr>
                <w:sz w:val="16"/>
              </w:rPr>
              <w:t>26.0</w:t>
            </w:r>
          </w:p>
        </w:tc>
        <w:tc>
          <w:tcPr>
            <w:tcW w:w="500" w:type="dxa"/>
          </w:tcPr>
          <w:p>
            <w:pPr>
              <w:jc w:val="right"/>
              <w:spacing w:before="10" w:after="10"/>
            </w:pPr>
            <w:r/>
            <w:r>
              <w:rPr>
                <w:sz w:val="16"/>
              </w:rPr>
              <w:t>1.25</w:t>
            </w:r>
          </w:p>
        </w:tc>
        <w:tc>
          <w:tcPr>
            <w:tcW w:w="650" w:type="dxa"/>
          </w:tcPr>
          <w:p>
            <w:pPr>
              <w:jc w:val="right"/>
              <w:spacing w:before="10" w:after="10"/>
            </w:pPr>
            <w:r/>
            <w:r>
              <w:rPr>
                <w:sz w:val="16"/>
              </w:rPr>
              <w:t>$10.07</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700" w:type="dxa"/>
          </w:tcPr>
          <w:p>
            <w:pPr>
              <w:jc w:val="right"/>
              <w:spacing w:before="10" w:after="10"/>
            </w:pPr>
            <w:r/>
            <w:r>
              <w:rPr>
                <w:sz w:val="16"/>
              </w:rPr>
              <w:t>$1.52</w:t>
            </w:r>
          </w:p>
        </w:tc>
        <w:tc>
          <w:tcPr>
            <w:tcW w:w="750" w:type="dxa"/>
          </w:tcPr>
          <w:p>
            <w:pPr>
              <w:jc w:val="right"/>
              <w:spacing w:before="10" w:after="10"/>
            </w:pPr>
            <w:r/>
            <w:r>
              <w:rPr>
                <w:sz w:val="16"/>
              </w:rPr>
              <w:t>$0.125</w:t>
            </w:r>
          </w:p>
        </w:tc>
      </w:tr>
      <w:tr>
        <w:tc>
          <w:tcPr>
            <w:tcW w:w="1500" w:type="dxa"/>
          </w:tcPr>
          <w:p>
            <w:pPr>
              <w:spacing w:before="10" w:after="10"/>
            </w:pPr>
            <w:r/>
            <w:r>
              <w:rPr>
                <w:sz w:val="16"/>
              </w:rPr>
              <w:t>Moldova</w:t>
            </w:r>
          </w:p>
        </w:tc>
        <w:tc>
          <w:tcPr>
            <w:tcW w:w="650" w:type="dxa"/>
          </w:tcPr>
          <w:p>
            <w:pPr>
              <w:spacing w:before="10" w:after="10"/>
            </w:pPr>
            <w:r/>
            <w:r>
              <w:rPr>
                <w:sz w:val="16"/>
              </w:rPr>
              <w:t>$0.135</w:t>
            </w:r>
          </w:p>
        </w:tc>
        <w:tc>
          <w:tcPr>
            <w:tcW w:w="550" w:type="dxa"/>
          </w:tcPr>
          <w:p>
            <w:pPr>
              <w:jc w:val="right"/>
              <w:spacing w:before="10" w:after="10"/>
            </w:pPr>
            <w:r/>
            <w:r>
              <w:rPr>
                <w:sz w:val="16"/>
              </w:rPr>
              <w:t>24.2</w:t>
            </w:r>
          </w:p>
        </w:tc>
        <w:tc>
          <w:tcPr>
            <w:tcW w:w="500" w:type="dxa"/>
          </w:tcPr>
          <w:p>
            <w:pPr>
              <w:jc w:val="right"/>
              <w:spacing w:before="10" w:after="10"/>
            </w:pPr>
            <w:r/>
            <w:r>
              <w:rPr>
                <w:sz w:val="16"/>
              </w:rPr>
              <w:t>1.22</w:t>
            </w:r>
          </w:p>
        </w:tc>
        <w:tc>
          <w:tcPr>
            <w:tcW w:w="650" w:type="dxa"/>
          </w:tcPr>
          <w:p>
            <w:pPr>
              <w:jc w:val="right"/>
              <w:spacing w:before="10" w:after="10"/>
            </w:pPr>
            <w:r/>
            <w:r>
              <w:rPr>
                <w:sz w:val="16"/>
              </w:rPr>
              <w:t>$9.21</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$0.135</w:t>
            </w:r>
          </w:p>
        </w:tc>
      </w:tr>
      <w:tr>
        <w:tc>
          <w:tcPr>
            <w:tcW w:w="1500" w:type="dxa"/>
          </w:tcPr>
          <w:p>
            <w:pPr>
              <w:spacing w:before="10" w:after="10"/>
            </w:pPr>
            <w:r/>
            <w:r>
              <w:rPr>
                <w:sz w:val="16"/>
              </w:rPr>
              <w:t>Denmark</w:t>
            </w:r>
          </w:p>
        </w:tc>
        <w:tc>
          <w:tcPr>
            <w:tcW w:w="650" w:type="dxa"/>
          </w:tcPr>
          <w:p>
            <w:pPr>
              <w:spacing w:before="10" w:after="10"/>
            </w:pPr>
            <w:r/>
            <w:r>
              <w:rPr>
                <w:sz w:val="16"/>
              </w:rPr>
              <w:t>$0.129</w:t>
            </w:r>
          </w:p>
        </w:tc>
        <w:tc>
          <w:tcPr>
            <w:tcW w:w="550" w:type="dxa"/>
          </w:tcPr>
          <w:p>
            <w:pPr>
              <w:jc w:val="right"/>
              <w:spacing w:before="10" w:after="10"/>
            </w:pPr>
            <w:r/>
            <w:r>
              <w:rPr>
                <w:sz w:val="16"/>
              </w:rPr>
              <w:t>17.2</w:t>
            </w:r>
          </w:p>
        </w:tc>
        <w:tc>
          <w:tcPr>
            <w:tcW w:w="500" w:type="dxa"/>
          </w:tcPr>
          <w:p>
            <w:pPr>
              <w:jc w:val="right"/>
              <w:spacing w:before="10" w:after="10"/>
            </w:pPr>
            <w:r/>
            <w:r>
              <w:rPr>
                <w:sz w:val="16"/>
              </w:rPr>
              <w:t>1.11</w:t>
            </w:r>
          </w:p>
        </w:tc>
        <w:tc>
          <w:tcPr>
            <w:tcW w:w="650" w:type="dxa"/>
          </w:tcPr>
          <w:p>
            <w:pPr>
              <w:jc w:val="right"/>
              <w:spacing w:before="10" w:after="10"/>
            </w:pPr>
            <w:r/>
            <w:r>
              <w:rPr>
                <w:sz w:val="16"/>
              </w:rPr>
              <w:t>$12.02</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$1.52</w:t>
            </w:r>
          </w:p>
        </w:tc>
        <w:tc>
          <w:tcPr>
            <w:tcW w:w="750" w:type="dxa"/>
          </w:tcPr>
          <w:p>
            <w:pPr>
              <w:jc w:val="right"/>
              <w:spacing w:before="10" w:after="10"/>
            </w:pPr>
            <w:r/>
            <w:r>
              <w:rPr>
                <w:sz w:val="16"/>
              </w:rPr>
              <w:t>$0.129</w:t>
            </w:r>
          </w:p>
        </w:tc>
      </w:tr>
      <w:tr>
        <w:tc>
          <w:tcPr>
            <w:tcW w:w="1500" w:type="dxa"/>
          </w:tcPr>
          <w:p>
            <w:pPr>
              <w:spacing w:before="10" w:after="10"/>
            </w:pPr>
            <w:r/>
            <w:r>
              <w:rPr>
                <w:sz w:val="16"/>
              </w:rPr>
              <w:t>Lithuania</w:t>
            </w:r>
          </w:p>
        </w:tc>
        <w:tc>
          <w:tcPr>
            <w:tcW w:w="650" w:type="dxa"/>
          </w:tcPr>
          <w:p>
            <w:pPr>
              <w:spacing w:before="10" w:after="10"/>
            </w:pPr>
            <w:r/>
            <w:r>
              <w:rPr>
                <w:sz w:val="16"/>
              </w:rPr>
              <w:t>$0.134</w:t>
            </w:r>
          </w:p>
        </w:tc>
        <w:tc>
          <w:tcPr>
            <w:tcW w:w="550" w:type="dxa"/>
          </w:tcPr>
          <w:p>
            <w:pPr>
              <w:jc w:val="right"/>
              <w:spacing w:before="10" w:after="10"/>
            </w:pPr>
            <w:r/>
            <w:r>
              <w:rPr>
                <w:sz w:val="16"/>
              </w:rPr>
              <w:t>18.8</w:t>
            </w:r>
          </w:p>
        </w:tc>
        <w:tc>
          <w:tcPr>
            <w:tcW w:w="500" w:type="dxa"/>
          </w:tcPr>
          <w:p>
            <w:pPr>
              <w:jc w:val="right"/>
              <w:spacing w:before="10" w:after="10"/>
            </w:pPr>
            <w:r/>
            <w:r>
              <w:rPr>
                <w:sz w:val="16"/>
              </w:rPr>
              <w:t>1.14</w:t>
            </w:r>
          </w:p>
        </w:tc>
        <w:tc>
          <w:tcPr>
            <w:tcW w:w="650" w:type="dxa"/>
          </w:tcPr>
          <w:p>
            <w:pPr>
              <w:jc w:val="right"/>
              <w:spacing w:before="10" w:after="10"/>
            </w:pPr>
            <w:r/>
            <w:r>
              <w:rPr>
                <w:sz w:val="16"/>
              </w:rPr>
              <w:t>$10.97</w:t>
            </w:r>
          </w:p>
        </w:tc>
        <w:tc>
          <w:tcPr>
            <w:tcW w:w="650" w:type="dxa"/>
          </w:tcPr>
          <w:p>
            <w:pPr>
              <w:jc w:val="right"/>
              <w:spacing w:before="10" w:after="10"/>
            </w:pPr>
            <w:r/>
            <w:r>
              <w:rPr>
                <w:sz w:val="16"/>
              </w:rPr>
              <w:t>55</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$0.134</w:t>
            </w:r>
          </w:p>
        </w:tc>
      </w:tr>
      <w:tr>
        <w:tc>
          <w:tcPr>
            <w:tcW w:w="1500" w:type="dxa"/>
          </w:tcPr>
          <w:p>
            <w:pPr>
              <w:spacing w:before="10" w:after="10"/>
            </w:pPr>
            <w:r/>
            <w:r>
              <w:rPr>
                <w:sz w:val="16"/>
              </w:rPr>
              <w:t>North Macedonia</w:t>
            </w:r>
          </w:p>
        </w:tc>
        <w:tc>
          <w:tcPr>
            <w:tcW w:w="650" w:type="dxa"/>
          </w:tcPr>
          <w:p>
            <w:pPr>
              <w:spacing w:before="10" w:after="10"/>
            </w:pPr>
            <w:r/>
            <w:r>
              <w:rPr>
                <w:sz w:val="16"/>
              </w:rPr>
              <w:t>$0.135</w:t>
            </w:r>
          </w:p>
        </w:tc>
        <w:tc>
          <w:tcPr>
            <w:tcW w:w="550" w:type="dxa"/>
          </w:tcPr>
          <w:p>
            <w:pPr>
              <w:jc w:val="right"/>
              <w:spacing w:before="10" w:after="10"/>
            </w:pPr>
            <w:r/>
            <w:r>
              <w:rPr>
                <w:sz w:val="16"/>
              </w:rPr>
              <w:t>24.0</w:t>
            </w:r>
          </w:p>
        </w:tc>
        <w:tc>
          <w:tcPr>
            <w:tcW w:w="500" w:type="dxa"/>
          </w:tcPr>
          <w:p>
            <w:pPr>
              <w:jc w:val="right"/>
              <w:spacing w:before="10" w:after="10"/>
            </w:pPr>
            <w:r/>
            <w:r>
              <w:rPr>
                <w:sz w:val="16"/>
              </w:rPr>
              <w:t>1.21</w:t>
            </w:r>
          </w:p>
        </w:tc>
        <w:tc>
          <w:tcPr>
            <w:tcW w:w="650" w:type="dxa"/>
          </w:tcPr>
          <w:p>
            <w:pPr>
              <w:jc w:val="right"/>
              <w:spacing w:before="10" w:after="10"/>
            </w:pPr>
            <w:r/>
            <w:r>
              <w:rPr>
                <w:sz w:val="16"/>
              </w:rPr>
              <w:t>$9.79</w:t>
            </w:r>
          </w:p>
        </w:tc>
        <w:tc>
          <w:tcPr>
            <w:tcW w:w="650" w:type="dxa"/>
          </w:tcPr>
          <w:p>
            <w:pPr>
              <w:jc w:val="right"/>
              <w:spacing w:before="10" w:after="10"/>
            </w:pPr>
            <w:r/>
            <w:r>
              <w:rPr>
                <w:sz w:val="16"/>
              </w:rPr>
              <w:t>18</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$0.135</w:t>
            </w:r>
          </w:p>
        </w:tc>
      </w:tr>
      <w:tr>
        <w:tc>
          <w:tcPr>
            <w:tcW w:w="1500" w:type="dxa"/>
          </w:tcPr>
          <w:p>
            <w:pPr>
              <w:spacing w:before="10" w:after="10"/>
            </w:pPr>
            <w:r/>
            <w:r>
              <w:rPr>
                <w:sz w:val="16"/>
              </w:rPr>
              <w:t>Ghana</w:t>
            </w:r>
          </w:p>
        </w:tc>
        <w:tc>
          <w:tcPr>
            <w:tcW w:w="650" w:type="dxa"/>
          </w:tcPr>
          <w:p>
            <w:pPr>
              <w:spacing w:before="10" w:after="10"/>
            </w:pPr>
            <w:r/>
            <w:r>
              <w:rPr>
                <w:sz w:val="16"/>
              </w:rPr>
              <w:t>$0.120</w:t>
            </w:r>
          </w:p>
        </w:tc>
        <w:tc>
          <w:tcPr>
            <w:tcW w:w="550" w:type="dxa"/>
          </w:tcPr>
          <w:p>
            <w:pPr>
              <w:jc w:val="right"/>
              <w:spacing w:before="10" w:after="10"/>
            </w:pPr>
            <w:r/>
            <w:r>
              <w:rPr>
                <w:sz w:val="16"/>
              </w:rPr>
              <w:t>30.7</w:t>
            </w:r>
          </w:p>
        </w:tc>
        <w:tc>
          <w:tcPr>
            <w:tcW w:w="500" w:type="dxa"/>
          </w:tcPr>
          <w:p>
            <w:pPr>
              <w:jc w:val="right"/>
              <w:spacing w:before="10" w:after="10"/>
            </w:pPr>
            <w:r/>
            <w:r>
              <w:rPr>
                <w:sz w:val="16"/>
              </w:rPr>
              <w:t>1.31</w:t>
            </w:r>
          </w:p>
        </w:tc>
        <w:tc>
          <w:tcPr>
            <w:tcW w:w="650" w:type="dxa"/>
          </w:tcPr>
          <w:p>
            <w:pPr>
              <w:jc w:val="right"/>
              <w:spacing w:before="10" w:after="10"/>
            </w:pPr>
            <w:r/>
            <w:r>
              <w:rPr>
                <w:sz w:val="16"/>
              </w:rPr>
              <w:t>$10.80</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$0.120</w:t>
            </w:r>
          </w:p>
        </w:tc>
      </w:tr>
      <w:tr>
        <w:tc>
          <w:tcPr>
            <w:tcW w:w="1500" w:type="dxa"/>
          </w:tcPr>
          <w:p>
            <w:pPr>
              <w:spacing w:before="10" w:after="10"/>
            </w:pPr>
            <w:r/>
            <w:r>
              <w:rPr>
                <w:sz w:val="16"/>
              </w:rPr>
              <w:t>Slovenia</w:t>
            </w:r>
          </w:p>
        </w:tc>
        <w:tc>
          <w:tcPr>
            <w:tcW w:w="650" w:type="dxa"/>
          </w:tcPr>
          <w:p>
            <w:pPr>
              <w:spacing w:before="10" w:after="10"/>
            </w:pPr>
            <w:r/>
            <w:r>
              <w:rPr>
                <w:sz w:val="16"/>
              </w:rPr>
              <w:t>$0.147</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50" w:type="dxa"/>
          </w:tcPr>
          <w:p>
            <w:pPr>
              <w:jc w:val="right"/>
              <w:spacing w:before="10" w:after="10"/>
            </w:pPr>
            <w:r/>
            <w:r>
              <w:rPr>
                <w:sz w:val="16"/>
              </w:rPr>
              <w:t>$10.17</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$0.147</w:t>
            </w:r>
          </w:p>
        </w:tc>
      </w:tr>
      <w:tr>
        <w:tc>
          <w:tcPr>
            <w:tcW w:w="1500" w:type="dxa"/>
          </w:tcPr>
          <w:p>
            <w:pPr>
              <w:spacing w:before="10" w:after="10"/>
            </w:pPr>
            <w:r/>
            <w:r>
              <w:rPr>
                <w:sz w:val="16"/>
              </w:rPr>
              <w:t>Albania</w:t>
            </w:r>
          </w:p>
        </w:tc>
        <w:tc>
          <w:tcPr>
            <w:tcW w:w="650" w:type="dxa"/>
          </w:tcPr>
          <w:p>
            <w:pPr>
              <w:spacing w:before="10" w:after="10"/>
            </w:pPr>
            <w:r/>
            <w:r>
              <w:rPr>
                <w:sz w:val="16"/>
              </w:rPr>
              <w:t>$0.147</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50" w:type="dxa"/>
          </w:tcPr>
          <w:p>
            <w:pPr>
              <w:jc w:val="right"/>
              <w:spacing w:before="10" w:after="10"/>
            </w:pPr>
            <w:r/>
            <w:r>
              <w:rPr>
                <w:sz w:val="16"/>
              </w:rPr>
              <w:t>$9.55</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$0.147</w:t>
            </w:r>
          </w:p>
        </w:tc>
      </w:tr>
      <w:tr>
        <w:tc>
          <w:tcPr>
            <w:tcW w:w="1500" w:type="dxa"/>
          </w:tcPr>
          <w:p>
            <w:pPr>
              <w:spacing w:before="10" w:after="10"/>
            </w:pPr>
            <w:r/>
            <w:r>
              <w:rPr>
                <w:sz w:val="16"/>
              </w:rPr>
              <w:t>Romania</w:t>
            </w:r>
          </w:p>
        </w:tc>
        <w:tc>
          <w:tcPr>
            <w:tcW w:w="650" w:type="dxa"/>
          </w:tcPr>
          <w:p>
            <w:pPr>
              <w:spacing w:before="10" w:after="10"/>
            </w:pPr>
            <w:r/>
            <w:r>
              <w:rPr>
                <w:sz w:val="16"/>
              </w:rPr>
              <w:t>$0.156</w:t>
            </w:r>
          </w:p>
        </w:tc>
        <w:tc>
          <w:tcPr>
            <w:tcW w:w="550" w:type="dxa"/>
          </w:tcPr>
          <w:p>
            <w:pPr>
              <w:jc w:val="right"/>
              <w:spacing w:before="10" w:after="10"/>
            </w:pPr>
            <w:r/>
            <w:r>
              <w:rPr>
                <w:sz w:val="16"/>
              </w:rPr>
              <w:t>22.1</w:t>
            </w:r>
          </w:p>
        </w:tc>
        <w:tc>
          <w:tcPr>
            <w:tcW w:w="500" w:type="dxa"/>
          </w:tcPr>
          <w:p>
            <w:pPr>
              <w:jc w:val="right"/>
              <w:spacing w:before="10" w:after="10"/>
            </w:pPr>
            <w:r/>
            <w:r>
              <w:rPr>
                <w:sz w:val="16"/>
              </w:rPr>
              <w:t>1.19</w:t>
            </w:r>
          </w:p>
        </w:tc>
        <w:tc>
          <w:tcPr>
            <w:tcW w:w="650" w:type="dxa"/>
          </w:tcPr>
          <w:p>
            <w:pPr>
              <w:jc w:val="right"/>
              <w:spacing w:before="10" w:after="10"/>
            </w:pPr>
            <w:r/>
            <w:r>
              <w:rPr>
                <w:sz w:val="16"/>
              </w:rPr>
              <w:t>$9.24</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$1.54</w:t>
            </w:r>
          </w:p>
        </w:tc>
        <w:tc>
          <w:tcPr>
            <w:tcW w:w="750" w:type="dxa"/>
          </w:tcPr>
          <w:p>
            <w:pPr>
              <w:jc w:val="right"/>
              <w:spacing w:before="10" w:after="10"/>
            </w:pPr>
            <w:r/>
            <w:r>
              <w:rPr>
                <w:sz w:val="16"/>
              </w:rPr>
              <w:t>$0.156</w:t>
            </w:r>
          </w:p>
        </w:tc>
      </w:tr>
      <w:tr>
        <w:tc>
          <w:tcPr>
            <w:tcW w:w="1500" w:type="dxa"/>
          </w:tcPr>
          <w:p>
            <w:pPr>
              <w:spacing w:before="10" w:after="10"/>
            </w:pPr>
            <w:r/>
            <w:r>
              <w:rPr>
                <w:sz w:val="16"/>
              </w:rPr>
              <w:t>Germany</w:t>
            </w:r>
          </w:p>
        </w:tc>
        <w:tc>
          <w:tcPr>
            <w:tcW w:w="650" w:type="dxa"/>
          </w:tcPr>
          <w:p>
            <w:pPr>
              <w:spacing w:before="10" w:after="10"/>
            </w:pPr>
            <w:r/>
            <w:r>
              <w:rPr>
                <w:sz w:val="16"/>
              </w:rPr>
              <w:t>$0.155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50" w:type="dxa"/>
          </w:tcPr>
          <w:p>
            <w:pPr>
              <w:jc w:val="right"/>
              <w:spacing w:before="10" w:after="10"/>
            </w:pPr>
            <w:r/>
            <w:r>
              <w:rPr>
                <w:sz w:val="16"/>
              </w:rPr>
              <w:t>$11.54</w:t>
            </w:r>
          </w:p>
        </w:tc>
        <w:tc>
          <w:tcPr>
            <w:tcW w:w="650" w:type="dxa"/>
          </w:tcPr>
          <w:p>
            <w:pPr>
              <w:jc w:val="right"/>
              <w:spacing w:before="10" w:after="10"/>
            </w:pPr>
            <w:r/>
            <w:r>
              <w:rPr>
                <w:sz w:val="16"/>
              </w:rPr>
              <w:t>1,955</w:t>
            </w:r>
          </w:p>
        </w:tc>
        <w:tc>
          <w:tcPr>
            <w:tcW w:w="550" w:type="dxa"/>
          </w:tcPr>
          <w:p>
            <w:pPr>
              <w:jc w:val="right"/>
              <w:spacing w:before="10" w:after="10"/>
            </w:pPr>
            <w:r/>
            <w:r>
              <w:rPr>
                <w:sz w:val="16"/>
              </w:rPr>
              <w:t>1.6</w:t>
            </w:r>
          </w:p>
        </w:tc>
        <w:tc>
          <w:tcPr>
            <w:tcW w:w="700" w:type="dxa"/>
          </w:tcPr>
          <w:p>
            <w:pPr>
              <w:jc w:val="right"/>
              <w:spacing w:before="10" w:after="10"/>
            </w:pPr>
            <w:r/>
            <w:r>
              <w:rPr>
                <w:sz w:val="16"/>
              </w:rPr>
              <w:t>$1.54</w:t>
            </w:r>
          </w:p>
        </w:tc>
        <w:tc>
          <w:tcPr>
            <w:tcW w:w="750" w:type="dxa"/>
          </w:tcPr>
          <w:p>
            <w:pPr>
              <w:jc w:val="right"/>
              <w:spacing w:before="10" w:after="10"/>
            </w:pPr>
            <w:r/>
            <w:r>
              <w:rPr>
                <w:sz w:val="16"/>
              </w:rPr>
              <w:t>$0.155</w:t>
            </w:r>
          </w:p>
        </w:tc>
      </w:tr>
      <w:tr>
        <w:tc>
          <w:tcPr>
            <w:tcW w:w="1500" w:type="dxa"/>
          </w:tcPr>
          <w:p>
            <w:pPr>
              <w:spacing w:before="10" w:after="10"/>
            </w:pPr>
            <w:r/>
            <w:r>
              <w:rPr>
                <w:sz w:val="16"/>
              </w:rPr>
              <w:t>Greece</w:t>
            </w:r>
          </w:p>
        </w:tc>
        <w:tc>
          <w:tcPr>
            <w:tcW w:w="650" w:type="dxa"/>
          </w:tcPr>
          <w:p>
            <w:pPr>
              <w:spacing w:before="10" w:after="10"/>
            </w:pPr>
            <w:r/>
            <w:r>
              <w:rPr>
                <w:sz w:val="16"/>
              </w:rPr>
              <w:t>$0.165</w:t>
            </w:r>
          </w:p>
        </w:tc>
        <w:tc>
          <w:tcPr>
            <w:tcW w:w="550" w:type="dxa"/>
          </w:tcPr>
          <w:p>
            <w:pPr>
              <w:jc w:val="right"/>
              <w:spacing w:before="10" w:after="10"/>
            </w:pPr>
            <w:r/>
            <w:r>
              <w:rPr>
                <w:sz w:val="16"/>
              </w:rPr>
              <w:t>26.1</w:t>
            </w:r>
          </w:p>
        </w:tc>
        <w:tc>
          <w:tcPr>
            <w:tcW w:w="500" w:type="dxa"/>
          </w:tcPr>
          <w:p>
            <w:pPr>
              <w:jc w:val="right"/>
              <w:spacing w:before="10" w:after="10"/>
            </w:pPr>
            <w:r/>
            <w:r>
              <w:rPr>
                <w:sz w:val="16"/>
              </w:rPr>
              <w:t>1.25</w:t>
            </w:r>
          </w:p>
        </w:tc>
        <w:tc>
          <w:tcPr>
            <w:tcW w:w="650" w:type="dxa"/>
          </w:tcPr>
          <w:p>
            <w:pPr>
              <w:jc w:val="right"/>
              <w:spacing w:before="10" w:after="10"/>
            </w:pPr>
            <w:r/>
            <w:r>
              <w:rPr>
                <w:sz w:val="16"/>
              </w:rPr>
              <w:t>$7.84</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$1.54</w:t>
            </w:r>
          </w:p>
        </w:tc>
        <w:tc>
          <w:tcPr>
            <w:tcW w:w="750" w:type="dxa"/>
          </w:tcPr>
          <w:p>
            <w:pPr>
              <w:jc w:val="right"/>
              <w:spacing w:before="10" w:after="10"/>
            </w:pPr>
            <w:r/>
            <w:r>
              <w:rPr>
                <w:sz w:val="16"/>
              </w:rPr>
              <w:t>$0.165</w:t>
            </w:r>
          </w:p>
        </w:tc>
      </w:tr>
      <w:tr>
        <w:tc>
          <w:tcPr>
            <w:tcW w:w="1500" w:type="dxa"/>
          </w:tcPr>
          <w:p>
            <w:pPr>
              <w:spacing w:before="10" w:after="10"/>
            </w:pPr>
            <w:r/>
            <w:r>
              <w:rPr>
                <w:sz w:val="16"/>
              </w:rPr>
              <w:t>Bulgaria</w:t>
            </w:r>
          </w:p>
        </w:tc>
        <w:tc>
          <w:tcPr>
            <w:tcW w:w="650" w:type="dxa"/>
          </w:tcPr>
          <w:p>
            <w:pPr>
              <w:spacing w:before="10" w:after="10"/>
            </w:pPr>
            <w:r/>
            <w:r>
              <w:rPr>
                <w:sz w:val="16"/>
              </w:rPr>
              <w:t>$0.155</w:t>
            </w:r>
          </w:p>
        </w:tc>
        <w:tc>
          <w:tcPr>
            <w:tcW w:w="550" w:type="dxa"/>
          </w:tcPr>
          <w:p>
            <w:pPr>
              <w:jc w:val="right"/>
              <w:spacing w:before="10" w:after="10"/>
            </w:pPr>
            <w:r/>
            <w:r>
              <w:rPr>
                <w:sz w:val="16"/>
              </w:rPr>
              <w:t>23.9</w:t>
            </w:r>
          </w:p>
        </w:tc>
        <w:tc>
          <w:tcPr>
            <w:tcW w:w="500" w:type="dxa"/>
          </w:tcPr>
          <w:p>
            <w:pPr>
              <w:jc w:val="right"/>
              <w:spacing w:before="10" w:after="10"/>
            </w:pPr>
            <w:r/>
            <w:r>
              <w:rPr>
                <w:sz w:val="16"/>
              </w:rPr>
              <w:t>1.21</w:t>
            </w:r>
          </w:p>
        </w:tc>
        <w:tc>
          <w:tcPr>
            <w:tcW w:w="650" w:type="dxa"/>
          </w:tcPr>
          <w:p>
            <w:pPr>
              <w:jc w:val="right"/>
              <w:spacing w:before="10" w:after="10"/>
            </w:pPr>
            <w:r/>
            <w:r>
              <w:rPr>
                <w:sz w:val="16"/>
              </w:rPr>
              <w:t>$10.31</w:t>
            </w:r>
          </w:p>
        </w:tc>
        <w:tc>
          <w:tcPr>
            <w:tcW w:w="650" w:type="dxa"/>
          </w:tcPr>
          <w:p>
            <w:pPr>
              <w:jc w:val="right"/>
              <w:spacing w:before="10" w:after="10"/>
            </w:pPr>
            <w:r/>
            <w:r>
              <w:rPr>
                <w:sz w:val="16"/>
              </w:rPr>
              <w:t>75</w:t>
            </w:r>
          </w:p>
        </w:tc>
        <w:tc>
          <w:tcPr>
            <w:tcW w:w="550" w:type="dxa"/>
          </w:tcPr>
          <w:p>
            <w:pPr>
              <w:jc w:val="right"/>
              <w:spacing w:before="10" w:after="10"/>
            </w:pPr>
            <w:r/>
            <w:r>
              <w:rPr>
                <w:sz w:val="16"/>
              </w:rPr>
              <w:t>0.1</w:t>
            </w:r>
          </w:p>
        </w:tc>
        <w:tc>
          <w:tcPr>
            <w:tcW w:w="700" w:type="dxa"/>
          </w:tcPr>
          <w:p>
            <w:pPr>
              <w:jc w:val="right"/>
              <w:spacing w:before="10" w:after="10"/>
            </w:pPr>
            <w:r/>
            <w:r>
              <w:rPr>
                <w:sz w:val="16"/>
              </w:rPr>
              <w:t>$1.54</w:t>
            </w:r>
          </w:p>
        </w:tc>
        <w:tc>
          <w:tcPr>
            <w:tcW w:w="750" w:type="dxa"/>
          </w:tcPr>
          <w:p>
            <w:pPr>
              <w:jc w:val="right"/>
              <w:spacing w:before="10" w:after="10"/>
            </w:pPr>
            <w:r/>
            <w:r>
              <w:rPr>
                <w:sz w:val="16"/>
              </w:rPr>
              <w:t>$0.155</w:t>
            </w:r>
          </w:p>
        </w:tc>
      </w:tr>
      <w:tr>
        <w:tc>
          <w:tcPr>
            <w:tcW w:w="1500" w:type="dxa"/>
          </w:tcPr>
          <w:p>
            <w:pPr>
              <w:spacing w:before="10" w:after="10"/>
            </w:pPr>
            <w:r/>
            <w:r>
              <w:rPr>
                <w:sz w:val="16"/>
              </w:rPr>
              <w:t>Slovakia</w:t>
            </w:r>
          </w:p>
        </w:tc>
        <w:tc>
          <w:tcPr>
            <w:tcW w:w="650" w:type="dxa"/>
          </w:tcPr>
          <w:p>
            <w:pPr>
              <w:spacing w:before="10" w:after="10"/>
            </w:pPr>
            <w:r/>
            <w:r>
              <w:rPr>
                <w:sz w:val="16"/>
              </w:rPr>
              <w:t>$0.164</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50" w:type="dxa"/>
          </w:tcPr>
          <w:p>
            <w:pPr>
              <w:jc w:val="right"/>
              <w:spacing w:before="10" w:after="10"/>
            </w:pPr>
            <w:r/>
            <w:r>
              <w:rPr>
                <w:sz w:val="16"/>
              </w:rPr>
              <w:t>$10.02</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$1.55</w:t>
            </w:r>
          </w:p>
        </w:tc>
        <w:tc>
          <w:tcPr>
            <w:tcW w:w="750" w:type="dxa"/>
          </w:tcPr>
          <w:p>
            <w:pPr>
              <w:jc w:val="right"/>
              <w:spacing w:before="10" w:after="10"/>
            </w:pPr>
            <w:r/>
            <w:r>
              <w:rPr>
                <w:sz w:val="16"/>
              </w:rPr>
              <w:t>$0.164</w:t>
            </w:r>
          </w:p>
        </w:tc>
      </w:tr>
      <w:tr>
        <w:tc>
          <w:tcPr>
            <w:tcW w:w="1500" w:type="dxa"/>
          </w:tcPr>
          <w:p>
            <w:pPr>
              <w:spacing w:before="10" w:after="10"/>
            </w:pPr>
            <w:r/>
            <w:r>
              <w:rPr>
                <w:sz w:val="16"/>
              </w:rPr>
              <w:t>Austria</w:t>
            </w:r>
          </w:p>
        </w:tc>
        <w:tc>
          <w:tcPr>
            <w:tcW w:w="650" w:type="dxa"/>
          </w:tcPr>
          <w:p>
            <w:pPr>
              <w:spacing w:before="10" w:after="10"/>
            </w:pPr>
            <w:r/>
            <w:r>
              <w:rPr>
                <w:sz w:val="16"/>
              </w:rPr>
              <w:t>$0.160</w:t>
            </w:r>
          </w:p>
        </w:tc>
        <w:tc>
          <w:tcPr>
            <w:tcW w:w="550" w:type="dxa"/>
          </w:tcPr>
          <w:p>
            <w:pPr>
              <w:jc w:val="right"/>
              <w:spacing w:before="10" w:after="10"/>
            </w:pPr>
            <w:r/>
            <w:r>
              <w:rPr>
                <w:sz w:val="16"/>
              </w:rPr>
              <w:t>18.6</w:t>
            </w:r>
          </w:p>
        </w:tc>
        <w:tc>
          <w:tcPr>
            <w:tcW w:w="500" w:type="dxa"/>
          </w:tcPr>
          <w:p>
            <w:pPr>
              <w:jc w:val="right"/>
              <w:spacing w:before="10" w:after="10"/>
            </w:pPr>
            <w:r/>
            <w:r>
              <w:rPr>
                <w:sz w:val="16"/>
              </w:rPr>
              <w:t>1.13</w:t>
            </w:r>
          </w:p>
        </w:tc>
        <w:tc>
          <w:tcPr>
            <w:tcW w:w="650" w:type="dxa"/>
          </w:tcPr>
          <w:p>
            <w:pPr>
              <w:jc w:val="right"/>
              <w:spacing w:before="10" w:after="10"/>
            </w:pPr>
            <w:r/>
            <w:r>
              <w:rPr>
                <w:sz w:val="16"/>
              </w:rPr>
              <w:t>$11.81</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$1.55</w:t>
            </w:r>
          </w:p>
        </w:tc>
        <w:tc>
          <w:tcPr>
            <w:tcW w:w="750" w:type="dxa"/>
          </w:tcPr>
          <w:p>
            <w:pPr>
              <w:jc w:val="right"/>
              <w:spacing w:before="10" w:after="10"/>
            </w:pPr>
            <w:r/>
            <w:r>
              <w:rPr>
                <w:sz w:val="16"/>
              </w:rPr>
              <w:t>$0.160</w:t>
            </w:r>
          </w:p>
        </w:tc>
      </w:tr>
      <w:tr>
        <w:tc>
          <w:tcPr>
            <w:tcW w:w="1500" w:type="dxa"/>
          </w:tcPr>
          <w:p>
            <w:pPr>
              <w:spacing w:before="10" w:after="10"/>
            </w:pPr>
            <w:r/>
            <w:r>
              <w:rPr>
                <w:sz w:val="16"/>
              </w:rPr>
              <w:t>Italy</w:t>
            </w:r>
          </w:p>
        </w:tc>
        <w:tc>
          <w:tcPr>
            <w:tcW w:w="650" w:type="dxa"/>
          </w:tcPr>
          <w:p>
            <w:pPr>
              <w:spacing w:before="10" w:after="10"/>
            </w:pPr>
            <w:r/>
            <w:r>
              <w:rPr>
                <w:sz w:val="16"/>
              </w:rPr>
              <w:t>$0.162</w:t>
            </w:r>
          </w:p>
        </w:tc>
        <w:tc>
          <w:tcPr>
            <w:tcW w:w="550" w:type="dxa"/>
          </w:tcPr>
          <w:p>
            <w:pPr>
              <w:jc w:val="right"/>
              <w:spacing w:before="10" w:after="10"/>
            </w:pPr>
            <w:r/>
            <w:r>
              <w:rPr>
                <w:sz w:val="16"/>
              </w:rPr>
              <w:t>24.0</w:t>
            </w:r>
          </w:p>
        </w:tc>
        <w:tc>
          <w:tcPr>
            <w:tcW w:w="500" w:type="dxa"/>
          </w:tcPr>
          <w:p>
            <w:pPr>
              <w:jc w:val="right"/>
              <w:spacing w:before="10" w:after="10"/>
            </w:pPr>
            <w:r/>
            <w:r>
              <w:rPr>
                <w:sz w:val="16"/>
              </w:rPr>
              <w:t>1.22</w:t>
            </w:r>
          </w:p>
        </w:tc>
        <w:tc>
          <w:tcPr>
            <w:tcW w:w="650" w:type="dxa"/>
          </w:tcPr>
          <w:p>
            <w:pPr>
              <w:jc w:val="right"/>
              <w:spacing w:before="10" w:after="10"/>
            </w:pPr>
            <w:r/>
            <w:r>
              <w:rPr>
                <w:sz w:val="16"/>
              </w:rPr>
              <w:t>$9.79</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700" w:type="dxa"/>
          </w:tcPr>
          <w:p>
            <w:pPr>
              <w:jc w:val="right"/>
              <w:spacing w:before="10" w:after="10"/>
            </w:pPr>
            <w:r/>
            <w:r>
              <w:rPr>
                <w:sz w:val="16"/>
              </w:rPr>
              <w:t>$1.55</w:t>
            </w:r>
          </w:p>
        </w:tc>
        <w:tc>
          <w:tcPr>
            <w:tcW w:w="750" w:type="dxa"/>
          </w:tcPr>
          <w:p>
            <w:pPr>
              <w:jc w:val="right"/>
              <w:spacing w:before="10" w:after="10"/>
            </w:pPr>
            <w:r/>
            <w:r>
              <w:rPr>
                <w:sz w:val="16"/>
              </w:rPr>
              <w:t>$0.162</w:t>
            </w:r>
          </w:p>
        </w:tc>
      </w:tr>
      <w:tr>
        <w:tc>
          <w:tcPr>
            <w:tcW w:w="1500" w:type="dxa"/>
          </w:tcPr>
          <w:p>
            <w:pPr>
              <w:spacing w:before="10" w:after="10"/>
            </w:pPr>
            <w:r/>
            <w:r>
              <w:rPr>
                <w:sz w:val="16"/>
              </w:rPr>
              <w:t>Japan</w:t>
            </w:r>
          </w:p>
        </w:tc>
        <w:tc>
          <w:tcPr>
            <w:tcW w:w="650" w:type="dxa"/>
          </w:tcPr>
          <w:p>
            <w:pPr>
              <w:spacing w:before="10" w:after="10"/>
            </w:pPr>
            <w:r/>
            <w:r>
              <w:rPr>
                <w:sz w:val="16"/>
              </w:rPr>
              <w:t>$0.135</w:t>
            </w:r>
          </w:p>
        </w:tc>
        <w:tc>
          <w:tcPr>
            <w:tcW w:w="550" w:type="dxa"/>
          </w:tcPr>
          <w:p>
            <w:pPr>
              <w:jc w:val="right"/>
              <w:spacing w:before="10" w:after="10"/>
            </w:pPr>
            <w:r/>
            <w:r>
              <w:rPr>
                <w:sz w:val="16"/>
              </w:rPr>
              <w:t>25.2</w:t>
            </w:r>
          </w:p>
        </w:tc>
        <w:tc>
          <w:tcPr>
            <w:tcW w:w="500" w:type="dxa"/>
          </w:tcPr>
          <w:p>
            <w:pPr>
              <w:jc w:val="right"/>
              <w:spacing w:before="10" w:after="10"/>
            </w:pPr>
            <w:r/>
            <w:r>
              <w:rPr>
                <w:sz w:val="16"/>
              </w:rPr>
              <w:t>1.23</w:t>
            </w:r>
          </w:p>
        </w:tc>
        <w:tc>
          <w:tcPr>
            <w:tcW w:w="650" w:type="dxa"/>
          </w:tcPr>
          <w:p>
            <w:pPr>
              <w:jc w:val="right"/>
              <w:spacing w:before="10" w:after="10"/>
            </w:pPr>
            <w:r/>
            <w:r>
              <w:rPr>
                <w:sz w:val="16"/>
              </w:rPr>
              <w:t>$14.64</w:t>
            </w:r>
          </w:p>
        </w:tc>
        <w:tc>
          <w:tcPr>
            <w:tcW w:w="650" w:type="dxa"/>
          </w:tcPr>
          <w:p>
            <w:pPr>
              <w:jc w:val="right"/>
              <w:spacing w:before="10" w:after="10"/>
            </w:pPr>
            <w:r/>
            <w:r>
              <w:rPr>
                <w:sz w:val="16"/>
              </w:rPr>
              <w:t>2,400</w:t>
            </w:r>
          </w:p>
        </w:tc>
        <w:tc>
          <w:tcPr>
            <w:tcW w:w="550" w:type="dxa"/>
          </w:tcPr>
          <w:p>
            <w:pPr>
              <w:jc w:val="right"/>
              <w:spacing w:before="10" w:after="10"/>
            </w:pPr>
            <w:r/>
            <w:r>
              <w:rPr>
                <w:sz w:val="16"/>
              </w:rPr>
              <w:t>1.9</w:t>
            </w:r>
          </w:p>
        </w:tc>
        <w:tc>
          <w:tcPr>
            <w:tcW w:w="700" w:type="dxa"/>
          </w:tcPr>
          <w:p>
            <w:pPr>
              <w:jc w:val="right"/>
              <w:spacing w:before="10" w:after="10"/>
            </w:pPr>
            <w:r/>
            <w:r>
              <w:rPr>
                <w:sz w:val="16"/>
              </w:rPr>
              <w:t>$1.55</w:t>
            </w:r>
          </w:p>
        </w:tc>
        <w:tc>
          <w:tcPr>
            <w:tcW w:w="750" w:type="dxa"/>
          </w:tcPr>
          <w:p>
            <w:pPr>
              <w:jc w:val="right"/>
              <w:spacing w:before="10" w:after="10"/>
            </w:pPr>
            <w:r/>
            <w:r>
              <w:rPr>
                <w:sz w:val="16"/>
              </w:rPr>
              <w:t>$0.135</w:t>
            </w:r>
          </w:p>
        </w:tc>
      </w:tr>
      <w:tr>
        <w:tc>
          <w:tcPr>
            <w:tcW w:w="1500" w:type="dxa"/>
          </w:tcPr>
          <w:p>
            <w:pPr>
              <w:spacing w:before="10" w:after="10"/>
            </w:pPr>
            <w:r/>
            <w:r>
              <w:rPr>
                <w:sz w:val="16"/>
              </w:rPr>
              <w:t>Czechia</w:t>
            </w:r>
          </w:p>
        </w:tc>
        <w:tc>
          <w:tcPr>
            <w:tcW w:w="650" w:type="dxa"/>
          </w:tcPr>
          <w:p>
            <w:pPr>
              <w:spacing w:before="10" w:after="10"/>
            </w:pPr>
            <w:r/>
            <w:r>
              <w:rPr>
                <w:sz w:val="16"/>
              </w:rPr>
              <w:t>$0.172</w:t>
            </w:r>
          </w:p>
        </w:tc>
        <w:tc>
          <w:tcPr>
            <w:tcW w:w="550" w:type="dxa"/>
          </w:tcPr>
          <w:p>
            <w:pPr>
              <w:jc w:val="right"/>
              <w:spacing w:before="10" w:after="10"/>
            </w:pPr>
            <w:r/>
            <w:r>
              <w:rPr>
                <w:sz w:val="16"/>
              </w:rPr>
              <w:t>19.1</w:t>
            </w:r>
          </w:p>
        </w:tc>
        <w:tc>
          <w:tcPr>
            <w:tcW w:w="500" w:type="dxa"/>
          </w:tcPr>
          <w:p>
            <w:pPr>
              <w:jc w:val="right"/>
              <w:spacing w:before="10" w:after="10"/>
            </w:pPr>
            <w:r/>
            <w:r>
              <w:rPr>
                <w:sz w:val="16"/>
              </w:rPr>
              <w:t>1.14</w:t>
            </w:r>
          </w:p>
        </w:tc>
        <w:tc>
          <w:tcPr>
            <w:tcW w:w="650" w:type="dxa"/>
          </w:tcPr>
          <w:p>
            <w:pPr>
              <w:jc w:val="right"/>
              <w:spacing w:before="10" w:after="10"/>
            </w:pPr>
            <w:r/>
            <w:r>
              <w:rPr>
                <w:sz w:val="16"/>
              </w:rPr>
              <w:t>$10.93</w:t>
            </w:r>
          </w:p>
        </w:tc>
        <w:tc>
          <w:tcPr>
            <w:tcW w:w="650" w:type="dxa"/>
          </w:tcPr>
          <w:p>
            <w:pPr>
              <w:jc w:val="right"/>
              <w:spacing w:before="10" w:after="10"/>
            </w:pPr>
            <w:r/>
            <w:r>
              <w:rPr>
                <w:sz w:val="16"/>
              </w:rPr>
              <w:t>130</w:t>
            </w:r>
          </w:p>
        </w:tc>
        <w:tc>
          <w:tcPr>
            <w:tcW w:w="550" w:type="dxa"/>
          </w:tcPr>
          <w:p>
            <w:pPr>
              <w:jc w:val="right"/>
              <w:spacing w:before="10" w:after="10"/>
            </w:pPr>
            <w:r/>
            <w:r>
              <w:rPr>
                <w:sz w:val="16"/>
              </w:rPr>
              <w:t>0.1</w:t>
            </w:r>
          </w:p>
        </w:tc>
        <w:tc>
          <w:tcPr>
            <w:tcW w:w="700" w:type="dxa"/>
          </w:tcPr>
          <w:p>
            <w:pPr>
              <w:jc w:val="right"/>
              <w:spacing w:before="10" w:after="10"/>
            </w:pPr>
            <w:r/>
            <w:r>
              <w:rPr>
                <w:sz w:val="16"/>
              </w:rPr>
              <w:t>$1.55</w:t>
            </w:r>
          </w:p>
        </w:tc>
        <w:tc>
          <w:tcPr>
            <w:tcW w:w="750" w:type="dxa"/>
          </w:tcPr>
          <w:p>
            <w:pPr>
              <w:jc w:val="right"/>
              <w:spacing w:before="10" w:after="10"/>
            </w:pPr>
            <w:r/>
            <w:r>
              <w:rPr>
                <w:sz w:val="16"/>
              </w:rPr>
              <w:t>$0.172</w:t>
            </w:r>
          </w:p>
        </w:tc>
      </w:tr>
      <w:tr>
        <w:tc>
          <w:tcPr>
            <w:tcW w:w="1500" w:type="dxa"/>
          </w:tcPr>
          <w:p>
            <w:pPr>
              <w:spacing w:before="10" w:after="10"/>
            </w:pPr>
            <w:r/>
            <w:r>
              <w:rPr>
                <w:sz w:val="16"/>
              </w:rPr>
              <w:t>Switzerland</w:t>
            </w:r>
          </w:p>
        </w:tc>
        <w:tc>
          <w:tcPr>
            <w:tcW w:w="650" w:type="dxa"/>
          </w:tcPr>
          <w:p>
            <w:pPr>
              <w:spacing w:before="10" w:after="10"/>
            </w:pPr>
            <w:r/>
            <w:r>
              <w:rPr>
                <w:sz w:val="16"/>
              </w:rPr>
              <w:t>$0.160</w:t>
            </w:r>
          </w:p>
        </w:tc>
        <w:tc>
          <w:tcPr>
            <w:tcW w:w="550" w:type="dxa"/>
          </w:tcPr>
          <w:p>
            <w:pPr>
              <w:jc w:val="right"/>
              <w:spacing w:before="10" w:after="10"/>
            </w:pPr>
            <w:r/>
            <w:r>
              <w:rPr>
                <w:sz w:val="16"/>
              </w:rPr>
              <w:t>15.7</w:t>
            </w:r>
          </w:p>
        </w:tc>
        <w:tc>
          <w:tcPr>
            <w:tcW w:w="500" w:type="dxa"/>
          </w:tcPr>
          <w:p>
            <w:pPr>
              <w:jc w:val="right"/>
              <w:spacing w:before="10" w:after="10"/>
            </w:pPr>
            <w:r/>
            <w:r>
              <w:rPr>
                <w:sz w:val="16"/>
              </w:rPr>
              <w:t>1.09</w:t>
            </w:r>
          </w:p>
        </w:tc>
        <w:tc>
          <w:tcPr>
            <w:tcW w:w="650" w:type="dxa"/>
          </w:tcPr>
          <w:p>
            <w:pPr>
              <w:jc w:val="right"/>
              <w:spacing w:before="10" w:after="10"/>
            </w:pPr>
            <w:r/>
            <w:r>
              <w:rPr>
                <w:sz w:val="16"/>
              </w:rPr>
              <w:t>$14.24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$1.56</w:t>
            </w:r>
          </w:p>
        </w:tc>
        <w:tc>
          <w:tcPr>
            <w:tcW w:w="750" w:type="dxa"/>
          </w:tcPr>
          <w:p>
            <w:pPr>
              <w:jc w:val="right"/>
              <w:spacing w:before="10" w:after="10"/>
            </w:pPr>
            <w:r/>
            <w:r>
              <w:rPr>
                <w:sz w:val="16"/>
              </w:rPr>
              <w:t>$0.160</w:t>
            </w:r>
          </w:p>
        </w:tc>
      </w:tr>
      <w:tr>
        <w:tc>
          <w:tcPr>
            <w:tcW w:w="1500" w:type="dxa"/>
          </w:tcPr>
          <w:p>
            <w:pPr>
              <w:spacing w:before="10" w:after="10"/>
            </w:pPr>
            <w:r/>
            <w:r>
              <w:rPr>
                <w:sz w:val="16"/>
              </w:rPr>
              <w:t>Hungary</w:t>
            </w:r>
          </w:p>
        </w:tc>
        <w:tc>
          <w:tcPr>
            <w:tcW w:w="650" w:type="dxa"/>
          </w:tcPr>
          <w:p>
            <w:pPr>
              <w:spacing w:before="10" w:after="10"/>
            </w:pPr>
            <w:r/>
            <w:r>
              <w:rPr>
                <w:sz w:val="16"/>
              </w:rPr>
              <w:t>$0.176</w:t>
            </w:r>
          </w:p>
        </w:tc>
        <w:tc>
          <w:tcPr>
            <w:tcW w:w="550" w:type="dxa"/>
          </w:tcPr>
          <w:p>
            <w:pPr>
              <w:jc w:val="right"/>
              <w:spacing w:before="10" w:after="10"/>
            </w:pPr>
            <w:r/>
            <w:r>
              <w:rPr>
                <w:sz w:val="16"/>
              </w:rPr>
              <w:t>23.6</w:t>
            </w:r>
          </w:p>
        </w:tc>
        <w:tc>
          <w:tcPr>
            <w:tcW w:w="500" w:type="dxa"/>
          </w:tcPr>
          <w:p>
            <w:pPr>
              <w:jc w:val="right"/>
              <w:spacing w:before="10" w:after="10"/>
            </w:pPr>
            <w:r/>
            <w:r>
              <w:rPr>
                <w:sz w:val="16"/>
              </w:rPr>
              <w:t>1.21</w:t>
            </w:r>
          </w:p>
        </w:tc>
        <w:tc>
          <w:tcPr>
            <w:tcW w:w="650" w:type="dxa"/>
          </w:tcPr>
          <w:p>
            <w:pPr>
              <w:jc w:val="right"/>
              <w:spacing w:before="10" w:after="10"/>
            </w:pPr>
            <w:r/>
            <w:r>
              <w:rPr>
                <w:sz w:val="16"/>
              </w:rPr>
              <w:t>$10.73</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$1.56</w:t>
            </w:r>
          </w:p>
        </w:tc>
        <w:tc>
          <w:tcPr>
            <w:tcW w:w="750" w:type="dxa"/>
          </w:tcPr>
          <w:p>
            <w:pPr>
              <w:jc w:val="right"/>
              <w:spacing w:before="10" w:after="10"/>
            </w:pPr>
            <w:r/>
            <w:r>
              <w:rPr>
                <w:sz w:val="16"/>
              </w:rPr>
              <w:t>$0.176</w:t>
            </w:r>
          </w:p>
        </w:tc>
      </w:tr>
      <w:tr>
        <w:tc>
          <w:tcPr>
            <w:tcW w:w="1500" w:type="dxa"/>
          </w:tcPr>
          <w:p>
            <w:pPr>
              <w:spacing w:before="10" w:after="10"/>
            </w:pPr>
            <w:r/>
            <w:r>
              <w:rPr>
                <w:sz w:val="16"/>
              </w:rPr>
              <w:t>Singapore</w:t>
            </w:r>
          </w:p>
        </w:tc>
        <w:tc>
          <w:tcPr>
            <w:tcW w:w="650" w:type="dxa"/>
          </w:tcPr>
          <w:p>
            <w:pPr>
              <w:spacing w:before="10" w:after="10"/>
            </w:pPr>
            <w:r/>
            <w:r>
              <w:rPr>
                <w:sz w:val="16"/>
              </w:rPr>
              <w:t>$0.145</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50" w:type="dxa"/>
          </w:tcPr>
          <w:p>
            <w:pPr>
              <w:jc w:val="right"/>
              <w:spacing w:before="10" w:after="10"/>
            </w:pPr>
            <w:r/>
            <w:r>
              <w:rPr>
                <w:sz w:val="16"/>
              </w:rPr>
              <w:t>$14.53</w:t>
            </w:r>
          </w:p>
        </w:tc>
        <w:tc>
          <w:tcPr>
            <w:tcW w:w="650" w:type="dxa"/>
          </w:tcPr>
          <w:p>
            <w:pPr>
              <w:jc w:val="right"/>
              <w:spacing w:before="10" w:after="10"/>
            </w:pPr>
            <w:r/>
            <w:r>
              <w:rPr>
                <w:sz w:val="16"/>
              </w:rPr>
              <w:t>1,130</w:t>
            </w:r>
          </w:p>
        </w:tc>
        <w:tc>
          <w:tcPr>
            <w:tcW w:w="550" w:type="dxa"/>
          </w:tcPr>
          <w:p>
            <w:pPr>
              <w:jc w:val="right"/>
              <w:spacing w:before="10" w:after="10"/>
            </w:pPr>
            <w:r/>
            <w:r>
              <w:rPr>
                <w:sz w:val="16"/>
              </w:rPr>
              <w:t>0.9</w:t>
            </w:r>
          </w:p>
        </w:tc>
        <w:tc>
          <w:tcPr>
            <w:tcW w:w="700" w:type="dxa"/>
          </w:tcPr>
          <w:p>
            <w:pPr>
              <w:jc w:val="right"/>
              <w:spacing w:before="10" w:after="10"/>
            </w:pPr>
            <w:r/>
            <w:r>
              <w:rPr>
                <w:sz w:val="16"/>
              </w:rPr>
              <w:t>$1.57</w:t>
            </w:r>
          </w:p>
        </w:tc>
        <w:tc>
          <w:tcPr>
            <w:tcW w:w="750" w:type="dxa"/>
          </w:tcPr>
          <w:p>
            <w:pPr>
              <w:jc w:val="right"/>
              <w:spacing w:before="10" w:after="10"/>
            </w:pPr>
            <w:r/>
            <w:r>
              <w:rPr>
                <w:sz w:val="16"/>
              </w:rPr>
              <w:t>$0.145</w:t>
            </w:r>
          </w:p>
        </w:tc>
      </w:tr>
      <w:tr>
        <w:tc>
          <w:tcPr>
            <w:tcW w:w="1500" w:type="dxa"/>
          </w:tcPr>
          <w:p>
            <w:pPr>
              <w:spacing w:before="10" w:after="10"/>
            </w:pPr>
            <w:r/>
            <w:r>
              <w:rPr>
                <w:sz w:val="16"/>
              </w:rPr>
              <w:t>Cyprus</w:t>
            </w:r>
          </w:p>
        </w:tc>
        <w:tc>
          <w:tcPr>
            <w:tcW w:w="650" w:type="dxa"/>
          </w:tcPr>
          <w:p>
            <w:pPr>
              <w:spacing w:before="10" w:after="10"/>
            </w:pPr>
            <w:r/>
            <w:r>
              <w:rPr>
                <w:sz w:val="16"/>
              </w:rPr>
              <w:t>$0.185</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50" w:type="dxa"/>
          </w:tcPr>
          <w:p>
            <w:pPr>
              <w:jc w:val="right"/>
              <w:spacing w:before="10" w:after="10"/>
            </w:pPr>
            <w:r/>
            <w:r>
              <w:rPr>
                <w:sz w:val="16"/>
              </w:rPr>
              <w:t>$10.29</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
              <w:rPr>
                <w:sz w:val="16"/>
              </w:rPr>
              <w:t>$0.185</w:t>
            </w:r>
          </w:p>
        </w:tc>
      </w:tr>
      <w:tr>
        <w:tc>
          <w:tcPr>
            <w:tcW w:w="1500" w:type="dxa"/>
          </w:tcPr>
          <w:p>
            <w:pPr>
              <w:spacing w:before="10" w:after="10"/>
            </w:pPr>
            <w:r/>
            <w:r>
              <w:rPr>
                <w:sz w:val="16"/>
              </w:rPr>
              <w:t>Senegal</w:t>
            </w:r>
          </w:p>
        </w:tc>
        <w:tc>
          <w:tcPr>
            <w:tcW w:w="650" w:type="dxa"/>
          </w:tcPr>
          <w:p>
            <w:pPr>
              <w:spacing w:before="10" w:after="10"/>
            </w:pPr>
            <w:r/>
            <w:r>
              <w:rPr>
                <w:sz w:val="16"/>
              </w:rPr>
              <w:t>$0.180</w:t>
            </w:r>
          </w:p>
        </w:tc>
        <w:tc>
          <w:tcPr>
            <w:tcW w:w="550" w:type="dxa"/>
          </w:tcPr>
          <w:p>
            <w:pPr>
              <w:jc w:val="right"/>
              <w:spacing w:before="10" w:after="10"/>
            </w:pPr>
            <w:r/>
            <w:r>
              <w:rPr>
                <w:sz w:val="16"/>
              </w:rPr>
              <w:t>32.4</w:t>
            </w:r>
          </w:p>
        </w:tc>
        <w:tc>
          <w:tcPr>
            <w:tcW w:w="500" w:type="dxa"/>
          </w:tcPr>
          <w:p>
            <w:pPr>
              <w:jc w:val="right"/>
              <w:spacing w:before="10" w:after="10"/>
            </w:pPr>
            <w:r/>
            <w:r>
              <w:rPr>
                <w:sz w:val="16"/>
              </w:rPr>
              <w:t>1.34</w:t>
            </w:r>
          </w:p>
        </w:tc>
        <w:tc>
          <w:tcPr>
            <w:tcW w:w="650" w:type="dxa"/>
          </w:tcPr>
          <w:p>
            <w:pPr>
              <w:jc w:val="right"/>
              <w:spacing w:before="10" w:after="10"/>
            </w:pPr>
            <w:r/>
            <w:r>
              <w:rPr>
                <w:sz w:val="16"/>
              </w:rPr>
              <w:t>$10.50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
              <w:rPr>
                <w:sz w:val="16"/>
              </w:rPr>
              <w:t>$0.180</w:t>
            </w:r>
          </w:p>
        </w:tc>
      </w:tr>
      <w:tr>
        <w:tc>
          <w:tcPr>
            <w:tcW w:w="1500" w:type="dxa"/>
          </w:tcPr>
          <w:p>
            <w:pPr>
              <w:spacing w:before="10" w:after="10"/>
            </w:pPr>
            <w:r/>
            <w:r>
              <w:rPr>
                <w:sz w:val="16"/>
              </w:rPr>
              <w:t>Croatia</w:t>
            </w:r>
          </w:p>
        </w:tc>
        <w:tc>
          <w:tcPr>
            <w:tcW w:w="650" w:type="dxa"/>
          </w:tcPr>
          <w:p>
            <w:pPr>
              <w:spacing w:before="10" w:after="10"/>
            </w:pPr>
            <w:r/>
            <w:r>
              <w:rPr>
                <w:sz w:val="16"/>
              </w:rPr>
              <w:t>$0.206</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50" w:type="dxa"/>
          </w:tcPr>
          <w:p>
            <w:pPr>
              <w:jc w:val="right"/>
              <w:spacing w:before="10" w:after="10"/>
            </w:pPr>
            <w:r/>
            <w:r>
              <w:rPr>
                <w:sz w:val="16"/>
              </w:rPr>
              <w:t>$9.77</w:t>
            </w:r>
          </w:p>
        </w:tc>
        <w:tc>
          <w:tcPr>
            <w:tcW w:w="650" w:type="dxa"/>
          </w:tcPr>
          <w:p>
            <w:pPr>
              <w:jc w:val="right"/>
              <w:spacing w:before="10" w:after="10"/>
            </w:pPr>
            <w:r/>
            <w:r>
              <w:rPr>
                <w:sz w:val="16"/>
              </w:rPr>
              <w:t>30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
              <w:rPr>
                <w:sz w:val="16"/>
              </w:rPr>
              <w:t>$0.206</w:t>
            </w:r>
          </w:p>
        </w:tc>
      </w:tr>
      <w:tr>
        <w:tc>
          <w:tcPr>
            <w:tcW w:w="1500" w:type="dxa"/>
          </w:tcPr>
          <w:p>
            <w:pPr>
              <w:spacing w:before="10" w:after="10"/>
            </w:pPr>
            <w:r/>
            <w:r>
              <w:rPr>
                <w:sz w:val="16"/>
              </w:rPr>
              <w:t>Ireland</w:t>
            </w:r>
          </w:p>
        </w:tc>
        <w:tc>
          <w:tcPr>
            <w:tcW w:w="650" w:type="dxa"/>
          </w:tcPr>
          <w:p>
            <w:pPr>
              <w:spacing w:before="10" w:after="10"/>
            </w:pPr>
            <w:r/>
            <w:r>
              <w:rPr>
                <w:sz w:val="16"/>
              </w:rPr>
              <w:t>$0.228</w:t>
            </w:r>
          </w:p>
        </w:tc>
        <w:tc>
          <w:tcPr>
            <w:tcW w:w="550" w:type="dxa"/>
          </w:tcPr>
          <w:p>
            <w:pPr>
              <w:jc w:val="right"/>
              <w:spacing w:before="10" w:after="10"/>
            </w:pPr>
            <w:r/>
            <w:r>
              <w:rPr>
                <w:sz w:val="16"/>
              </w:rPr>
              <w:t>15.3</w:t>
            </w:r>
          </w:p>
        </w:tc>
        <w:tc>
          <w:tcPr>
            <w:tcW w:w="500" w:type="dxa"/>
          </w:tcPr>
          <w:p>
            <w:pPr>
              <w:jc w:val="right"/>
              <w:spacing w:before="10" w:after="10"/>
            </w:pPr>
            <w:r/>
            <w:r>
              <w:rPr>
                <w:sz w:val="16"/>
              </w:rPr>
              <w:t>1.08</w:t>
            </w:r>
          </w:p>
        </w:tc>
        <w:tc>
          <w:tcPr>
            <w:tcW w:w="650" w:type="dxa"/>
          </w:tcPr>
          <w:p>
            <w:pPr>
              <w:jc w:val="right"/>
              <w:spacing w:before="10" w:after="10"/>
            </w:pPr>
            <w:r/>
            <w:r>
              <w:rPr>
                <w:sz w:val="16"/>
              </w:rPr>
              <w:t>$10.05</w:t>
            </w:r>
          </w:p>
        </w:tc>
        <w:tc>
          <w:tcPr>
            <w:tcW w:w="650" w:type="dxa"/>
          </w:tcPr>
          <w:p>
            <w:pPr>
              <w:jc w:val="right"/>
              <w:spacing w:before="10" w:after="10"/>
            </w:pPr>
            <w:r/>
            <w:r>
              <w:rPr>
                <w:sz w:val="16"/>
              </w:rPr>
              <w:t>1,260</w:t>
            </w:r>
          </w:p>
        </w:tc>
        <w:tc>
          <w:tcPr>
            <w:tcW w:w="550" w:type="dxa"/>
          </w:tcPr>
          <w:p>
            <w:pPr>
              <w:jc w:val="right"/>
              <w:spacing w:before="10" w:after="10"/>
            </w:pPr>
            <w:r/>
            <w:r>
              <w:rPr>
                <w:sz w:val="16"/>
              </w:rPr>
              <w:t>1.0</w:t>
            </w:r>
          </w:p>
        </w:tc>
        <w:tc>
          <w:tcPr>
            <w:tcW w:w="700" w:type="dxa"/>
          </w:tcPr>
          <w:p>
            <w:pPr>
              <w:jc w:val="right"/>
              <w:spacing w:before="10" w:after="10"/>
            </w:pPr>
            <w:r/>
            <w:r>
              <w:rPr>
                <w:sz w:val="16"/>
              </w:rPr>
              <w:t>$1.58</w:t>
            </w:r>
          </w:p>
        </w:tc>
        <w:tc>
          <w:tcPr>
            <w:tcW w:w="750" w:type="dxa"/>
          </w:tcPr>
          <w:p>
            <w:pPr>
              <w:jc w:val="right"/>
              <w:spacing w:before="10" w:after="10"/>
            </w:pPr>
            <w:r/>
            <w:r>
              <w:rPr>
                <w:sz w:val="16"/>
              </w:rPr>
              <w:t>$0.228</w:t>
            </w:r>
          </w:p>
        </w:tc>
      </w:tr>
      <w:tr>
        <w:tc>
          <w:tcPr>
            <w:tcBorders>
              <w:bottom w:val="double" w:sz="4" w:space="0" w:color="auto"/>
            </w:tcBorders>
            <w:tcW w:w="1500" w:type="dxa"/>
          </w:tcPr>
          <w:p>
            <w:pPr>
              <w:spacing w:before="10" w:after="10"/>
            </w:pPr>
            <w:r/>
            <w:r>
              <w:rPr>
                <w:sz w:val="16"/>
              </w:rPr>
              <w:t>Greenland</w:t>
            </w:r>
          </w:p>
        </w:tc>
        <w:tc>
          <w:tcPr>
            <w:tcBorders>
              <w:bottom w:val="double" w:sz="4" w:space="0" w:color="auto"/>
            </w:tcBorders>
            <w:tcW w:w="650" w:type="dxa"/>
          </w:tcPr>
          <w:p>
            <w:pPr>
              <w:spacing w:before="10" w:after="10"/>
            </w:pPr>
            <w:r/>
            <w:r>
              <w:rPr>
                <w:sz w:val="16"/>
              </w:rPr>
              <w:t>$0.263</w:t>
            </w:r>
          </w:p>
        </w:tc>
        <w:tc>
          <w:tcPr>
            <w:tcBorders>
              <w:bottom w:val="double" w:sz="4" w:space="0" w:color="auto"/>
            </w:tcBorders>
            <w:tcW w:w="550" w:type="dxa"/>
          </w:tcPr>
          <w:p>
            <w:pPr>
              <w:jc w:val="right"/>
              <w:spacing w:before="10" w:after="10"/>
            </w:pPr>
            <w:r/>
            <w:r>
              <w:rPr>
                <w:sz w:val="16"/>
              </w:rPr>
              <w:t>-3.1</w:t>
            </w:r>
          </w:p>
        </w:tc>
        <w:tc>
          <w:tcPr>
            <w:tcBorders>
              <w:bottom w:val="double" w:sz="4" w:space="0" w:color="auto"/>
            </w:tcBorders>
            <w:tcW w:w="500" w:type="dxa"/>
          </w:tcPr>
          <w:p>
            <w:pPr>
              <w:jc w:val="right"/>
              <w:spacing w:before="10" w:after="10"/>
            </w:pPr>
            <w:r/>
            <w:r>
              <w:rPr>
                <w:sz w:val="16"/>
              </w:rPr>
              <w:t>1.08</w:t>
            </w:r>
          </w:p>
        </w:tc>
        <w:tc>
          <w:tcPr>
            <w:tcBorders>
              <w:bottom w:val="double" w:sz="4" w:space="0" w:color="auto"/>
            </w:tcBorders>
            <w:tcW w:w="650" w:type="dxa"/>
          </w:tcPr>
          <w:p>
            <w:pPr>
              <w:jc w:val="right"/>
              <w:spacing w:before="10" w:after="10"/>
            </w:pPr>
            <w:r/>
            <w:r>
              <w:rPr>
                <w:sz w:val="16"/>
              </w:rPr>
              <w:t>$11.12</w:t>
            </w:r>
          </w:p>
        </w:tc>
        <w:tc>
          <w:tcPr>
            <w:tcBorders>
              <w:bottom w:val="double" w:sz="4" w:space="0" w:color="auto"/>
            </w:tcBorders>
            <w:tcW w:w="650" w:type="dxa"/>
          </w:tcPr>
          <w:p>
            <w:pPr>
              <w:jc w:val="right"/>
              <w:spacing w:before="10" w:after="10"/>
            </w:pPr>
            <w:r/>
            <w:r>
              <w:rPr>
                <w:sz w:val="16"/>
              </w:rPr>
              <w:t>5</w:t>
            </w:r>
          </w:p>
        </w:tc>
        <w:tc>
          <w:tcPr>
            <w:tcBorders>
              <w:bottom w:val="double" w:sz="4" w:space="0" w:color="auto"/>
            </w:tcBorders>
            <w:tcW w:w="550" w:type="dxa"/>
          </w:tcPr>
          <w:p>
            <w:pPr>
              <w:jc w:val="right"/>
              <w:spacing w:before="10" w:after="10"/>
            </w:pPr>
            <w:r/>
            <w:r>
              <w:rPr>
                <w:sz w:val="16"/>
              </w:rPr>
              <w:t>0.0</w:t>
            </w:r>
          </w:p>
        </w:tc>
        <w:tc>
          <w:tcPr>
            <w:tcBorders>
              <w:bottom w:val="double" w:sz="4" w:space="0" w:color="auto"/>
            </w:tcBorders>
            <w:tcW w:w="700" w:type="dxa"/>
          </w:tcPr>
          <w:p>
            <w:pPr>
              <w:jc w:val="right"/>
              <w:spacing w:before="10" w:after="10"/>
            </w:pPr>
            <w:r/>
            <w:r>
              <w:rPr>
                <w:sz w:val="16"/>
              </w:rPr>
              <w:t>$1.62</w:t>
            </w:r>
          </w:p>
        </w:tc>
        <w:tc>
          <w:tcPr>
            <w:tcBorders>
              <w:bottom w:val="double" w:sz="4" w:space="0" w:color="auto"/>
            </w:tcBorders>
            <w:tcW w:w="750" w:type="dxa"/>
          </w:tcPr>
          <w:p>
            <w:pPr>
              <w:jc w:val="right"/>
              <w:spacing w:before="10" w:after="10"/>
            </w:pPr>
            <w:r/>
            <w:r>
              <w:rPr>
                <w:sz w:val="16"/>
              </w:rPr>
              <w:t>$0.263</w:t>
            </w:r>
          </w:p>
        </w:tc>
      </w:tr>
    </w:tbl>
    <w:p>
      <w:pPr>
        <w:spacing w:before="80" w:after="0" w:line="240" w:lineRule="auto"/>
        <w:ind w:firstLine="0"/>
        <w:jc w:val="left"/>
        <w:sectPr>
          <w:pgSz w:w="15840" w:h="12240" w:orient="landscape"/>
          <w:pgMar w:top="1440" w:right="1440" w:bottom="1440" w:left="1440" w:header="720" w:footer="720"/>
        </w:sectPr>
      </w:pPr>
      <w:r>
        <w:rPr>
          <w:b/>
          <w:sz w:val="20"/>
        </w:rPr>
        <w:t xml:space="preserve">Notes: </w:t>
      </w:r>
      <w:r>
        <w:rPr>
          <w:sz w:val="20"/>
        </w:rPr>
        <w:t xml:space="preserve">Countries sorted by cost-recovery adjusted rank (ascending). pᴱ = national electricity price for industrial/data center consumers ($/kWh). θⱼ = peak summer temperature (°C). PUE = Power Usage Effectiveness. Constr. = predicted data center construction cost ($/W of IT load). k̄ⱼ = installed data center power capacity (MW). ωⱼ = country share of global compute demand from </w:t>
      </w:r>
      <w:bookmarkStart w:id="906" w:name="Eq4txt906"/>
      <w:hyperlink w:anchor="Eq4" w:history="1">
        <w:r>
          <w:rPr>
            <w:sz w:val="20"/>
            <w:color w:val="1F3864"/>
            <w:u w:val="single"/>
          </w:rPr>
          <w:t xml:space="preserve">equation (4)</w:t>
        </w:r>
      </w:hyperlink>
      <w:bookmarkEnd w:id="906"/>
      <w:r>
        <w:rPr>
          <w:sz w:val="20"/>
        </w:rPr>
        <w:t xml:space="preserve">. cⱼ = hourly cost of operating one H100 GPU (electricity + hardware at $1.36/hr + amortized construction; excludes networking η = $0.15/hr, which is added in the equilibrium computations in Section 6). Cost-Rec. pᴱ = cost-recovery electricity price. For 13 countries with subsidized tariffs, this is the estimated long-run marginal cost of electricity generation (shown in bold). For all other countries, the cost-recovery price equals the observed tariff.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p>
    <w:p>
      <w:pPr>
        <w:spacing w:before="0" w:after="60" w:line="360" w:lineRule="auto"/>
        <w:ind w:firstLine="0"/>
        <w:jc w:val="both"/>
      </w:pPr>
      <w:bookmarkStart w:id="140" w:name="TableA2"/>
      <w:hyperlink w:anchor="TableA2txt" w:history="1">
        <w:r>
          <w:rPr>
            <w:b/>
            <w:sz w:val="20"/>
            <w:color w:val="1F3864"/>
            <w:u w:val="single"/>
          </w:rPr>
          <w:t>Table A2</w:t>
        </w:r>
      </w:hyperlink>
      <w:bookmarkEnd w:id="140"/>
      <w:r>
        <w:rPr>
          <w:b/>
          <w:sz w:val="20"/>
        </w:rPr>
        <w:t>. Country rankings under alternative cost and sovereignty specifications (all countries)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1080"/>
        <w:gridCol w:w="1080"/>
        <w:gridCol w:w="1080"/>
        <w:gridCol w:w="1080"/>
        <w:gridCol w:w="1080"/>
        <w:gridCol w:w="1080"/>
        <w:gridCol w:w="1080"/>
      </w:tblGrid>
      <w:tr>
        <w:tc>
          <w:tcPr>
            <w:tcBorders>
              <w:top w:val="single" w:sz="4" w:space="0" w:color="auto"/>
              <w:bottom w:val="single" w:sz="4" w:space="0" w:color="auto"/>
            </w:tcBorders>
            <w:tcW w:w="1800" w:type="dxa"/>
          </w:tcPr>
          <w:p>
            <w:pPr>
              <w:jc w:val="center"/>
              <w:spacing w:before="5" w:after="5"/>
            </w:pPr>
            <w:r/>
            <w:r>
              <w:rPr>
                <w:rFonts w:ascii="Times New Roman" w:hAnsi="Times New Roman"/>
                <w:sz w:val="14"/>
              </w:rPr>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5" w:after="5"/>
              <w:spacing w:before="5" w:after="5"/>
              <w:spacing w:before="5" w:after="5"/>
            </w:pPr>
            <w:r/>
            <w:r>
              <w:rPr>
                <w:rFonts w:ascii="Times New Roman" w:hAnsi="Times New Roman"/>
                <w:b/>
                <w:sz w:val="14"/>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5" w:after="5"/>
              <w:spacing w:before="5" w:after="5"/>
              <w:spacing w:before="5" w:after="5"/>
            </w:pPr>
            <w:r/>
            <w:r>
              <w:rPr>
                <w:rFonts w:ascii="Times New Roman" w:hAnsi="Times New Roman"/>
                <w:b/>
                <w:sz w:val="14"/>
              </w:rPr>
              <w:t>(2) Cost-Recovery</w:t>
            </w:r>
          </w:p>
        </w:tc>
        <w:tc>
          <w:tcPr>
            <w:tcBorders>
              <w:top w:val="single" w:sz="4" w:space="0" w:color="auto"/>
              <w:bottom w:val="single" w:sz="4" w:space="0" w:color="auto"/>
            </w:tcBorders>
            <w:tcW w:w="500" w:type="dxa"/>
          </w:tcPr>
          <w:p>
            <w:pPr>
              <w:jc w:val="center"/>
              <w:spacing w:before="5" w:after="5"/>
            </w:pPr>
            <w:r/>
            <w:r>
              <w:rPr>
                <w:rFonts w:ascii="Times New Roman" w:hAnsi="Times New Roman"/>
                <w:b/>
                <w:sz w:val="14"/>
              </w:rPr>
              <w:t>(3) Bilateral</w:t>
            </w:r>
          </w:p>
        </w:tc>
      </w:tr>
      <w:tr>
        <w:tc>
          <w:tcPr>
            <w:tcBorders>
              <w:top w:val="single" w:sz="4" w:space="0" w:color="auto"/>
              <w:bottom w:val="single" w:sz="4" w:space="0" w:color="auto"/>
            </w:tcBorders>
            <w:tcW w:w="1800" w:type="dxa"/>
          </w:tcPr>
          <w:p>
            <w:pPr>
              <w:jc w:val="left"/>
              <w:spacing w:before="5" w:after="5"/>
            </w:pPr>
            <w:r/>
            <w:r>
              <w:rPr>
                <w:rFonts w:ascii="Times New Roman" w:hAnsi="Times New Roman"/>
                <w:b/>
                <w:sz w:val="14"/>
              </w:rPr>
              <w:t>Country</w:t>
            </w:r>
          </w:p>
        </w:tc>
        <w:tc>
          <w:tcPr>
            <w:tcBorders>
              <w:top w:val="single" w:sz="4" w:space="0" w:color="auto"/>
              <w:bottom w:val="single" w:sz="4" w:space="0" w:color="auto"/>
            </w:tcBorders>
            <w:tcW w:w="75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75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500" w:type="dxa"/>
          </w:tcPr>
          <w:p>
            <w:pPr>
              <w:jc w:val="center"/>
              <w:spacing w:before="5" w:after="5"/>
            </w:pPr>
            <w:r/>
            <w:r>
              <w:rPr>
                <w:rFonts w:ascii="Times New Roman" w:hAnsi="Times New Roman"/>
                <w:b/>
                <w:sz w:val="14"/>
              </w:rPr>
              <w:t>Type</w:t>
            </w:r>
          </w:p>
        </w:tc>
      </w:tr>
      <w:tr>
        <w:tc>
          <w:tcPr>
            <w:tcW w:w="1800" w:type="dxa"/>
          </w:tcPr>
          <w:p>
            <w:pPr>
              <w:jc w:val="left"/>
              <w:spacing w:before="5" w:after="5"/>
            </w:pPr>
            <w:r/>
            <w:r>
              <w:rPr>
                <w:rFonts w:ascii="Times New Roman" w:hAnsi="Times New Roman"/>
                <w:sz w:val="14"/>
              </w:rPr>
              <w:t>Kyrgyzstan</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4</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1</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Canada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7</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2</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Ethiopia</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3</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Kosovo</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4</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Tajikistan</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Montenegro</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13</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6</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China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Ukraine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16</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8</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Argentina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Colombia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Azerbaijan</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19</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11</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Russia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8</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12</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Norway</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13</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Algeria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6</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Finland</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23</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15</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IE</w:t>
            </w:r>
          </w:p>
        </w:tc>
      </w:tr>
      <w:tr>
        <w:tc>
          <w:tcPr>
            <w:tcW w:w="1800" w:type="dxa"/>
          </w:tcPr>
          <w:p>
            <w:pPr>
              <w:jc w:val="left"/>
              <w:spacing w:before="5" w:after="5"/>
            </w:pPr>
            <w:r/>
            <w:r>
              <w:rPr>
                <w:rFonts w:ascii="Times New Roman" w:hAnsi="Times New Roman"/>
                <w:sz w:val="14"/>
              </w:rPr>
              <w:t>Vietnam</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Brazil</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Turkmenistan</w:t>
            </w:r>
          </w:p>
        </w:tc>
        <w:tc>
          <w:tcPr>
            <w:tcW w:w="75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2</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18</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Egypt</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5</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Sweden</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IE</w:t>
            </w:r>
          </w:p>
        </w:tc>
      </w:tr>
      <w:tr>
        <w:tc>
          <w:tcPr>
            <w:tcW w:w="1800" w:type="dxa"/>
          </w:tcPr>
          <w:p>
            <w:pPr>
              <w:jc w:val="left"/>
              <w:spacing w:before="5" w:after="5"/>
            </w:pPr>
            <w:r/>
            <w:r>
              <w:rPr>
                <w:rFonts w:ascii="Times New Roman" w:hAnsi="Times New Roman"/>
                <w:sz w:val="14"/>
              </w:rPr>
              <w:t>India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Indonesia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22</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Kazakhstan</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Iran</w:t>
            </w:r>
          </w:p>
        </w:tc>
        <w:tc>
          <w:tcPr>
            <w:tcW w:w="750" w:type="dxa"/>
          </w:tcPr>
          <w:p>
            <w:pPr>
              <w:jc w:val="center"/>
              <w:spacing w:before="5" w:after="5"/>
            </w:pPr>
            <w:r/>
            <w:r>
              <w:rPr>
                <w:rFonts w:ascii="Times New Roman" w:hAnsi="Times New Roman"/>
                <w:sz w:val="14"/>
              </w:rPr>
              <w:t>$1.56</w:t>
            </w:r>
          </w:p>
        </w:tc>
        <w:tc>
          <w:tcPr>
            <w:tcW w:w="450" w:type="dxa"/>
          </w:tcPr>
          <w:p>
            <w:pPr>
              <w:jc w:val="center"/>
              <w:spacing w:before="5" w:after="5"/>
            </w:pPr>
            <w:r/>
            <w:r>
              <w:rPr>
                <w:rFonts w:ascii="Times New Roman" w:hAnsi="Times New Roman"/>
                <w:sz w:val="14"/>
              </w:rPr>
              <w:t>1</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24</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Georgia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United States of 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Uzbekistan</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Kenya</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28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Turkey</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29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Bosnia and Herz.</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Nigeria</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Iceland</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South Africa</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UK</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34</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Belarus</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38</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35</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Australia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New Zealand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Morocco</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Mexico</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France</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Armenia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UAE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Chile</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Poland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Latvia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Portugal</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Malta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Malaysia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Philippines</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Israel</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Spain</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Thailand</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Belgium</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Serbia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Pakistan</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Saudi Arabia</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Luxembourg</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Qatar</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Netherlands</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Estonia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South Korea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Moldova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Denmark</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Lithuania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N. Macedonia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Ghana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Slovenia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Albania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Romania</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69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69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Germany</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Greece</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Bulgaria</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Slovakia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Austria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Italy</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Japan</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Czechia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Switzerland</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Hungary</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Singapore</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80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80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Cyprus</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Senegal</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Croatia</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Ireland</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Borders>
              <w:bottom w:val="double" w:sz="4" w:space="0" w:color="auto"/>
            </w:tcBorders>
            <w:tcW w:w="1800" w:type="dxa"/>
          </w:tcPr>
          <w:p>
            <w:pPr>
              <w:jc w:val="left"/>
              <w:spacing w:before="5" w:after="5"/>
            </w:pPr>
            <w:r/>
            <w:r>
              <w:rPr>
                <w:rFonts w:ascii="Times New Roman" w:hAnsi="Times New Roman"/>
                <w:sz w:val="14"/>
              </w:rPr>
              <w:t>Greenland</w:t>
            </w:r>
          </w:p>
        </w:tc>
        <w:tc>
          <w:tcPr>
            <w:tcBorders>
              <w:bottom w:val="double" w:sz="4" w:space="0" w:color="auto"/>
            </w:tcBorders>
            <w:tcW w:w="750" w:type="dxa"/>
          </w:tcPr>
          <w:p>
            <w:pPr>
              <w:jc w:val="center"/>
              <w:spacing w:before="5" w:after="5"/>
            </w:pPr>
            <w:r/>
            <w:r>
              <w:rPr>
                <w:rFonts w:ascii="Times New Roman" w:hAnsi="Times New Roman"/>
                <w:sz w:val="14"/>
              </w:rPr>
              <w:t>$1.77</w:t>
            </w:r>
          </w:p>
        </w:tc>
        <w:tc>
          <w:tcPr>
            <w:tcBorders>
              <w:bottom w:val="double" w:sz="4" w:space="0" w:color="auto"/>
            </w:tcBorders>
            <w:tcW w:w="450" w:type="dxa"/>
          </w:tcPr>
          <w:p>
            <w:pPr>
              <w:jc w:val="center"/>
              <w:spacing w:before="5" w:after="5"/>
            </w:pPr>
            <w:r/>
            <w:r>
              <w:rPr>
                <w:rFonts w:ascii="Times New Roman" w:hAnsi="Times New Roman"/>
                <w:sz w:val="14"/>
              </w:rPr>
              <w:t>85</w:t>
            </w:r>
          </w:p>
        </w:tc>
        <w:tc>
          <w:tcPr>
            <w:tcBorders>
              <w:bottom w:val="double" w:sz="4" w:space="0" w:color="auto"/>
            </w:tcBorders>
            <w:tcW w:w="450" w:type="dxa"/>
          </w:tcPr>
          <w:p>
            <w:pPr>
              <w:jc w:val="center"/>
              <w:spacing w:before="5" w:after="5"/>
            </w:pPr>
            <w:r/>
            <w:r>
              <w:rPr>
                <w:rFonts w:ascii="Times New Roman" w:hAnsi="Times New Roman"/>
                <w:sz w:val="14"/>
              </w:rPr>
              <w:t>II</w:t>
            </w:r>
          </w:p>
        </w:tc>
        <w:tc>
          <w:tcPr>
            <w:tcBorders>
              <w:bottom w:val="double" w:sz="4" w:space="0" w:color="auto"/>
            </w:tcBorders>
            <w:tcW w:w="750" w:type="dxa"/>
          </w:tcPr>
          <w:p>
            <w:pPr>
              <w:jc w:val="center"/>
              <w:spacing w:before="5" w:after="5"/>
            </w:pPr>
            <w:r/>
            <w:r>
              <w:rPr>
                <w:rFonts w:ascii="Times New Roman" w:hAnsi="Times New Roman"/>
                <w:sz w:val="14"/>
              </w:rPr>
              <w:t>$1.77</w:t>
            </w:r>
          </w:p>
        </w:tc>
        <w:tc>
          <w:tcPr>
            <w:tcBorders>
              <w:bottom w:val="double" w:sz="4" w:space="0" w:color="auto"/>
            </w:tcBorders>
            <w:tcW w:w="450" w:type="dxa"/>
          </w:tcPr>
          <w:p>
            <w:pPr>
              <w:jc w:val="center"/>
              <w:spacing w:before="5" w:after="5"/>
            </w:pPr>
            <w:r/>
            <w:r>
              <w:rPr>
                <w:rFonts w:ascii="Times New Roman" w:hAnsi="Times New Roman"/>
                <w:sz w:val="14"/>
              </w:rPr>
              <w:t>85</w:t>
            </w:r>
          </w:p>
        </w:tc>
        <w:tc>
          <w:tcPr>
            <w:tcBorders>
              <w:bottom w:val="double" w:sz="4" w:space="0" w:color="auto"/>
            </w:tcBorders>
            <w:tcW w:w="450" w:type="dxa"/>
          </w:tcPr>
          <w:p>
            <w:pPr>
              <w:jc w:val="center"/>
              <w:spacing w:before="5" w:after="5"/>
            </w:pPr>
            <w:r/>
            <w:r>
              <w:rPr>
                <w:rFonts w:ascii="Times New Roman" w:hAnsi="Times New Roman"/>
                <w:sz w:val="14"/>
              </w:rPr>
              <w:t>II</w:t>
            </w:r>
          </w:p>
        </w:tc>
        <w:tc>
          <w:tcPr>
            <w:tcBorders>
              <w:bottom w:val="double" w:sz="4" w:space="0" w:color="auto"/>
            </w:tcBorders>
            <w:tcW w:w="500" w:type="dxa"/>
          </w:tcPr>
          <w:p>
            <w:pPr>
              <w:jc w:val="center"/>
              <w:spacing w:before="5" w:after="5"/>
            </w:pPr>
            <w:r/>
            <w:r>
              <w:rPr>
                <w:rFonts w:ascii="Times New Roman" w:hAnsi="Times New Roman"/>
                <w:sz w:val="14"/>
              </w:rPr>
              <w:t>II</w:t>
            </w:r>
          </w:p>
        </w:tc>
      </w:tr>
    </w:tbl>
    <w:p>
      <w:pPr>
        <w:spacing w:before="40" w:after="120" w:line="240" w:lineRule="auto"/>
        <w:ind w:firstLine="0"/>
        <w:jc w:val="left"/>
        <w:sectPr>
          <w:pgSz w:w="15840" w:h="12240" w:orient="landscape"/>
          <w:pgMar w:top="1080" w:right="1080" w:bottom="1080" w:left="1080" w:header="720" w:footer="720"/>
        </w:sectPr>
      </w:pPr>
      <w:r>
        <w:rPr>
          <w:b/>
          <w:sz w:val="20"/>
        </w:rPr>
        <w:t xml:space="preserve">Notes: </w:t>
      </w:r>
      <w:r>
        <w:rPr>
          <w:sz w:val="20"/>
        </w:rPr>
        <w:t xml:space="preserve">See </w:t>
      </w:r>
      <w:hyperlink w:anchor="Table3" w:history="1">
        <w:r>
          <w:rPr>
            <w:sz w:val="20"/>
            <w:color w:val="1F3864"/>
            <w:u w:val="single"/>
          </w:rPr>
          <w:t xml:space="preserve">Table 3</w:t>
        </w:r>
      </w:hyperlink>
      <w:r>
        <w:rPr>
          <w:sz w:val="20"/>
        </w:rPr>
        <w:t xml:space="preserve"> notes for column definitions. Countries sorted by specification (2) rank (ascending). </w:t>
      </w:r>
    </w:p>
    <w:p>
      <w:pPr>
        <w:pStyle w:val="Heading1"/>
      </w:pPr>
      <w:r>
        <w:rPr>
          <w:rFonts w:ascii="Times New Roman" w:hAnsi="Times New Roman"/>
          <w:b/>
          <w:color w:val="2F5496"/>
          <w:sz w:val="28"/>
        </w:rPr>
        <w:t>Appendix B: Model Derivation</w:t>
      </w:r>
    </w:p>
    <w:p>
      <w:pPr>
        <w:spacing w:before="0" w:after="160" w:line="360" w:lineRule="auto"/>
        <w:ind w:firstLine="0"/>
        <w:jc w:val="both"/>
      </w:pPr>
      <w:r>
        <w:t>This appendix provides the full derivation of the capacity-constrained Ricardian model summarized in Sections 3–4.</w:t>
      </w:r>
    </w:p>
    <w:p>
      <w:pPr>
        <w:pStyle w:val="Heading2"/>
      </w:pPr>
      <w:r>
        <w:rPr>
          <w:rFonts w:ascii="Times New Roman" w:hAnsi="Times New Roman"/>
          <w:b w:val="0"/>
          <w:i/>
          <w:color w:val="2F5496"/>
          <w:sz w:val="24"/>
        </w:rPr>
        <w:t>B.1 Primitives</w:t>
      </w:r>
    </w:p>
    <w:p>
      <w:pPr>
        <w:spacing w:before="0" w:after="160" w:line="360" w:lineRule="auto"/>
        <w:ind w:firstLine="0"/>
        <w:jc w:val="both"/>
      </w:pPr>
      <w:r>
        <w:t xml:space="preserve">Each country </w:t>
      </w:r>
      <m:oMath>
        <m:r>
          <m:rPr>
            <m:sty m:val="i"/>
          </m:rPr>
          <w:rPr>
            <w:rFonts w:ascii="Cambria Math" w:hAnsi="Cambria Math"/>
          </w:rPr>
          <m:t xml:space="preserve">j</m:t>
        </m:r>
      </m:oMath>
      <w:r>
        <w:t xml:space="preserve"> is endowed with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(GPU-hours per period), representing the maximum volume of compute it can supply. Country </w:t>
      </w:r>
      <m:oMath>
        <m:r>
          <m:rPr>
            <m:sty m:val="i"/>
          </m:rPr>
          <w:rPr>
            <w:rFonts w:ascii="Cambria Math" w:hAnsi="Cambria Math"/>
          </w:rPr>
          <m:t xml:space="preserve">j</m:t>
        </m:r>
      </m:oMath>
      <w:r>
        <w:t xml:space="preserve"> faces unit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from </w:t>
      </w:r>
      <w:bookmarkStart w:id="907" w:name="Eq1txt907"/>
      <w:hyperlink w:anchor="Eq1" w:history="1">
        <w:r>
          <w:rPr>
            <w:color w:val="1F3864"/>
            <w:u w:val="single"/>
          </w:rPr>
          <w:t xml:space="preserve">equation (1)</w:t>
        </w:r>
      </w:hyperlink>
      <w:bookmarkEnd w:id="907"/>
      <w:r>
        <w:t xml:space="preserve">. On the demand side, total compute demand from country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from </w:t>
      </w:r>
      <w:bookmarkStart w:id="908" w:name="Eq4txt908"/>
      <w:hyperlink w:anchor="Eq4" w:history="1">
        <w:r>
          <w:rPr>
            <w:color w:val="1F3864"/>
            <w:u w:val="single"/>
          </w:rPr>
          <w:t xml:space="preserve">equation (4)</w:t>
        </w:r>
      </w:hyperlink>
      <w:bookmarkEnd w:id="908"/>
      <w:r>
        <w:t xml:space="preserv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Countries are ordered by cost: </w:t>
      </w:r>
      <m:oMath>
        <m:sSub>
          <m:sSubPr/>
          <m:e>
            <m:r>
              <m:rPr>
                <m:sty m:val="i"/>
              </m:rPr>
              <w:rPr>
                <w:rFonts w:ascii="Cambria Math" w:hAnsi="Cambria Math"/>
              </w:rPr>
              <m:t xml:space="preserve">c</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(2)</m:t>
            </m:r>
          </m:sub>
        </m:sSub>
        <m:r>
          <m:rPr>
            <m:sty m:val="p"/>
          </m:rPr>
          <w:rPr>
            <w:rFonts w:ascii="Cambria Math" w:hAnsi="Cambria Math"/>
          </w:rPr>
          <m:t xml:space="preserve"> ≤ … ≤ </m:t>
        </m:r>
        <m:sSub>
          <m:sSubPr/>
          <m:e>
            <m:r>
              <m:rPr>
                <m:sty m:val="i"/>
              </m:rPr>
              <w:rPr>
                <w:rFonts w:ascii="Cambria Math" w:hAnsi="Cambria Math"/>
              </w:rPr>
              <m:t xml:space="preserve">c</m:t>
            </m:r>
          </m:e>
          <m:sub>
            <m:r>
              <m:rPr>
                <m:sty m:val="i"/>
              </m:rPr>
              <w:rPr>
                <w:rFonts w:ascii="Cambria Math" w:hAnsi="Cambria Math"/>
              </w:rPr>
              <m:t xml:space="preserve">(N)</m:t>
            </m:r>
          </m:sub>
        </m:sSub>
      </m:oMath>
      <w:r>
        <w:t>.</w:t>
      </w:r>
    </w:p>
    <w:p>
      <w:pPr>
        <w:pStyle w:val="Heading2"/>
      </w:pPr>
      <w:r>
        <w:rPr>
          <w:rFonts w:ascii="Times New Roman" w:hAnsi="Times New Roman"/>
          <w:b w:val="0"/>
          <w:i/>
          <w:color w:val="2F5496"/>
          <w:sz w:val="24"/>
        </w:rPr>
        <w:t>B.2 The Training Market</w:t>
      </w:r>
    </w:p>
    <w:p>
      <w:pPr>
        <w:spacing w:before="0" w:after="80" w:line="360" w:lineRule="auto"/>
        <w:ind w:firstLine="0"/>
        <w:jc w:val="both"/>
      </w:pPr>
      <w:r>
        <w:t xml:space="preserve">Country </w:t>
      </w:r>
      <m:oMath>
        <m:r>
          <m:rPr>
            <m:sty m:val="i"/>
          </m:rPr>
          <w:rPr>
            <w:rFonts w:ascii="Cambria Math" w:hAnsi="Cambria Math"/>
          </w:rPr>
          <m:t xml:space="preserve">k</m:t>
        </m:r>
      </m:oMath>
      <w:r>
        <w:t xml:space="preserve"> imports training if and only if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the bilateral sovereignty premium from </w:t>
      </w:r>
      <w:bookmarkStart w:id="909" w:name="Eq2txt909"/>
      <w:hyperlink w:anchor="Eq2" w:history="1">
        <w:r>
          <w:rPr>
            <w:color w:val="1F3864"/>
            <w:u w:val="single"/>
          </w:rPr>
          <w:t xml:space="preserve">equation (2)</w:t>
        </w:r>
      </w:hyperlink>
      <w:bookmarkEnd w:id="909"/>
      <w:r>
        <w:t xml:space="preserve">. The set of training importers is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m:t>
        </m:r>
      </m:oMath>
      <w:r>
        <w:t xml:space="preserve"> and total training export demand is </w:t>
      </w:r>
      <m:oMath>
        <m:sSub>
          <m:sSubPr/>
          <m:e>
            <m:r>
              <m:rPr>
                <m:sty m:val="i"/>
              </m:rPr>
              <w:rPr>
                <w:rFonts w:ascii="Cambria Math" w:hAnsi="Cambria Math"/>
              </w:rPr>
              <m:t xml:space="preserve">Q</m:t>
            </m:r>
          </m:e>
          <m:sub>
            <m:r>
              <m:rPr>
                <m:sty m:val="i"/>
              </m:rPr>
              <w:rPr>
                <w:rFonts w:ascii="Cambria Math" w:hAnsi="Cambria Math"/>
              </w:rPr>
              <m:t xml:space="preserve">T,X</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defined by: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min { </m:t>
              </m:r>
              <m:r>
                <m:rPr>
                  <m:sty m:val="i"/>
                </m:rPr>
                <w:rPr>
                  <w:rFonts w:ascii="Cambria Math" w:hAnsi="Cambria Math"/>
                </w:rPr>
                <m:t xml:space="preserve">m</m:t>
              </m:r>
              <m:r>
                <m:rPr>
                  <m:sty m:val="p"/>
                </m:rPr>
                <w:rPr>
                  <w:rFonts w:ascii="Cambria Math" w:hAnsi="Cambria Math"/>
                </w:rPr>
                <m:t xml:space="preserve"> : </m:t>
              </m:r>
              <m:nary>
                <m:naryPr>
                  <m:chr m:val="∑"/>
                </m:naryPr>
                <m:sub>
                  <m:r>
                    <m:rPr>
                      <m:sty m:val="i"/>
                    </m:rPr>
                    <w:rPr>
                      <w:rFonts w:ascii="Cambria Math" w:hAnsi="Cambria Math"/>
                    </w:rPr>
                    <m:t xml:space="preserve">i</m:t>
                  </m:r>
                  <m:r>
                    <m:rPr>
                      <m:sty m:val="p"/>
                    </m:rPr>
                    <w:rPr>
                      <w:rFonts w:ascii="Cambria Math" w:hAnsi="Cambria Math"/>
                    </w:rPr>
                    <m:t xml:space="preserve"> = 1</m:t>
                  </m:r>
                </m:sub>
                <m:sup>
                  <m:r>
                    <m:rPr>
                      <m:sty m:val="i"/>
                    </m:rPr>
                    <w:rPr>
                      <w:rFonts w:ascii="Cambria Math" w:hAnsi="Cambria Math"/>
                    </w:rPr>
                    <m:t xml:space="preserve">m</m:t>
                  </m:r>
                </m:sup>
                <m:e>
                  <m:sSub>
                    <m:sSubPr/>
                    <m:e>
                      <m:r>
                        <m:rPr>
                          <m:sty m:val="i"/>
                        </m:rPr>
                        <w:rPr>
                          <w:rFonts w:ascii="Cambria Math" w:hAnsi="Cambria Math"/>
                        </w:rPr>
                        <m:t xml:space="preserve">K</m:t>
                      </m:r>
                    </m:e>
                    <m:sub>
                      <m:r>
                        <m:rPr>
                          <m:sty m:val="i"/>
                        </m:rPr>
                        <w:rPr>
                          <w:rFonts w:ascii="Cambria Math" w:hAnsi="Cambria Math"/>
                        </w:rPr>
                        <m:t xml:space="preserve">T,(i)</m:t>
                      </m:r>
                    </m:sub>
                  </m:sSub>
                </m:e>
              </m:nary>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T,X</m:t>
                  </m:r>
                </m:sub>
              </m:sSub>
              <m:r>
                <m:rPr>
                  <m:sty m:val="p"/>
                </m:rPr>
                <w:rPr>
                  <w:rFonts w:ascii="Cambria Math" w:hAnsi="Cambria Math"/>
                </w:rPr>
                <m:t xml:space="preserve"> }.</m:t>
              </m:r>
            </m:oMath>
          </w:p>
        </w:tc>
        <w:tc>
          <w:tcPr>
            <w:tcW w:w="720" w:type="dxa"/>
            <w:vAlign w:val="center"/>
          </w:tcPr>
          <w:p>
            <w:pPr>
              <w:jc w:val="right"/>
              <w:spacing w:before="60" w:after="60"/>
            </w:pPr>
            <w:bookmarkStart w:id="1701" w:name="EqB.1"/>
            <w:r>
              <w:t>(B.1)</w:t>
            </w:r>
            <w:bookmarkEnd w:id="1701"/>
          </w:p>
        </w:tc>
      </w:tr>
    </w:tbl>
    <w:p>
      <w:pPr>
        <w:spacing w:before="80" w:after="160" w:line="360" w:lineRule="auto"/>
        <w:ind w:firstLine="0"/>
        <w:jc w:val="both"/>
      </w:pPr>
      <w:r>
        <w:t xml:space="preserve">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m:t>
            </m:r>
          </m:sub>
        </m:sSub>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oMath>
      <w:r>
        <w:t xml:space="preserve">. Training rent for country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w:t>
      </w:r>
    </w:p>
    <w:p>
      <w:pPr>
        <w:pStyle w:val="Heading2"/>
      </w:pPr>
      <w:r>
        <w:rPr>
          <w:rFonts w:ascii="Times New Roman" w:hAnsi="Times New Roman"/>
          <w:b w:val="0"/>
          <w:i/>
          <w:color w:val="2F5496"/>
          <w:sz w:val="24"/>
        </w:rPr>
        <w:t>B.3 The Inference Market</w:t>
      </w:r>
    </w:p>
    <w:p>
      <w:pPr>
        <w:spacing w:before="0" w:after="80" w:line="360" w:lineRule="auto"/>
        <w:ind w:firstLine="0"/>
        <w:jc w:val="both"/>
      </w:pPr>
      <w:r>
        <w:t xml:space="preserve">The feasible supplier set for demand center </w:t>
      </w:r>
      <m:oMath>
        <m:r>
          <m:rPr>
            <m:sty m:val="i"/>
          </m:rPr>
          <w:rPr>
            <w:rFonts w:ascii="Cambria Math" w:hAnsi="Cambria Math"/>
          </w:rPr>
          <m:t xml:space="preserve">k</m:t>
        </m:r>
      </m:oMath>
      <w:r>
        <w:t xml:space="preserve"> is </w:t>
      </w:r>
      <m:oMath>
        <m:r>
          <m:rPr>
            <m:sty m:val="i"/>
          </m:rPr>
          <w:rPr>
            <w:rFonts w:ascii="Cambria Math" w:hAnsi="Cambria Math"/>
          </w:rPr>
          <m:t xml:space="preserve">S</m:t>
        </m:r>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 </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r>
          <m:rPr>
            <m:sty m:val="p"/>
          </m:rPr>
          <w:rPr>
            <w:rFonts w:ascii="Cambria Math" w:hAnsi="Cambria Math"/>
          </w:rPr>
          <m:t xml:space="preserve"> }</m:t>
        </m:r>
      </m:oMath>
      <w:r>
        <w:t xml:space="preserve">. The marginal cost of delivering one effective unit of inference from </w:t>
      </w:r>
      <m:oMath>
        <m:r>
          <m:rPr>
            <m:sty m:val="i"/>
          </m:rPr>
          <w:rPr>
            <w:rFonts w:ascii="Cambria Math" w:hAnsi="Cambria Math"/>
          </w:rPr>
          <m:t xml:space="preserve">j</m:t>
        </m:r>
      </m:oMath>
      <w:r>
        <w:t xml:space="preserve"> to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MC</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720" w:type="dxa"/>
            <w:vAlign w:val="center"/>
          </w:tcPr>
          <w:p>
            <w:pPr>
              <w:jc w:val="right"/>
              <w:spacing w:before="60" w:after="60"/>
            </w:pPr>
            <w:bookmarkStart w:id="1702" w:name="EqB.2"/>
            <w:r>
              <w:t>(B.2)</w:t>
            </w:r>
            <w:bookmarkEnd w:id="1702"/>
          </w:p>
        </w:tc>
      </w:tr>
    </w:tbl>
    <w:p>
      <w:pPr>
        <w:spacing w:before="80" w:after="160" w:line="360" w:lineRule="auto"/>
        <w:ind w:firstLine="0"/>
        <w:jc w:val="both"/>
      </w:pPr>
      <w:r>
        <w:t xml:space="preserve">The inference rent per GPU-hour allocated to serving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B.4 Capacity Allocation</w:t>
      </w:r>
    </w:p>
    <w:p>
      <w:pPr>
        <w:spacing w:before="0" w:after="80" w:line="360" w:lineRule="auto"/>
        <w:ind w:firstLine="0"/>
        <w:jc w:val="both"/>
      </w:pPr>
      <w:r>
        <w:t xml:space="preserve">Let </w:t>
      </w:r>
      <m:oMath>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denote the GPU-hours country </w:t>
      </w:r>
      <m:oMath>
        <m:r>
          <m:rPr>
            <m:sty m:val="i"/>
          </m:rPr>
          <w:rPr>
            <w:rFonts w:ascii="Cambria Math" w:hAnsi="Cambria Math"/>
          </w:rPr>
          <m:t xml:space="preserve">j</m:t>
        </m:r>
      </m:oMath>
      <w:r>
        <w:t xml:space="preserve"> allocates to training exports and </w:t>
      </w:r>
      <m:oMath>
        <m:sSub>
          <m:sSubPr/>
          <m:e>
            <m:r>
              <m:rPr>
                <m:sty m:val="i"/>
              </m:rPr>
              <w:rPr>
                <w:rFonts w:ascii="Cambria Math" w:hAnsi="Cambria Math"/>
              </w:rPr>
              <m:t xml:space="preserve">K</m:t>
            </m:r>
          </m:e>
          <m:sub>
            <m:r>
              <m:rPr>
                <m:sty m:val="i"/>
              </m:rPr>
              <w:rPr>
                <w:rFonts w:ascii="Cambria Math" w:hAnsi="Cambria Math"/>
              </w:rPr>
              <m:t xml:space="preserve">I,j→k</m:t>
            </m:r>
          </m:sub>
        </m:sSub>
      </m:oMath>
      <w:r>
        <w:t xml:space="preserve"> the GPU-hours it allocates to inference exports to buyer </w:t>
      </w:r>
      <m:oMath>
        <m:r>
          <m:rPr>
            <m:sty m:val="i"/>
          </m:rPr>
          <w:rPr>
            <w:rFonts w:ascii="Cambria Math" w:hAnsi="Cambria Math"/>
          </w:rPr>
          <m:t xml:space="preserve">k</m:t>
        </m:r>
      </m:oMath>
      <w:r>
        <w:t xml:space="preserve">, so that total capacity used by country </w:t>
      </w:r>
      <m:oMath>
        <m:r>
          <m:rPr>
            <m:sty m:val="i"/>
          </m:rPr>
          <w:rPr>
            <w:rFonts w:ascii="Cambria Math" w:hAnsi="Cambria Math"/>
          </w:rPr>
          <m:t xml:space="preserve">j</m:t>
        </m:r>
      </m:oMath>
      <w:r>
        <w:t xml:space="preserve"> is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K</m:t>
                </m:r>
              </m:e>
              <m:sub>
                <m:r>
                  <m:rPr>
                    <m:sty m:val="i"/>
                  </m:rPr>
                  <w:rPr>
                    <w:rFonts w:ascii="Cambria Math" w:hAnsi="Cambria Math"/>
                  </w:rPr>
                  <m:t xml:space="preserve">I,j→k</m:t>
                </m:r>
              </m:sub>
            </m:sSub>
          </m:e>
        </m:nary>
      </m:oMath>
      <w:r>
        <w:t xml:space="preserve">. Each GPU-hour is allocated to its highest-margin use. The margins per GPU-hour are: training exports </w:t>
      </w:r>
      <m:oMath>
        <m:sSub>
          <m:sSubPr/>
          <m:e>
            <m:r>
              <m:rPr>
                <m:sty m:val="i"/>
              </m:rPr>
              <w:rPr>
                <w:rFonts w:ascii="Cambria Math" w:hAnsi="Cambria Math"/>
              </w:rPr>
              <m:t xml:space="preserve">r</m:t>
            </m:r>
          </m:e>
          <m:sub>
            <m:r>
              <m:rPr>
                <m:sty m:val="i"/>
              </m:rPr>
              <w:rPr>
                <w:rFonts w:ascii="Cambria Math" w:hAnsi="Cambria Math"/>
              </w:rPr>
              <m:t xml:space="preserve">T</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inference exports to </w:t>
      </w:r>
      <m:oMath>
        <m:r>
          <m:rPr>
            <m:sty m:val="i"/>
          </m:rPr>
          <w:rPr>
            <w:rFonts w:ascii="Cambria Math" w:hAnsi="Cambria Math"/>
          </w:rPr>
          <m:t xml:space="preserve">k</m:t>
        </m:r>
      </m:oMath>
      <w:r>
        <w:t xml:space="preserve">: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Total rent from operating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GPU-hours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Π</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nary>
                <m:naryPr>
                  <m:chr m:val="∑"/>
                </m:naryPr>
                <m:sub>
                  <m:r>
                    <m:rPr>
                      <m:sty m:val="i"/>
                    </m:rPr>
                    <w:rPr>
                      <w:rFonts w:ascii="Cambria Math" w:hAnsi="Cambria Math"/>
                    </w:rPr>
                    <m:t xml:space="preserve">n</m:t>
                  </m:r>
                  <m:r>
                    <m:rPr>
                      <m:sty m:val="p"/>
                    </m:rPr>
                    <w:rPr>
                      <w:rFonts w:ascii="Cambria Math" w:hAnsi="Cambria Math"/>
                    </w:rPr>
                    <m:t xml:space="preserve"> = 1</m:t>
                  </m:r>
                </m:sub>
                <m:sup>
                  <m:sSub>
                    <m:sSubPr/>
                    <m:e>
                      <m:r>
                        <m:rPr>
                          <m:sty m:val="i"/>
                        </m:rPr>
                        <w:rPr>
                          <w:rFonts w:ascii="Cambria Math" w:hAnsi="Cambria Math"/>
                        </w:rPr>
                        <m:t xml:space="preserve">K</m:t>
                      </m:r>
                    </m:e>
                    <m:sub>
                      <m:r>
                        <m:rPr>
                          <m:sty m:val="i"/>
                        </m:rPr>
                        <w:rPr>
                          <w:rFonts w:ascii="Cambria Math" w:hAnsi="Cambria Math"/>
                        </w:rPr>
                        <m:t xml:space="preserve">j</m:t>
                      </m:r>
                    </m:sub>
                  </m:sSub>
                </m:sup>
                <m:e>
                  <m:sSubSup>
                    <m:sSubSupPr/>
                    <m:e>
                      <m:r>
                        <m:rPr>
                          <m:sty m:val="i"/>
                        </m:rPr>
                        <w:rPr>
                          <w:rFonts w:ascii="Cambria Math" w:hAnsi="Cambria Math"/>
                        </w:rPr>
                        <m:t xml:space="preserve">r</m:t>
                      </m:r>
                    </m:e>
                    <m:sub>
                      <m:r>
                        <m:rPr>
                          <m:sty m:val="i"/>
                        </m:rPr>
                        <w:rPr>
                          <w:rFonts w:ascii="Cambria Math" w:hAnsi="Cambria Math"/>
                        </w:rPr>
                        <m:t xml:space="preserve">j</m:t>
                      </m:r>
                    </m:sub>
                    <m:sup>
                      <m:r>
                        <m:rPr>
                          <m:sty m:val="i"/>
                        </m:rPr>
                        <w:rPr>
                          <w:rFonts w:ascii="Cambria Math" w:hAnsi="Cambria Math"/>
                        </w:rPr>
                        <m:t xml:space="preserve">(n)</m:t>
                      </m:r>
                    </m:sup>
                  </m:sSubSup>
                </m:e>
              </m:nary>
              <m:r>
                <m:rPr>
                  <m:sty m:val="p"/>
                </m:rPr>
                <w:rPr>
                  <w:rFonts w:ascii="Cambria Math" w:hAnsi="Cambria Math"/>
                </w:rPr>
                <m:t xml:space="preserve">,</m:t>
              </m:r>
            </m:oMath>
          </w:p>
        </w:tc>
        <w:tc>
          <w:tcPr>
            <w:tcW w:w="720" w:type="dxa"/>
            <w:vAlign w:val="center"/>
          </w:tcPr>
          <w:p>
            <w:pPr>
              <w:jc w:val="right"/>
              <w:spacing w:before="60" w:after="60"/>
            </w:pPr>
            <w:bookmarkStart w:id="1703" w:name="EqB.3"/>
            <w:r>
              <w:t>(B.3)</w:t>
            </w:r>
            <w:bookmarkEnd w:id="1703"/>
          </w:p>
        </w:tc>
      </w:tr>
    </w:tbl>
    <w:p>
      <w:pPr>
        <w:spacing w:before="80" w:after="160" w:line="360" w:lineRule="auto"/>
        <w:ind w:firstLine="0"/>
        <w:jc w:val="both"/>
      </w:pPr>
      <w:r>
        <w:t xml:space="preserve">which is concave and piecewise linear in </w:t>
      </w:r>
      <m:oMath>
        <m:sSub>
          <m:sSubPr/>
          <m:e>
            <m:r>
              <m:rPr>
                <m:sty m:val="i"/>
              </m:rPr>
              <w:rPr>
                <w:rFonts w:ascii="Cambria Math" w:hAnsi="Cambria Math"/>
              </w:rPr>
              <m:t xml:space="preserve">K</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B.5 Equilibrium Definition and Existence</w:t>
      </w:r>
    </w:p>
    <w:p>
      <w:pPr>
        <w:spacing w:before="0" w:after="160" w:line="360" w:lineRule="auto"/>
        <w:ind w:firstLine="0"/>
        <w:jc w:val="both"/>
      </w:pPr>
      <w:r>
        <w:t xml:space="preserve">A competitive equilibrium consists of a training price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inference prices </w:t>
      </w:r>
      <m:oMath>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and capacity allocations </w:t>
      </w:r>
      <m:oMath>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m:t>
        </m:r>
      </m:oMath>
      <w:r>
        <w:t xml:space="preserve"> such that: (i) each GPU-hour is allocated to its highest-margin use; (ii) training and inference markets clear; (iii) all allocations are feasible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Existence follows from a fixed-point argument: the training supply curve is a step function with steps at </w:t>
      </w:r>
      <m:oMath>
        <m:sSub>
          <m:sSubPr/>
          <m:e>
            <m:r>
              <m:rPr>
                <m:sty m:val="i"/>
              </m:rPr>
              <w:rPr>
                <w:rFonts w:ascii="Cambria Math" w:hAnsi="Cambria Math"/>
              </w:rPr>
              <m:t xml:space="preserve">c</m:t>
            </m:r>
          </m:e>
          <m:sub>
            <m:r>
              <m:rPr>
                <m:sty m:val="i"/>
              </m:rPr>
              <w:rPr>
                <w:rFonts w:ascii="Cambria Math" w:hAnsi="Cambria Math"/>
              </w:rPr>
              <m:t xml:space="preserve">(i)</m:t>
            </m:r>
          </m:sub>
        </m:sSub>
      </m:oMath>
      <w:r>
        <w:t xml:space="preserve"> and widths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(i)</m:t>
            </m:r>
          </m:sub>
        </m:sSub>
      </m:oMath>
      <w:r>
        <w:t xml:space="preserve">; intersection with the demand curve pins down </w:t>
      </w:r>
      <m:oMath>
        <m:sSub>
          <m:sSubPr/>
          <m:e>
            <m:r>
              <m:rPr>
                <m:sty m:val="i"/>
              </m:rPr>
              <w:rPr>
                <w:rFonts w:ascii="Cambria Math" w:hAnsi="Cambria Math"/>
              </w:rPr>
              <m:t xml:space="preserve">p</m:t>
            </m:r>
          </m:e>
          <m:sub>
            <m:r>
              <m:rPr>
                <m:sty m:val="i"/>
              </m:rPr>
              <w:rPr>
                <w:rFonts w:ascii="Cambria Math" w:hAnsi="Cambria Math"/>
              </w:rPr>
              <m:t xml:space="preserve">T</m:t>
            </m:r>
          </m:sub>
        </m:sSub>
      </m:oMath>
      <w:r>
        <w:t>.</w:t>
      </w:r>
    </w:p>
    <w:p>
      <w:pPr>
        <w:pStyle w:val="Heading2"/>
      </w:pPr>
      <w:r>
        <w:rPr>
          <w:rFonts w:ascii="Times New Roman" w:hAnsi="Times New Roman"/>
          <w:b w:val="0"/>
          <w:i/>
          <w:color w:val="2F5496"/>
          <w:sz w:val="24"/>
        </w:rPr>
        <w:t>B.6 Welfare Cost of Sovereignty</w:t>
      </w:r>
    </w:p>
    <w:p>
      <w:pPr>
        <w:spacing w:before="0" w:after="80" w:line="360" w:lineRule="auto"/>
        <w:ind w:firstLine="0"/>
        <w:jc w:val="both"/>
      </w:pPr>
      <w:r>
        <w:t xml:space="preserve">The welfare cost has two components. For each importing country </w:t>
      </w:r>
      <m:oMath>
        <m:r>
          <m:rPr>
            <m:sty m:val="i"/>
          </m:rPr>
          <w:rPr>
            <w:rFonts w:ascii="Cambria Math" w:hAnsi="Cambria Math"/>
          </w:rPr>
          <m:t xml:space="preserve">k</m:t>
        </m:r>
      </m:oMath>
      <w:r>
        <w:t xml:space="preserve">, let </w:t>
      </w:r>
      <m:oMath>
        <m:sSubSup>
          <m:sSubSupPr/>
          <m:e>
            <m:r>
              <m:rPr>
                <m:sty m:val="i"/>
              </m:rPr>
              <w:rPr>
                <w:rFonts w:ascii="Cambria Math" w:hAnsi="Cambria Math"/>
              </w:rPr>
              <m:t xml:space="preserve">j</m:t>
            </m:r>
          </m:e>
          <m:sub>
            <m:r>
              <m:rPr>
                <m:sty m:val="i"/>
              </m:rPr>
              <w:rPr>
                <w:rFonts w:ascii="Cambria Math" w:hAnsi="Cambria Math"/>
              </w:rPr>
              <m:t xml:space="preserve">k</m:t>
            </m:r>
          </m:sub>
          <m:sup>
            <m:r>
              <m:rPr>
                <m:sty m:val="i"/>
              </m:rPr>
              <w:rPr>
                <w:rFonts w:ascii="Cambria Math" w:hAnsi="Cambria Math"/>
              </w:rPr>
              <m:t xml:space="preserve">*</m:t>
            </m:r>
          </m:sup>
        </m:sSubSup>
      </m:oMath>
      <w:r>
        <w:t xml:space="preserve"> denote its equilibrium supplier (the seller minimizing delivered cost), and write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evaluated at </w:t>
      </w:r>
      <m:oMath>
        <m:r>
          <m:rPr>
            <m:sty m:val="i"/>
          </m:rPr>
          <w:rPr>
            <w:rFonts w:ascii="Cambria Math" w:hAnsi="Cambria Math"/>
          </w:rPr>
          <m:t xml:space="preserve">j</m:t>
        </m:r>
        <m:r>
          <m:rPr>
            <m:sty m:val="p"/>
          </m:rPr>
          <w:rPr>
            <w:rFonts w:ascii="Cambria Math" w:hAnsi="Cambria Math"/>
          </w:rPr>
          <m:t xml:space="preserve"> = </m:t>
        </m:r>
        <m:sSubSup>
          <m:sSubSupPr/>
          <m:e>
            <m:r>
              <m:rPr>
                <m:sty m:val="i"/>
              </m:rPr>
              <w:rPr>
                <w:rFonts w:ascii="Cambria Math" w:hAnsi="Cambria Math"/>
              </w:rPr>
              <m:t xml:space="preserve">j</m:t>
            </m:r>
          </m:e>
          <m:sub>
            <m:r>
              <m:rPr>
                <m:sty m:val="i"/>
              </m:rPr>
              <w:rPr>
                <w:rFonts w:ascii="Cambria Math" w:hAnsi="Cambria Math"/>
              </w:rPr>
              <m:t xml:space="preserve">k</m:t>
            </m:r>
          </m:sub>
          <m:sup>
            <m:r>
              <m:rPr>
                <m:sty m:val="i"/>
              </m:rPr>
              <w:rPr>
                <w:rFonts w:ascii="Cambria Math" w:hAnsi="Cambria Math"/>
              </w:rPr>
              <m:t xml:space="preserve">*</m:t>
            </m:r>
          </m:sup>
        </m:sSubSup>
      </m:oMath>
      <w:r>
        <w:t>. Import markup:</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e>
              </m:nary>
              <m:r>
                <m:rPr>
                  <m:sty m:val="p"/>
                </m:rPr>
                <w:rPr>
                  <w:rFonts w:ascii="Cambria Math" w:hAnsi="Cambria Math"/>
                </w:rPr>
                <m:t xml:space="preserve">.</m:t>
              </m:r>
            </m:oMath>
          </w:p>
        </w:tc>
        <w:tc>
          <w:tcPr>
            <w:tcW w:w="720" w:type="dxa"/>
            <w:vAlign w:val="center"/>
          </w:tcPr>
          <w:p>
            <w:pPr>
              <w:jc w:val="right"/>
              <w:spacing w:before="60" w:after="60"/>
            </w:pPr>
            <w:bookmarkStart w:id="1704" w:name="EqB.4"/>
            <w:r>
              <w:t>(B.4)</w:t>
            </w:r>
            <w:bookmarkEnd w:id="1704"/>
          </w:p>
        </w:tc>
      </w:tr>
    </w:tbl>
    <w:p>
      <w:pPr>
        <w:spacing w:before="80" w:after="80" w:line="360" w:lineRule="auto"/>
        <w:ind w:firstLine="0"/>
        <w:jc w:val="both"/>
      </w:pPr>
      <w:r>
        <w:t>Allocative inefficiency: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alloc</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m:t>
                  </m:r>
                  <m:limLow>
                    <m:limLowPr/>
                    <m:e>
                      <m:r>
                        <m:rPr>
                          <m:sty m:val="p"/>
                        </m:rPr>
                        <w:rPr>
                          <w:rFonts w:ascii="Cambria Math" w:hAnsi="Cambria Math"/>
                        </w:rPr>
                        <m:t xml:space="preserve">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m:t>
                  </m:r>
                </m:e>
              </m:nary>
            </m:oMath>
          </w:p>
        </w:tc>
        <w:tc>
          <w:tcPr>
            <w:tcW w:w="720" w:type="dxa"/>
            <w:vAlign w:val="center"/>
          </w:tcPr>
          <w:p>
            <w:pPr>
              <w:jc w:val="right"/>
              <w:spacing w:before="60" w:after="60"/>
            </w:pPr>
            <w:bookmarkStart w:id="1705" w:name="EqB.5"/>
            <w:r>
              <w:t>(B.5)</w:t>
            </w:r>
            <w:bookmarkEnd w:id="1705"/>
          </w:p>
        </w:tc>
      </w:tr>
    </w:tbl>
    <w:p>
      <w:pPr>
        <w:spacing w:before="80" w:after="160" w:line="360" w:lineRule="auto"/>
        <w:ind w:firstLine="0"/>
        <w:jc w:val="both"/>
      </w:pPr>
      <w:r>
        <w:t xml:space="preserve">Total: </w:t>
      </w:r>
      <m:oMath>
        <m:r>
          <m:rPr>
            <m:sty m:val="p"/>
          </m:rPr>
          <w:rPr>
            <w:rFonts w:ascii="Cambria Math" w:hAnsi="Cambria Math"/>
          </w:rPr>
          <m:t xml:space="preserve">DWL = </m:t>
        </m:r>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alloc</m:t>
            </m:r>
          </m:sub>
        </m:sSub>
      </m:oMath>
      <w:r>
        <w:t xml:space="preserve">. Under capacity constraints, both components are smaller because the higher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narrows the gap between domestic and import costs.</w:t>
      </w:r>
    </w:p>
    <w:p>
      <w:pPr>
        <w:pStyle w:val="Heading1"/>
      </w:pPr>
      <w:r>
        <w:rPr>
          <w:rFonts w:ascii="Times New Roman" w:hAnsi="Times New Roman"/>
          <w:b/>
          <w:color w:val="2F5496"/>
          <w:sz w:val="28"/>
        </w:rPr>
        <w:t>Appendix C: Sensitivity Analysis</w:t>
      </w:r>
    </w:p>
    <w:p>
      <w:pPr>
        <w:spacing w:before="0" w:after="160" w:line="360" w:lineRule="auto"/>
        <w:ind w:firstLine="0"/>
        <w:jc w:val="both"/>
      </w:pPr>
      <w:hyperlink w:anchor="TableA3" w:history="1">
        <w:r>
          <w:rPr>
            <w:color w:val="1F3864"/>
            <w:u w:val="single"/>
          </w:rPr>
          <w:t xml:space="preserve">Table A3</w:t>
        </w:r>
      </w:hyperlink>
      <w:r>
        <w:t xml:space="preserve"> reports cost-recovery rankings under three robustness specifications. The baseline uses the calibrated hardware cost; the alternative scenarios vary the hardware cost share to test sensitivity of the rankings.</w:t>
      </w:r>
    </w:p>
    <w:p>
      <w:pPr>
        <w:spacing w:before="0" w:after="60" w:line="360" w:lineRule="auto"/>
        <w:ind w:firstLine="0"/>
        <w:jc w:val="both"/>
      </w:pPr>
      <w:bookmarkStart w:id="142" w:name="TableA3"/>
      <w:hyperlink w:anchor="TableA3txt" w:history="1">
        <w:r>
          <w:rPr>
            <w:b/>
            <w:sz w:val="20"/>
            <w:color w:val="1F3864"/>
            <w:u w:val="single"/>
          </w:rPr>
          <w:t>Table A3</w:t>
        </w:r>
      </w:hyperlink>
      <w:bookmarkEnd w:id="142"/>
      <w:r>
        <w:rPr>
          <w:b/>
          <w:sz w:val="20"/>
        </w:rPr>
        <w:t>. Sensitivity of cost-recovery rankings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40"/>
        <w:gridCol w:w="1440"/>
        <w:gridCol w:w="1440"/>
        <w:gridCol w:w="1440"/>
        <w:gridCol w:w="1440"/>
        <w:gridCol w:w="1440"/>
      </w:tblGrid>
      <w:tr>
        <w:tc>
          <w:tcPr>
            <w:tcBorders>
              <w:top w:val="single" w:sz="4" w:space="0" w:color="auto"/>
              <w:bottom w:val="single" w:sz="4" w:space="0" w:color="auto"/>
            </w:tcBorders>
            <w:tcW w:w="2000" w:type="dxa"/>
          </w:tcPr>
          <w:p>
            <w:pPr>
              <w:jc w:val="center"/>
              <w:spacing w:before="10" w:after="10"/>
            </w:pPr>
            <w:r/>
            <w:r>
              <w:rPr>
                <w:b/>
                <w:sz w:val="16"/>
              </w:rPr>
              <w:t>Scenario</w:t>
            </w:r>
          </w:p>
        </w:tc>
        <w:tc>
          <w:tcPr>
            <w:tcBorders>
              <w:top w:val="single" w:sz="4" w:space="0" w:color="auto"/>
              <w:bottom w:val="single" w:sz="4" w:space="0" w:color="auto"/>
            </w:tcBorders>
            <w:tcW w:w="2200" w:type="dxa"/>
          </w:tcPr>
          <w:p>
            <w:pPr>
              <w:jc w:val="center"/>
              <w:spacing w:before="10" w:after="10"/>
            </w:pPr>
            <w:r/>
            <w:r>
              <w:rPr>
                <w:b/>
                <w:sz w:val="16"/>
              </w:rPr>
              <w:t>Parameter change</w:t>
            </w:r>
          </w:p>
        </w:tc>
        <w:tc>
          <w:tcPr>
            <w:tcBorders>
              <w:top w:val="single" w:sz="4" w:space="0" w:color="auto"/>
              <w:bottom w:val="single" w:sz="4" w:space="0" w:color="auto"/>
            </w:tcBorders>
            <w:tcW w:w="700" w:type="dxa"/>
          </w:tcPr>
          <w:p>
            <w:pPr>
              <w:jc w:val="center"/>
              <w:spacing w:before="10" w:after="10"/>
            </w:pPr>
            <w:r/>
            <w:r>
              <w:rPr>
                <w:b/>
                <w:sz w:val="16"/>
              </w:rPr>
              <w:t>Dev top 15</w:t>
            </w:r>
          </w:p>
        </w:tc>
        <w:tc>
          <w:tcPr>
            <w:tcBorders>
              <w:top w:val="single" w:sz="4" w:space="0" w:color="auto"/>
              <w:bottom w:val="single" w:sz="4" w:space="0" w:color="auto"/>
            </w:tcBorders>
            <w:tcW w:w="700" w:type="dxa"/>
          </w:tcPr>
          <w:p>
            <w:pPr>
              <w:jc w:val="center"/>
              <w:spacing w:before="10" w:after="10"/>
            </w:pPr>
            <w:r/>
            <w:r>
              <w:rPr>
                <w:b/>
                <w:sz w:val="16"/>
              </w:rPr>
              <w:t>Max spread</w:t>
            </w:r>
          </w:p>
        </w:tc>
        <w:tc>
          <w:tcPr>
            <w:tcBorders>
              <w:top w:val="single" w:sz="4" w:space="0" w:color="auto"/>
              <w:bottom w:val="single" w:sz="4" w:space="0" w:color="auto"/>
            </w:tcBorders>
            <w:tcW w:w="900" w:type="dxa"/>
          </w:tcPr>
          <w:p>
            <w:pPr>
              <w:jc w:val="center"/>
              <w:spacing w:before="10" w:after="10"/>
            </w:pPr>
            <w:r/>
            <w:r>
              <w:rPr>
                <w:b/>
                <w:sz w:val="16"/>
              </w:rPr>
              <w:t>Spearman ρ vs baseline</w:t>
            </w:r>
          </w:p>
        </w:tc>
        <w:tc>
          <w:tcPr>
            <w:tcBorders>
              <w:top w:val="single" w:sz="4" w:space="0" w:color="auto"/>
              <w:bottom w:val="single" w:sz="4" w:space="0" w:color="auto"/>
            </w:tcBorders>
            <w:tcW w:w="2300" w:type="dxa"/>
          </w:tcPr>
          <w:p>
            <w:pPr>
              <w:jc w:val="center"/>
              <w:spacing w:before="10" w:after="10"/>
            </w:pPr>
            <w:r/>
            <w:r>
              <w:rPr>
                <w:b/>
                <w:sz w:val="16"/>
              </w:rPr>
              <w:t>Top 5</w:t>
            </w:r>
          </w:p>
        </w:tc>
      </w:tr>
      <w:tr>
        <w:tc>
          <w:tcPr>
            <w:tcW w:w="2000" w:type="dxa"/>
          </w:tcPr>
          <w:p>
            <w:pPr>
              <w:spacing w:before="10" w:after="10"/>
            </w:pPr>
            <w:r/>
            <w:r>
              <w:rPr>
                <w:sz w:val="16"/>
              </w:rPr>
              <w:t>Baseline (ρ=$1.36)</w:t>
            </w:r>
          </w:p>
        </w:tc>
        <w:tc>
          <w:tcPr>
            <w:tcW w:w="2200" w:type="dxa"/>
          </w:tcPr>
          <w:p>
            <w:pPr>
              <w:spacing w:before="10" w:after="10"/>
            </w:pPr>
            <w:r/>
            <w:r>
              <w:rPr>
                <w:sz w:val="16"/>
              </w:rPr>
              <w:t>ρ=$1.36</w:t>
            </w:r>
          </w:p>
        </w:tc>
        <w:tc>
          <w:tcPr>
            <w:tcW w:w="700" w:type="dxa"/>
          </w:tcPr>
          <w:p>
            <w:pPr>
              <w:jc w:val="right"/>
              <w:spacing w:before="10" w:after="10"/>
            </w:pPr>
            <w:r/>
            <w:r>
              <w:rPr>
                <w:sz w:val="16"/>
              </w:rPr>
              <w:t>10</w:t>
            </w:r>
          </w:p>
        </w:tc>
        <w:tc>
          <w:tcPr>
            <w:tcW w:w="700" w:type="dxa"/>
          </w:tcPr>
          <w:p>
            <w:pPr>
              <w:jc w:val="right"/>
              <w:spacing w:before="10" w:after="10"/>
            </w:pPr>
            <w:r/>
            <w:r>
              <w:rPr>
                <w:sz w:val="16"/>
              </w:rPr>
              <w:t>11.9%</w:t>
            </w:r>
          </w:p>
        </w:tc>
        <w:tc>
          <w:tcPr>
            <w:tcW w:w="900" w:type="dxa"/>
          </w:tcPr>
          <w:p>
            <w:pPr>
              <w:jc w:val="right"/>
              <w:spacing w:before="10" w:after="10"/>
            </w:pPr>
            <w:r/>
            <w:r>
              <w:rPr>
                <w:sz w:val="16"/>
              </w:rPr>
              <w:t>1.00</w:t>
            </w:r>
          </w:p>
        </w:tc>
        <w:tc>
          <w:tcPr>
            <w:tcW w:w="2300" w:type="dxa"/>
          </w:tcPr>
          <w:p>
            <w:pPr>
              <w:jc w:val="right"/>
              <w:spacing w:before="10" w:after="10"/>
            </w:pPr>
            <w:r/>
            <w:r>
              <w:rPr>
                <w:sz w:val="16"/>
              </w:rPr>
              <w:t>Kyrgyzstan, Canada, Ethiopia, Kosovo, Tajikistan</w:t>
            </w:r>
          </w:p>
        </w:tc>
      </w:tr>
      <w:tr>
        <w:tc>
          <w:tcPr>
            <w:tcW w:w="2000" w:type="dxa"/>
          </w:tcPr>
          <w:p>
            <w:pPr>
              <w:spacing w:before="10" w:after="10"/>
            </w:pPr>
            <w:r/>
            <w:r>
              <w:rPr>
                <w:sz w:val="16"/>
              </w:rPr>
              <w:t>Low hardware share (ρ=$1.30)</w:t>
            </w:r>
          </w:p>
        </w:tc>
        <w:tc>
          <w:tcPr>
            <w:tcW w:w="2200" w:type="dxa"/>
          </w:tcPr>
          <w:p>
            <w:pPr>
              <w:spacing w:before="10" w:after="10"/>
            </w:pPr>
            <w:r/>
            <w:r>
              <w:rPr>
                <w:sz w:val="16"/>
              </w:rPr>
              <w:t>ρ=$1.30 (−4.4%)</w:t>
            </w:r>
          </w:p>
        </w:tc>
        <w:tc>
          <w:tcPr>
            <w:tcW w:w="700" w:type="dxa"/>
          </w:tcPr>
          <w:p>
            <w:pPr>
              <w:jc w:val="right"/>
              <w:spacing w:before="10" w:after="10"/>
            </w:pPr>
            <w:r/>
            <w:r>
              <w:rPr>
                <w:sz w:val="16"/>
              </w:rPr>
              <w:t>10</w:t>
            </w:r>
          </w:p>
        </w:tc>
        <w:tc>
          <w:tcPr>
            <w:tcW w:w="700" w:type="dxa"/>
          </w:tcPr>
          <w:p>
            <w:pPr>
              <w:jc w:val="right"/>
              <w:spacing w:before="10" w:after="10"/>
            </w:pPr>
            <w:r/>
            <w:r>
              <w:rPr>
                <w:sz w:val="16"/>
              </w:rPr>
              <w:t>12.3%</w:t>
            </w:r>
          </w:p>
        </w:tc>
        <w:tc>
          <w:tcPr>
            <w:tcW w:w="900" w:type="dxa"/>
          </w:tcPr>
          <w:p>
            <w:pPr>
              <w:jc w:val="right"/>
              <w:spacing w:before="10" w:after="10"/>
            </w:pPr>
            <w:r/>
            <w:r>
              <w:rPr>
                <w:sz w:val="16"/>
              </w:rPr>
              <w:t>1.00</w:t>
            </w:r>
          </w:p>
        </w:tc>
        <w:tc>
          <w:tcPr>
            <w:tcW w:w="2300" w:type="dxa"/>
          </w:tcPr>
          <w:p>
            <w:pPr>
              <w:jc w:val="right"/>
              <w:spacing w:before="10" w:after="10"/>
            </w:pPr>
            <w:r/>
            <w:r>
              <w:rPr>
                <w:sz w:val="16"/>
              </w:rPr>
              <w:t>Kyrgyzstan, Canada, Ethiopia, Kosovo, Tajikistan</w:t>
            </w:r>
          </w:p>
        </w:tc>
      </w:tr>
      <w:tr>
        <w:tc>
          <w:tcPr>
            <w:tcBorders>
              <w:bottom w:val="double" w:sz="4" w:space="0" w:color="auto"/>
            </w:tcBorders>
            <w:tcW w:w="2000" w:type="dxa"/>
          </w:tcPr>
          <w:p>
            <w:pPr>
              <w:spacing w:before="10" w:after="10"/>
            </w:pPr>
            <w:r/>
            <w:r>
              <w:rPr>
                <w:sz w:val="16"/>
              </w:rPr>
              <w:t>High hardware share (ρ=$1.42)</w:t>
            </w:r>
          </w:p>
        </w:tc>
        <w:tc>
          <w:tcPr>
            <w:tcBorders>
              <w:bottom w:val="double" w:sz="4" w:space="0" w:color="auto"/>
            </w:tcBorders>
            <w:tcW w:w="2200" w:type="dxa"/>
          </w:tcPr>
          <w:p>
            <w:pPr>
              <w:spacing w:before="10" w:after="10"/>
            </w:pPr>
            <w:r/>
            <w:r>
              <w:rPr>
                <w:sz w:val="16"/>
              </w:rPr>
              <w:t>ρ=$1.42 (+4.4%)</w:t>
            </w:r>
          </w:p>
        </w:tc>
        <w:tc>
          <w:tcPr>
            <w:tcBorders>
              <w:bottom w:val="double" w:sz="4" w:space="0" w:color="auto"/>
            </w:tcBorders>
            <w:tcW w:w="700" w:type="dxa"/>
          </w:tcPr>
          <w:p>
            <w:pPr>
              <w:jc w:val="right"/>
              <w:spacing w:before="10" w:after="10"/>
            </w:pPr>
            <w:r/>
            <w:r>
              <w:rPr>
                <w:sz w:val="16"/>
              </w:rPr>
              <w:t>10</w:t>
            </w:r>
          </w:p>
        </w:tc>
        <w:tc>
          <w:tcPr>
            <w:tcBorders>
              <w:bottom w:val="double" w:sz="4" w:space="0" w:color="auto"/>
            </w:tcBorders>
            <w:tcW w:w="700" w:type="dxa"/>
          </w:tcPr>
          <w:p>
            <w:pPr>
              <w:jc w:val="right"/>
              <w:spacing w:before="10" w:after="10"/>
            </w:pPr>
            <w:r/>
            <w:r>
              <w:rPr>
                <w:sz w:val="16"/>
              </w:rPr>
              <w:t>11.4%</w:t>
            </w:r>
          </w:p>
        </w:tc>
        <w:tc>
          <w:tcPr>
            <w:tcBorders>
              <w:bottom w:val="double" w:sz="4" w:space="0" w:color="auto"/>
            </w:tcBorders>
            <w:tcW w:w="900" w:type="dxa"/>
          </w:tcPr>
          <w:p>
            <w:pPr>
              <w:jc w:val="right"/>
              <w:spacing w:before="10" w:after="10"/>
            </w:pPr>
            <w:r/>
            <w:r>
              <w:rPr>
                <w:sz w:val="16"/>
              </w:rPr>
              <w:t>1.00</w:t>
            </w:r>
          </w:p>
        </w:tc>
        <w:tc>
          <w:tcPr>
            <w:tcBorders>
              <w:bottom w:val="double" w:sz="4" w:space="0" w:color="auto"/>
            </w:tcBorders>
            <w:tcW w:w="2300" w:type="dxa"/>
          </w:tcPr>
          <w:p>
            <w:pPr>
              <w:jc w:val="right"/>
              <w:spacing w:before="10" w:after="10"/>
            </w:pPr>
            <w:r/>
            <w:r>
              <w:rPr>
                <w:sz w:val="16"/>
              </w:rPr>
              <w:t>Kyrgyzstan, Canada, Ethiopia, Kosovo, Tajikistan</w:t>
            </w:r>
          </w:p>
        </w:tc>
      </w:tr>
    </w:tbl>
    <w:p>
      <w:pPr>
        <w:spacing w:before="40" w:after="0" w:line="240" w:lineRule="auto"/>
        <w:ind w:firstLine="0"/>
        <w:jc w:val="left"/>
      </w:pPr>
      <w:r>
        <w:rPr>
          <w:sz w:val="20"/>
        </w:rPr>
        <w:t>Notes: Each row uses cost-recovery pricing (subsidized tariffs replaced with LRMC). Dev top 15 = number of developing countries in top 15. Max spread = maximum percentage difference between costliest and cheapest producer. Spearman ρ vs baseline = rank correlation with baseline scenario.</w:t>
      </w:r>
    </w:p>
    <w:p>
      <w:pPr>
        <w:pStyle w:val="Heading1"/>
      </w:pPr>
      <w:r>
        <w:rPr>
          <w:rFonts w:ascii="Times New Roman" w:hAnsi="Times New Roman"/>
          <w:b/>
          <w:color w:val="2F5496"/>
          <w:sz w:val="28"/>
        </w:rPr>
        <w:t>Appendix D: Data Center Investment Model — Kyrgyzstan</w:t>
      </w:r>
    </w:p>
    <w:p>
      <w:pPr>
        <w:spacing w:before="0" w:after="160" w:line="360" w:lineRule="auto"/>
        <w:ind w:firstLine="0"/>
        <w:jc w:val="both"/>
      </w:pPr>
      <w:bookmarkStart w:id="145" w:name="TableA4txt"/>
      <w:bookmarkEnd w:id="145"/>
      <w:bookmarkStart w:id="147" w:name="TableA5txt"/>
      <w:bookmarkEnd w:id="147"/>
      <w:bookmarkStart w:id="149" w:name="TableA6txt"/>
      <w:bookmarkEnd w:id="149"/>
      <w:r>
        <w:t xml:space="preserve">This appendix presents a 15-year discounted cash flow (DCF) analysis for a hypothetical 40 MW data center in Kyrgyzstan, the lowest-cost seller in the cost-recovery-adjusted calibration. </w:t>
      </w:r>
      <w:hyperlink w:anchor="TableA4" w:history="1">
        <w:r>
          <w:rPr>
            <w:color w:val="1F3864"/>
            <w:u w:val="single"/>
          </w:rPr>
          <w:t xml:space="preserve">Table A4</w:t>
        </w:r>
      </w:hyperlink>
      <w:r>
        <w:t xml:space="preserve"> summarizes facility parameters, </w:t>
      </w:r>
      <w:hyperlink w:anchor="TableA5" w:history="1">
        <w:r>
          <w:rPr>
            <w:color w:val="1F3864"/>
            <w:u w:val="single"/>
          </w:rPr>
          <w:t xml:space="preserve">Table A5</w:t>
        </w:r>
      </w:hyperlink>
      <w:r>
        <w:t xml:space="preserve"> presents the year-by-year cash flow, and </w:t>
      </w:r>
      <w:hyperlink w:anchor="TableA6" w:history="1">
        <w:r>
          <w:rPr>
            <w:color w:val="1F3864"/>
            <w:u w:val="single"/>
          </w:rPr>
          <w:t xml:space="preserve">Table A6</w:t>
        </w:r>
      </w:hyperlink>
      <w:r>
        <w:t xml:space="preserve"> reports sensitivity to parameter variation.</w:t>
      </w:r>
    </w:p>
    <w:p>
      <w:pPr>
        <w:spacing w:before="0" w:after="60" w:line="360" w:lineRule="auto"/>
        <w:ind w:firstLine="0"/>
        <w:jc w:val="both"/>
      </w:pPr>
      <w:bookmarkStart w:id="144" w:name="TableA4"/>
      <w:hyperlink w:anchor="TableA4txt" w:history="1">
        <w:r>
          <w:rPr>
            <w:b/>
            <w:sz w:val="20"/>
            <w:color w:val="1F3864"/>
            <w:u w:val="single"/>
          </w:rPr>
          <w:t>Table A4</w:t>
        </w:r>
      </w:hyperlink>
      <w:bookmarkEnd w:id="144"/>
      <w:r>
        <w:rPr>
          <w:b/>
          <w:sz w:val="20"/>
        </w:rPr>
        <w:t>. Facility specification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Borders>
              <w:top w:val="single" w:sz="4" w:space="0" w:color="auto"/>
              <w:bottom w:val="single" w:sz="4" w:space="0" w:color="auto"/>
            </w:tcBorders>
            <w:tcW w:w="3500" w:type="dxa"/>
          </w:tcPr>
          <w:p>
            <w:pPr>
              <w:jc w:val="center"/>
              <w:spacing w:before="10" w:after="10"/>
            </w:pPr>
            <w:r/>
            <w:r>
              <w:rPr>
                <w:b/>
                <w:sz w:val="16"/>
              </w:rPr>
              <w:t>Parameter</w:t>
            </w:r>
          </w:p>
        </w:tc>
        <w:tc>
          <w:tcPr>
            <w:tcBorders>
              <w:top w:val="single" w:sz="4" w:space="0" w:color="auto"/>
              <w:bottom w:val="single" w:sz="4" w:space="0" w:color="auto"/>
            </w:tcBorders>
            <w:tcW w:w="5300" w:type="dxa"/>
          </w:tcPr>
          <w:p>
            <w:pPr>
              <w:jc w:val="center"/>
              <w:spacing w:before="10" w:after="10"/>
            </w:pPr>
            <w:r/>
            <w:r>
              <w:rPr>
                <w:b/>
                <w:sz w:val="16"/>
              </w:rPr>
              <w:t>Value</w:t>
            </w:r>
          </w:p>
        </w:tc>
      </w:tr>
      <w:tr>
        <w:tc>
          <w:tcPr>
            <w:tcW w:w="3500" w:type="dxa"/>
          </w:tcPr>
          <w:p>
            <w:pPr>
              <w:spacing w:before="10" w:after="10"/>
            </w:pPr>
            <w:r/>
            <w:r>
              <w:rPr>
                <w:sz w:val="16"/>
              </w:rPr>
              <w:t>IT capacity</w:t>
            </w:r>
          </w:p>
        </w:tc>
        <w:tc>
          <w:tcPr>
            <w:tcW w:w="5300" w:type="dxa"/>
          </w:tcPr>
          <w:p>
            <w:pPr>
              <w:spacing w:before="10" w:after="10"/>
            </w:pPr>
            <w:r/>
            <w:r>
              <w:rPr>
                <w:sz w:val="16"/>
              </w:rPr>
              <w:t>40 MW</w:t>
            </w:r>
          </w:p>
        </w:tc>
      </w:tr>
      <w:tr>
        <w:tc>
          <w:tcPr>
            <w:tcW w:w="3500" w:type="dxa"/>
          </w:tcPr>
          <w:p>
            <w:pPr>
              <w:spacing w:before="10" w:after="10"/>
            </w:pPr>
            <w:r/>
            <w:r>
              <w:rPr>
                <w:sz w:val="16"/>
              </w:rPr>
              <w:t>Total power (with cooling)</w:t>
            </w:r>
          </w:p>
        </w:tc>
        <w:tc>
          <w:tcPr>
            <w:tcW w:w="5300" w:type="dxa"/>
          </w:tcPr>
          <w:p>
            <w:pPr>
              <w:spacing w:before="10" w:after="10"/>
            </w:pPr>
            <w:r/>
            <w:r>
              <w:rPr>
                <w:sz w:val="16"/>
              </w:rPr>
              <w:t>43.2 MW (PUE = 1.08)</w:t>
            </w:r>
          </w:p>
        </w:tc>
      </w:tr>
      <w:tr>
        <w:tc>
          <w:tcPr>
            <w:tcW w:w="3500" w:type="dxa"/>
          </w:tcPr>
          <w:p>
            <w:pPr>
              <w:spacing w:before="10" w:after="10"/>
            </w:pPr>
            <w:r/>
            <w:r>
              <w:rPr>
                <w:sz w:val="16"/>
              </w:rPr>
              <w:t>GPU count</w:t>
            </w:r>
          </w:p>
        </w:tc>
        <w:tc>
          <w:tcPr>
            <w:tcW w:w="5300" w:type="dxa"/>
          </w:tcPr>
          <w:p>
            <w:pPr>
              <w:spacing w:before="10" w:after="10"/>
            </w:pPr>
            <w:r/>
            <w:r>
              <w:rPr>
                <w:sz w:val="16"/>
              </w:rPr>
              <w:t>57,142 (H100-class, 700W each)</w:t>
            </w:r>
          </w:p>
        </w:tc>
      </w:tr>
      <w:tr>
        <w:tc>
          <w:tcPr>
            <w:tcW w:w="3500" w:type="dxa"/>
          </w:tcPr>
          <w:p>
            <w:pPr>
              <w:spacing w:before="10" w:after="10"/>
            </w:pPr>
            <w:r/>
            <w:r>
              <w:rPr>
                <w:sz w:val="16"/>
              </w:rPr>
              <w:t>GPU cost / lifetime</w:t>
            </w:r>
          </w:p>
        </w:tc>
        <w:tc>
          <w:tcPr>
            <w:tcW w:w="5300" w:type="dxa"/>
          </w:tcPr>
          <w:p>
            <w:pPr>
              <w:spacing w:before="10" w:after="10"/>
            </w:pPr>
            <w:r/>
            <w:r>
              <w:rPr>
                <w:sz w:val="16"/>
              </w:rPr>
              <w:t>$25,000 / 3 yr (−10% per generation)</w:t>
            </w:r>
          </w:p>
        </w:tc>
      </w:tr>
      <w:tr>
        <w:tc>
          <w:tcPr>
            <w:tcW w:w="3500" w:type="dxa"/>
          </w:tcPr>
          <w:p>
            <w:pPr>
              <w:spacing w:before="10" w:after="10"/>
            </w:pPr>
            <w:r/>
            <w:r>
              <w:rPr>
                <w:sz w:val="16"/>
              </w:rPr>
              <w:t>Construction cost</w:t>
            </w:r>
          </w:p>
        </w:tc>
        <w:tc>
          <w:tcPr>
            <w:tcW w:w="5300" w:type="dxa"/>
          </w:tcPr>
          <w:p>
            <w:pPr>
              <w:spacing w:before="10" w:after="10"/>
            </w:pPr>
            <w:r/>
            <w:r>
              <w:rPr>
                <w:sz w:val="16"/>
              </w:rPr>
              <w:t>$313M ($7.83/W)</w:t>
            </w:r>
          </w:p>
        </w:tc>
      </w:tr>
      <w:tr>
        <w:tc>
          <w:tcPr>
            <w:tcW w:w="3500" w:type="dxa"/>
          </w:tcPr>
          <w:p>
            <w:pPr>
              <w:spacing w:before="10" w:after="10"/>
            </w:pPr>
            <w:r/>
            <w:r>
              <w:rPr>
                <w:sz w:val="16"/>
              </w:rPr>
              <w:t>Electricity price</w:t>
            </w:r>
          </w:p>
        </w:tc>
        <w:tc>
          <w:tcPr>
            <w:tcW w:w="5300" w:type="dxa"/>
          </w:tcPr>
          <w:p>
            <w:pPr>
              <w:spacing w:before="10" w:after="10"/>
            </w:pPr>
            <w:r/>
            <w:r>
              <w:rPr>
                <w:sz w:val="16"/>
              </w:rPr>
              <w:t>$0.038/kWh (+2%/yr real)</w:t>
            </w:r>
          </w:p>
        </w:tc>
      </w:tr>
      <w:tr>
        <w:tc>
          <w:tcPr>
            <w:tcW w:w="3500" w:type="dxa"/>
          </w:tcPr>
          <w:p>
            <w:pPr>
              <w:spacing w:before="10" w:after="10"/>
            </w:pPr>
            <w:r/>
            <w:r>
              <w:rPr>
                <w:sz w:val="16"/>
              </w:rPr>
              <w:t>Revenue price</w:t>
            </w:r>
          </w:p>
        </w:tc>
        <w:tc>
          <w:tcPr>
            <w:tcW w:w="5300" w:type="dxa"/>
          </w:tcPr>
          <w:p>
            <w:pPr>
              <w:spacing w:before="10" w:after="10"/>
            </w:pPr>
            <w:r/>
            <w:r>
              <w:rPr>
                <w:sz w:val="16"/>
              </w:rPr>
              <w:t>$2.00/GPU-hr (wholesale)</w:t>
            </w:r>
          </w:p>
        </w:tc>
      </w:tr>
      <w:tr>
        <w:tc>
          <w:tcPr>
            <w:tcW w:w="3500" w:type="dxa"/>
          </w:tcPr>
          <w:p>
            <w:pPr>
              <w:spacing w:before="10" w:after="10"/>
            </w:pPr>
            <w:r/>
            <w:r>
              <w:rPr>
                <w:sz w:val="16"/>
              </w:rPr>
              <w:t>Utilization</w:t>
            </w:r>
          </w:p>
        </w:tc>
        <w:tc>
          <w:tcPr>
            <w:tcW w:w="5300" w:type="dxa"/>
          </w:tcPr>
          <w:p>
            <w:pPr>
              <w:spacing w:before="10" w:after="10"/>
            </w:pPr>
            <w:r/>
            <w:r>
              <w:rPr>
                <w:sz w:val="16"/>
              </w:rPr>
              <w:t>70% steady-state (40% yr 1, 60% yr 2)</w:t>
            </w:r>
          </w:p>
        </w:tc>
      </w:tr>
      <w:tr>
        <w:tc>
          <w:tcPr>
            <w:tcBorders>
              <w:bottom w:val="double" w:sz="4" w:space="0" w:color="auto"/>
            </w:tcBorders>
            <w:tcW w:w="3500" w:type="dxa"/>
          </w:tcPr>
          <w:p>
            <w:pPr>
              <w:spacing w:before="10" w:after="10"/>
            </w:pPr>
            <w:r/>
            <w:r>
              <w:rPr>
                <w:sz w:val="16"/>
              </w:rPr>
              <w:t>WACC</w:t>
            </w:r>
          </w:p>
        </w:tc>
        <w:tc>
          <w:tcPr>
            <w:tcBorders>
              <w:bottom w:val="double" w:sz="4" w:space="0" w:color="auto"/>
            </w:tcBorders>
            <w:tcW w:w="5300" w:type="dxa"/>
          </w:tcPr>
          <w:p>
            <w:pPr>
              <w:spacing w:before="10" w:after="10"/>
            </w:pPr>
            <w:r/>
            <w:r>
              <w:rPr>
                <w:sz w:val="16"/>
              </w:rPr>
              <w:t>12.6%</w:t>
            </w:r>
          </w:p>
        </w:tc>
      </w:tr>
    </w:tbl>
    <w:p>
      <w:pPr>
        <w:spacing w:before="40" w:after="80" w:line="240" w:lineRule="auto"/>
        <w:ind w:firstLine="0"/>
        <w:jc w:val="left"/>
      </w:pPr>
      <w:r>
        <w:rPr>
          <w:sz w:val="20"/>
        </w:rPr>
        <w:t>Notes: WACC = 60% × 15% (cost of equity) + 40% × 10% × (1 − 10%) (after-tax debt) = 12.6%. Cost of equity includes a 4% country risk premium and 6% emerging-market equity premium over the 5% risk-free rate.</w:t>
      </w:r>
    </w:p>
    <w:p>
      <w:pPr>
        <w:spacing w:before="0" w:after="60" w:line="360" w:lineRule="auto"/>
        <w:ind w:firstLine="0"/>
        <w:jc w:val="both"/>
      </w:pPr>
      <w:bookmarkStart w:id="146" w:name="TableA5"/>
      <w:hyperlink w:anchor="TableA5txt" w:history="1">
        <w:r>
          <w:rPr>
            <w:b/>
            <w:sz w:val="20"/>
            <w:color w:val="1F3864"/>
            <w:u w:val="single"/>
          </w:rPr>
          <w:t>Table A5</w:t>
        </w:r>
      </w:hyperlink>
      <w:bookmarkEnd w:id="146"/>
      <w:r>
        <w:rPr>
          <w:b/>
          <w:sz w:val="20"/>
        </w:rPr>
        <w:t>. Year-by-year cash flow ($ millions)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700" w:type="dxa"/>
          </w:tcPr>
          <w:p>
            <w:pPr>
              <w:jc w:val="center"/>
              <w:spacing w:before="10" w:after="10"/>
            </w:pPr>
            <w:r/>
            <w:r>
              <w:rPr>
                <w:b/>
                <w:sz w:val="16"/>
              </w:rPr>
              <w:t>Year</w:t>
            </w:r>
          </w:p>
        </w:tc>
        <w:tc>
          <w:tcPr>
            <w:tcBorders>
              <w:top w:val="single" w:sz="4" w:space="0" w:color="auto"/>
              <w:bottom w:val="single" w:sz="4" w:space="0" w:color="auto"/>
            </w:tcBorders>
            <w:tcW w:w="1400" w:type="dxa"/>
          </w:tcPr>
          <w:p>
            <w:pPr>
              <w:jc w:val="center"/>
              <w:spacing w:before="10" w:after="10"/>
            </w:pPr>
            <w:r/>
            <w:r>
              <w:rPr>
                <w:b/>
                <w:sz w:val="16"/>
              </w:rPr>
              <w:t>CAPEX</w:t>
            </w:r>
          </w:p>
        </w:tc>
        <w:tc>
          <w:tcPr>
            <w:tcBorders>
              <w:top w:val="single" w:sz="4" w:space="0" w:color="auto"/>
              <w:bottom w:val="single" w:sz="4" w:space="0" w:color="auto"/>
            </w:tcBorders>
            <w:tcW w:w="1400" w:type="dxa"/>
          </w:tcPr>
          <w:p>
            <w:pPr>
              <w:jc w:val="center"/>
              <w:spacing w:before="10" w:after="10"/>
            </w:pPr>
            <w:r/>
            <w:r>
              <w:rPr>
                <w:b/>
                <w:sz w:val="16"/>
              </w:rPr>
              <w:t>Revenue</w:t>
            </w:r>
          </w:p>
        </w:tc>
        <w:tc>
          <w:tcPr>
            <w:tcBorders>
              <w:top w:val="single" w:sz="4" w:space="0" w:color="auto"/>
              <w:bottom w:val="single" w:sz="4" w:space="0" w:color="auto"/>
            </w:tcBorders>
            <w:tcW w:w="1400" w:type="dxa"/>
          </w:tcPr>
          <w:p>
            <w:pPr>
              <w:jc w:val="center"/>
              <w:spacing w:before="10" w:after="10"/>
            </w:pPr>
            <w:r/>
            <w:r>
              <w:rPr>
                <w:b/>
                <w:sz w:val="16"/>
              </w:rPr>
              <w:t>OPEX</w:t>
            </w:r>
          </w:p>
        </w:tc>
        <w:tc>
          <w:tcPr>
            <w:tcBorders>
              <w:top w:val="single" w:sz="4" w:space="0" w:color="auto"/>
              <w:bottom w:val="single" w:sz="4" w:space="0" w:color="auto"/>
            </w:tcBorders>
            <w:tcW w:w="1400" w:type="dxa"/>
          </w:tcPr>
          <w:p>
            <w:pPr>
              <w:jc w:val="center"/>
              <w:spacing w:before="10" w:after="10"/>
            </w:pPr>
            <w:r/>
            <w:r>
              <w:rPr>
                <w:b/>
                <w:sz w:val="16"/>
              </w:rPr>
              <w:t>EBITDA</w:t>
            </w:r>
          </w:p>
        </w:tc>
        <w:tc>
          <w:tcPr>
            <w:tcBorders>
              <w:top w:val="single" w:sz="4" w:space="0" w:color="auto"/>
              <w:bottom w:val="single" w:sz="4" w:space="0" w:color="auto"/>
            </w:tcBorders>
            <w:tcW w:w="1400" w:type="dxa"/>
          </w:tcPr>
          <w:p>
            <w:pPr>
              <w:jc w:val="center"/>
              <w:spacing w:before="10" w:after="10"/>
            </w:pPr>
            <w:r/>
            <w:r>
              <w:rPr>
                <w:b/>
                <w:sz w:val="16"/>
              </w:rPr>
              <w:t>FCF</w:t>
            </w:r>
          </w:p>
        </w:tc>
        <w:tc>
          <w:tcPr>
            <w:tcBorders>
              <w:top w:val="single" w:sz="4" w:space="0" w:color="auto"/>
              <w:bottom w:val="single" w:sz="4" w:space="0" w:color="auto"/>
            </w:tcBorders>
            <w:tcW w:w="1100" w:type="dxa"/>
          </w:tcPr>
          <w:p>
            <w:pPr>
              <w:jc w:val="center"/>
              <w:spacing w:before="10" w:after="10"/>
            </w:pPr>
            <w:r/>
            <w:r>
              <w:rPr>
                <w:b/>
                <w:sz w:val="16"/>
              </w:rPr>
              <w:t>Cum. CF</w:t>
            </w:r>
          </w:p>
        </w:tc>
      </w:tr>
      <w:tr>
        <w:tc>
          <w:tcPr>
            <w:tcW w:w="700" w:type="dxa"/>
          </w:tcPr>
          <w:p>
            <w:pPr>
              <w:spacing w:before="10" w:after="10"/>
            </w:pPr>
            <w:r/>
            <w:r>
              <w:rPr>
                <w:sz w:val="16"/>
              </w:rPr>
              <w:t>0</w:t>
            </w:r>
          </w:p>
        </w:tc>
        <w:tc>
          <w:tcPr>
            <w:tcW w:w="1400" w:type="dxa"/>
          </w:tcPr>
          <w:p>
            <w:pPr>
              <w:spacing w:before="10" w:after="10"/>
            </w:pPr>
            <w:r/>
            <w:r>
              <w:rPr>
                <w:sz w:val="16"/>
              </w:rPr>
              <w:t>313.2</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-313.2</w:t>
            </w:r>
          </w:p>
        </w:tc>
        <w:tc>
          <w:tcPr>
            <w:tcW w:w="1100" w:type="dxa"/>
          </w:tcPr>
          <w:p>
            <w:pPr>
              <w:jc w:val="right"/>
              <w:spacing w:before="10" w:after="10"/>
            </w:pPr>
            <w:r/>
            <w:r>
              <w:rPr>
                <w:sz w:val="16"/>
              </w:rPr>
              <w:t>-313.2</w:t>
            </w:r>
          </w:p>
        </w:tc>
      </w:tr>
      <w:tr>
        <w:tc>
          <w:tcPr>
            <w:tcW w:w="700" w:type="dxa"/>
          </w:tcPr>
          <w:p>
            <w:pPr>
              <w:spacing w:before="10" w:after="10"/>
            </w:pPr>
            <w:r/>
            <w:r>
              <w:rPr>
                <w:sz w:val="16"/>
              </w:rPr>
              <w:t>1</w:t>
            </w:r>
          </w:p>
        </w:tc>
        <w:tc>
          <w:tcPr>
            <w:tcW w:w="1400" w:type="dxa"/>
          </w:tcPr>
          <w:p>
            <w:pPr>
              <w:spacing w:before="10" w:after="10"/>
            </w:pPr>
            <w:r/>
            <w:r>
              <w:rPr>
                <w:sz w:val="16"/>
              </w:rPr>
              <w:t>1542.8</w:t>
            </w:r>
          </w:p>
        </w:tc>
        <w:tc>
          <w:tcPr>
            <w:tcW w:w="1400" w:type="dxa"/>
          </w:tcPr>
          <w:p>
            <w:pPr>
              <w:jc w:val="right"/>
              <w:spacing w:before="10" w:after="10"/>
            </w:pPr>
            <w:r/>
            <w:r>
              <w:rPr>
                <w:sz w:val="16"/>
              </w:rPr>
              <w:t>400.7</w:t>
            </w:r>
          </w:p>
        </w:tc>
        <w:tc>
          <w:tcPr>
            <w:tcW w:w="1400" w:type="dxa"/>
          </w:tcPr>
          <w:p>
            <w:pPr>
              <w:jc w:val="right"/>
              <w:spacing w:before="10" w:after="10"/>
            </w:pPr>
            <w:r/>
            <w:r>
              <w:rPr>
                <w:sz w:val="16"/>
              </w:rPr>
              <w:t>32.4</w:t>
            </w:r>
          </w:p>
        </w:tc>
        <w:tc>
          <w:tcPr>
            <w:tcW w:w="1400" w:type="dxa"/>
          </w:tcPr>
          <w:p>
            <w:pPr>
              <w:jc w:val="right"/>
              <w:spacing w:before="10" w:after="10"/>
            </w:pPr>
            <w:r/>
            <w:r>
              <w:rPr>
                <w:sz w:val="16"/>
              </w:rPr>
              <w:t>368.4</w:t>
            </w:r>
          </w:p>
        </w:tc>
        <w:tc>
          <w:tcPr>
            <w:tcW w:w="1400" w:type="dxa"/>
          </w:tcPr>
          <w:p>
            <w:pPr>
              <w:jc w:val="right"/>
              <w:spacing w:before="10" w:after="10"/>
            </w:pPr>
            <w:r/>
            <w:r>
              <w:rPr>
                <w:sz w:val="16"/>
              </w:rPr>
              <w:t>-1174.5</w:t>
            </w:r>
          </w:p>
        </w:tc>
        <w:tc>
          <w:tcPr>
            <w:tcW w:w="1100" w:type="dxa"/>
          </w:tcPr>
          <w:p>
            <w:pPr>
              <w:jc w:val="right"/>
              <w:spacing w:before="10" w:after="10"/>
            </w:pPr>
            <w:r/>
            <w:r>
              <w:rPr>
                <w:sz w:val="16"/>
              </w:rPr>
              <w:t>-1487.7</w:t>
            </w:r>
          </w:p>
        </w:tc>
      </w:tr>
      <w:tr>
        <w:tc>
          <w:tcPr>
            <w:tcW w:w="700" w:type="dxa"/>
          </w:tcPr>
          <w:p>
            <w:pPr>
              <w:spacing w:before="10" w:after="10"/>
            </w:pPr>
            <w:r/>
            <w:r>
              <w:rPr>
                <w:sz w:val="16"/>
              </w:rPr>
              <w:t>2</w:t>
            </w:r>
          </w:p>
        </w:tc>
        <w:tc>
          <w:tcPr>
            <w:tcW w:w="1400" w:type="dxa"/>
          </w:tcPr>
          <w:p>
            <w:pPr>
              <w:spacing w:before="10" w:after="10"/>
            </w:pPr>
            <w:r/>
            <w:r>
              <w:rPr>
                <w:sz w:val="16"/>
              </w:rPr>
              <w:t>0.0</w:t>
            </w:r>
          </w:p>
        </w:tc>
        <w:tc>
          <w:tcPr>
            <w:tcW w:w="1400" w:type="dxa"/>
          </w:tcPr>
          <w:p>
            <w:pPr>
              <w:jc w:val="right"/>
              <w:spacing w:before="10" w:after="10"/>
            </w:pPr>
            <w:r/>
            <w:r>
              <w:rPr>
                <w:sz w:val="16"/>
              </w:rPr>
              <w:t>601.1</w:t>
            </w:r>
          </w:p>
        </w:tc>
        <w:tc>
          <w:tcPr>
            <w:tcW w:w="1400" w:type="dxa"/>
          </w:tcPr>
          <w:p>
            <w:pPr>
              <w:jc w:val="right"/>
              <w:spacing w:before="10" w:after="10"/>
            </w:pPr>
            <w:r/>
            <w:r>
              <w:rPr>
                <w:sz w:val="16"/>
              </w:rPr>
              <w:t>30.3</w:t>
            </w:r>
          </w:p>
        </w:tc>
        <w:tc>
          <w:tcPr>
            <w:tcW w:w="1400" w:type="dxa"/>
          </w:tcPr>
          <w:p>
            <w:pPr>
              <w:jc w:val="right"/>
              <w:spacing w:before="10" w:after="10"/>
            </w:pPr>
            <w:r/>
            <w:r>
              <w:rPr>
                <w:sz w:val="16"/>
              </w:rPr>
              <w:t>570.8</w:t>
            </w:r>
          </w:p>
        </w:tc>
        <w:tc>
          <w:tcPr>
            <w:tcW w:w="1400" w:type="dxa"/>
          </w:tcPr>
          <w:p>
            <w:pPr>
              <w:jc w:val="right"/>
              <w:spacing w:before="10" w:after="10"/>
            </w:pPr>
            <w:r/>
            <w:r>
              <w:rPr>
                <w:sz w:val="16"/>
              </w:rPr>
              <w:t>563.4</w:t>
            </w:r>
          </w:p>
        </w:tc>
        <w:tc>
          <w:tcPr>
            <w:tcW w:w="1100" w:type="dxa"/>
          </w:tcPr>
          <w:p>
            <w:pPr>
              <w:jc w:val="right"/>
              <w:spacing w:before="10" w:after="10"/>
            </w:pPr>
            <w:r/>
            <w:r>
              <w:rPr>
                <w:sz w:val="16"/>
              </w:rPr>
              <w:t>-924.2</w:t>
            </w:r>
          </w:p>
        </w:tc>
      </w:tr>
      <w:tr>
        <w:tc>
          <w:tcPr>
            <w:tcW w:w="700" w:type="dxa"/>
          </w:tcPr>
          <w:p>
            <w:pPr>
              <w:spacing w:before="10" w:after="10"/>
            </w:pPr>
            <w:r/>
            <w:r>
              <w:rPr>
                <w:sz w:val="16"/>
              </w:rPr>
              <w:t>3</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28.2</w:t>
            </w:r>
          </w:p>
        </w:tc>
        <w:tc>
          <w:tcPr>
            <w:tcW w:w="1400" w:type="dxa"/>
          </w:tcPr>
          <w:p>
            <w:pPr>
              <w:jc w:val="right"/>
              <w:spacing w:before="10" w:after="10"/>
            </w:pPr>
            <w:r/>
            <w:r>
              <w:rPr>
                <w:sz w:val="16"/>
              </w:rPr>
              <w:t>673.1</w:t>
            </w:r>
          </w:p>
        </w:tc>
        <w:tc>
          <w:tcPr>
            <w:tcW w:w="1400" w:type="dxa"/>
          </w:tcPr>
          <w:p>
            <w:pPr>
              <w:jc w:val="right"/>
              <w:spacing w:before="10" w:after="10"/>
            </w:pPr>
            <w:r/>
            <w:r>
              <w:rPr>
                <w:sz w:val="16"/>
              </w:rPr>
              <w:t>655.5</w:t>
            </w:r>
          </w:p>
        </w:tc>
        <w:tc>
          <w:tcPr>
            <w:tcW w:w="1100" w:type="dxa"/>
          </w:tcPr>
          <w:p>
            <w:pPr>
              <w:jc w:val="right"/>
              <w:spacing w:before="10" w:after="10"/>
            </w:pPr>
            <w:r/>
            <w:r>
              <w:rPr>
                <w:sz w:val="16"/>
              </w:rPr>
              <w:t>-268.8</w:t>
            </w:r>
          </w:p>
        </w:tc>
      </w:tr>
      <w:tr>
        <w:tc>
          <w:tcPr>
            <w:tcW w:w="700" w:type="dxa"/>
          </w:tcPr>
          <w:p>
            <w:pPr>
              <w:spacing w:before="10" w:after="10"/>
            </w:pPr>
            <w:r/>
            <w:r>
              <w:rPr>
                <w:sz w:val="16"/>
              </w:rPr>
              <w:t>4</w:t>
            </w:r>
          </w:p>
        </w:tc>
        <w:tc>
          <w:tcPr>
            <w:tcW w:w="1400" w:type="dxa"/>
          </w:tcPr>
          <w:p>
            <w:pPr>
              <w:spacing w:before="10" w:after="10"/>
            </w:pPr>
            <w:r/>
            <w:r>
              <w:rPr>
                <w:sz w:val="16"/>
              </w:rPr>
              <w:t>1285.7</w:t>
            </w:r>
          </w:p>
        </w:tc>
        <w:tc>
          <w:tcPr>
            <w:tcW w:w="1400" w:type="dxa"/>
          </w:tcPr>
          <w:p>
            <w:pPr>
              <w:jc w:val="right"/>
              <w:spacing w:before="10" w:after="10"/>
            </w:pPr>
            <w:r/>
            <w:r>
              <w:rPr>
                <w:sz w:val="16"/>
              </w:rPr>
              <w:t>701.3</w:t>
            </w:r>
          </w:p>
        </w:tc>
        <w:tc>
          <w:tcPr>
            <w:tcW w:w="1400" w:type="dxa"/>
          </w:tcPr>
          <w:p>
            <w:pPr>
              <w:jc w:val="right"/>
              <w:spacing w:before="10" w:after="10"/>
            </w:pPr>
            <w:r/>
            <w:r>
              <w:rPr>
                <w:sz w:val="16"/>
              </w:rPr>
              <w:t>32.6</w:t>
            </w:r>
          </w:p>
        </w:tc>
        <w:tc>
          <w:tcPr>
            <w:tcW w:w="1400" w:type="dxa"/>
          </w:tcPr>
          <w:p>
            <w:pPr>
              <w:jc w:val="right"/>
              <w:spacing w:before="10" w:after="10"/>
            </w:pPr>
            <w:r/>
            <w:r>
              <w:rPr>
                <w:sz w:val="16"/>
              </w:rPr>
              <w:t>668.7</w:t>
            </w:r>
          </w:p>
        </w:tc>
        <w:tc>
          <w:tcPr>
            <w:tcW w:w="1400" w:type="dxa"/>
          </w:tcPr>
          <w:p>
            <w:pPr>
              <w:jc w:val="right"/>
              <w:spacing w:before="10" w:after="10"/>
            </w:pPr>
            <w:r/>
            <w:r>
              <w:rPr>
                <w:sz w:val="16"/>
              </w:rPr>
              <w:t>-638.9</w:t>
            </w:r>
          </w:p>
        </w:tc>
        <w:tc>
          <w:tcPr>
            <w:tcW w:w="1100" w:type="dxa"/>
          </w:tcPr>
          <w:p>
            <w:pPr>
              <w:jc w:val="right"/>
              <w:spacing w:before="10" w:after="10"/>
            </w:pPr>
            <w:r/>
            <w:r>
              <w:rPr>
                <w:sz w:val="16"/>
              </w:rPr>
              <w:t>-907.7</w:t>
            </w:r>
          </w:p>
        </w:tc>
      </w:tr>
      <w:tr>
        <w:tc>
          <w:tcPr>
            <w:tcW w:w="700" w:type="dxa"/>
          </w:tcPr>
          <w:p>
            <w:pPr>
              <w:spacing w:before="10" w:after="10"/>
            </w:pPr>
            <w:r/>
            <w:r>
              <w:rPr>
                <w:sz w:val="16"/>
              </w:rPr>
              <w:t>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30.8</w:t>
            </w:r>
          </w:p>
        </w:tc>
        <w:tc>
          <w:tcPr>
            <w:tcW w:w="1400" w:type="dxa"/>
          </w:tcPr>
          <w:p>
            <w:pPr>
              <w:jc w:val="right"/>
              <w:spacing w:before="10" w:after="10"/>
            </w:pPr>
            <w:r/>
            <w:r>
              <w:rPr>
                <w:sz w:val="16"/>
              </w:rPr>
              <w:t>670.5</w:t>
            </w:r>
          </w:p>
        </w:tc>
        <w:tc>
          <w:tcPr>
            <w:tcW w:w="1400" w:type="dxa"/>
          </w:tcPr>
          <w:p>
            <w:pPr>
              <w:jc w:val="right"/>
              <w:spacing w:before="10" w:after="10"/>
            </w:pPr>
            <w:r/>
            <w:r>
              <w:rPr>
                <w:sz w:val="16"/>
              </w:rPr>
              <w:t>648.4</w:t>
            </w:r>
          </w:p>
        </w:tc>
        <w:tc>
          <w:tcPr>
            <w:tcW w:w="1100" w:type="dxa"/>
          </w:tcPr>
          <w:p>
            <w:pPr>
              <w:jc w:val="right"/>
              <w:spacing w:before="10" w:after="10"/>
            </w:pPr>
            <w:r/>
            <w:r>
              <w:rPr>
                <w:sz w:val="16"/>
              </w:rPr>
              <w:t>-259.3</w:t>
            </w:r>
          </w:p>
        </w:tc>
      </w:tr>
      <w:tr>
        <w:tc>
          <w:tcPr>
            <w:tcW w:w="700" w:type="dxa"/>
          </w:tcPr>
          <w:p>
            <w:pPr>
              <w:spacing w:before="10" w:after="10"/>
            </w:pPr>
            <w:r/>
            <w:r>
              <w:rPr>
                <w:sz w:val="16"/>
              </w:rPr>
              <w:t>6</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29.0</w:t>
            </w:r>
          </w:p>
        </w:tc>
        <w:tc>
          <w:tcPr>
            <w:tcW w:w="1400" w:type="dxa"/>
          </w:tcPr>
          <w:p>
            <w:pPr>
              <w:jc w:val="right"/>
              <w:spacing w:before="10" w:after="10"/>
            </w:pPr>
            <w:r/>
            <w:r>
              <w:rPr>
                <w:sz w:val="16"/>
              </w:rPr>
              <w:t>672.3</w:t>
            </w:r>
          </w:p>
        </w:tc>
        <w:tc>
          <w:tcPr>
            <w:tcW w:w="1400" w:type="dxa"/>
          </w:tcPr>
          <w:p>
            <w:pPr>
              <w:jc w:val="right"/>
              <w:spacing w:before="10" w:after="10"/>
            </w:pPr>
            <w:r/>
            <w:r>
              <w:rPr>
                <w:sz w:val="16"/>
              </w:rPr>
              <w:t>535.7</w:t>
            </w:r>
          </w:p>
        </w:tc>
        <w:tc>
          <w:tcPr>
            <w:tcW w:w="1100" w:type="dxa"/>
          </w:tcPr>
          <w:p>
            <w:pPr>
              <w:jc w:val="right"/>
              <w:spacing w:before="10" w:after="10"/>
            </w:pPr>
            <w:r/>
            <w:r>
              <w:rPr>
                <w:sz w:val="16"/>
              </w:rPr>
              <w:t>276.4</w:t>
            </w:r>
          </w:p>
        </w:tc>
      </w:tr>
      <w:tr>
        <w:tc>
          <w:tcPr>
            <w:tcW w:w="700" w:type="dxa"/>
          </w:tcPr>
          <w:p>
            <w:pPr>
              <w:spacing w:before="10" w:after="10"/>
            </w:pPr>
            <w:r/>
            <w:r>
              <w:rPr>
                <w:sz w:val="16"/>
              </w:rPr>
              <w:t>7</w:t>
            </w:r>
          </w:p>
        </w:tc>
        <w:tc>
          <w:tcPr>
            <w:tcW w:w="1400" w:type="dxa"/>
          </w:tcPr>
          <w:p>
            <w:pPr>
              <w:spacing w:before="10" w:after="10"/>
            </w:pPr>
            <w:r/>
            <w:r>
              <w:rPr>
                <w:sz w:val="16"/>
              </w:rPr>
              <w:t>1157.1</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668.3</w:t>
            </w:r>
          </w:p>
        </w:tc>
        <w:tc>
          <w:tcPr>
            <w:tcW w:w="1400" w:type="dxa"/>
          </w:tcPr>
          <w:p>
            <w:pPr>
              <w:jc w:val="right"/>
              <w:spacing w:before="10" w:after="10"/>
            </w:pPr>
            <w:r/>
            <w:r>
              <w:rPr>
                <w:sz w:val="16"/>
              </w:rPr>
              <w:t>-515.0</w:t>
            </w:r>
          </w:p>
        </w:tc>
        <w:tc>
          <w:tcPr>
            <w:tcW w:w="1100" w:type="dxa"/>
          </w:tcPr>
          <w:p>
            <w:pPr>
              <w:jc w:val="right"/>
              <w:spacing w:before="10" w:after="10"/>
            </w:pPr>
            <w:r/>
            <w:r>
              <w:rPr>
                <w:sz w:val="16"/>
              </w:rPr>
              <w:t>-238.6</w:t>
            </w:r>
          </w:p>
        </w:tc>
      </w:tr>
      <w:tr>
        <w:tc>
          <w:tcPr>
            <w:tcW w:w="700" w:type="dxa"/>
          </w:tcPr>
          <w:p>
            <w:pPr>
              <w:spacing w:before="10" w:after="10"/>
            </w:pPr>
            <w:r/>
            <w:r>
              <w:rPr>
                <w:sz w:val="16"/>
              </w:rPr>
              <w:t>8</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31.4</w:t>
            </w:r>
          </w:p>
        </w:tc>
        <w:tc>
          <w:tcPr>
            <w:tcW w:w="1400" w:type="dxa"/>
          </w:tcPr>
          <w:p>
            <w:pPr>
              <w:jc w:val="right"/>
              <w:spacing w:before="10" w:after="10"/>
            </w:pPr>
            <w:r/>
            <w:r>
              <w:rPr>
                <w:sz w:val="16"/>
              </w:rPr>
              <w:t>669.9</w:t>
            </w:r>
          </w:p>
        </w:tc>
        <w:tc>
          <w:tcPr>
            <w:tcW w:w="1400" w:type="dxa"/>
          </w:tcPr>
          <w:p>
            <w:pPr>
              <w:jc w:val="right"/>
              <w:spacing w:before="10" w:after="10"/>
            </w:pPr>
            <w:r/>
            <w:r>
              <w:rPr>
                <w:sz w:val="16"/>
              </w:rPr>
              <w:t>643.6</w:t>
            </w:r>
          </w:p>
        </w:tc>
        <w:tc>
          <w:tcPr>
            <w:tcW w:w="1100" w:type="dxa"/>
          </w:tcPr>
          <w:p>
            <w:pPr>
              <w:jc w:val="right"/>
              <w:spacing w:before="10" w:after="10"/>
            </w:pPr>
            <w:r/>
            <w:r>
              <w:rPr>
                <w:sz w:val="16"/>
              </w:rPr>
              <w:t>405.0</w:t>
            </w:r>
          </w:p>
        </w:tc>
      </w:tr>
      <w:tr>
        <w:tc>
          <w:tcPr>
            <w:tcW w:w="700" w:type="dxa"/>
          </w:tcPr>
          <w:p>
            <w:pPr>
              <w:spacing w:before="10" w:after="10"/>
            </w:pPr>
            <w:r/>
            <w:r>
              <w:rPr>
                <w:sz w:val="16"/>
              </w:rPr>
              <w:t>9</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29.8</w:t>
            </w:r>
          </w:p>
        </w:tc>
        <w:tc>
          <w:tcPr>
            <w:tcW w:w="1400" w:type="dxa"/>
          </w:tcPr>
          <w:p>
            <w:pPr>
              <w:jc w:val="right"/>
              <w:spacing w:before="10" w:after="10"/>
            </w:pPr>
            <w:r/>
            <w:r>
              <w:rPr>
                <w:sz w:val="16"/>
              </w:rPr>
              <w:t>671.5</w:t>
            </w:r>
          </w:p>
        </w:tc>
        <w:tc>
          <w:tcPr>
            <w:tcW w:w="1400" w:type="dxa"/>
          </w:tcPr>
          <w:p>
            <w:pPr>
              <w:jc w:val="right"/>
              <w:spacing w:before="10" w:after="10"/>
            </w:pPr>
            <w:r/>
            <w:r>
              <w:rPr>
                <w:sz w:val="16"/>
              </w:rPr>
              <w:t>645.0</w:t>
            </w:r>
          </w:p>
        </w:tc>
        <w:tc>
          <w:tcPr>
            <w:tcW w:w="1100" w:type="dxa"/>
          </w:tcPr>
          <w:p>
            <w:pPr>
              <w:jc w:val="right"/>
              <w:spacing w:before="10" w:after="10"/>
            </w:pPr>
            <w:r/>
            <w:r>
              <w:rPr>
                <w:sz w:val="16"/>
              </w:rPr>
              <w:t>1050.0</w:t>
            </w:r>
          </w:p>
        </w:tc>
      </w:tr>
      <w:tr>
        <w:tc>
          <w:tcPr>
            <w:tcW w:w="700" w:type="dxa"/>
          </w:tcPr>
          <w:p>
            <w:pPr>
              <w:spacing w:before="10" w:after="10"/>
            </w:pPr>
            <w:r/>
            <w:r>
              <w:rPr>
                <w:sz w:val="16"/>
              </w:rPr>
              <w:t>10</w:t>
            </w:r>
          </w:p>
        </w:tc>
        <w:tc>
          <w:tcPr>
            <w:tcW w:w="1400" w:type="dxa"/>
          </w:tcPr>
          <w:p>
            <w:pPr>
              <w:spacing w:before="10" w:after="10"/>
            </w:pPr>
            <w:r/>
            <w:r>
              <w:rPr>
                <w:sz w:val="16"/>
              </w:rPr>
              <w:t>1041.4</w:t>
            </w:r>
          </w:p>
        </w:tc>
        <w:tc>
          <w:tcPr>
            <w:tcW w:w="1400" w:type="dxa"/>
          </w:tcPr>
          <w:p>
            <w:pPr>
              <w:jc w:val="right"/>
              <w:spacing w:before="10" w:after="10"/>
            </w:pPr>
            <w:r/>
            <w:r>
              <w:rPr>
                <w:sz w:val="16"/>
              </w:rPr>
              <w:t>701.3</w:t>
            </w:r>
          </w:p>
        </w:tc>
        <w:tc>
          <w:tcPr>
            <w:tcW w:w="1400" w:type="dxa"/>
          </w:tcPr>
          <w:p>
            <w:pPr>
              <w:jc w:val="right"/>
              <w:spacing w:before="10" w:after="10"/>
            </w:pPr>
            <w:r/>
            <w:r>
              <w:rPr>
                <w:sz w:val="16"/>
              </w:rPr>
              <w:t>33.4</w:t>
            </w:r>
          </w:p>
        </w:tc>
        <w:tc>
          <w:tcPr>
            <w:tcW w:w="1400" w:type="dxa"/>
          </w:tcPr>
          <w:p>
            <w:pPr>
              <w:jc w:val="right"/>
              <w:spacing w:before="10" w:after="10"/>
            </w:pPr>
            <w:r/>
            <w:r>
              <w:rPr>
                <w:sz w:val="16"/>
              </w:rPr>
              <w:t>667.9</w:t>
            </w:r>
          </w:p>
        </w:tc>
        <w:tc>
          <w:tcPr>
            <w:tcW w:w="1400" w:type="dxa"/>
          </w:tcPr>
          <w:p>
            <w:pPr>
              <w:jc w:val="right"/>
              <w:spacing w:before="10" w:after="10"/>
            </w:pPr>
            <w:r/>
            <w:r>
              <w:rPr>
                <w:sz w:val="16"/>
              </w:rPr>
              <w:t>-403.5</w:t>
            </w:r>
          </w:p>
        </w:tc>
        <w:tc>
          <w:tcPr>
            <w:tcW w:w="1100" w:type="dxa"/>
          </w:tcPr>
          <w:p>
            <w:pPr>
              <w:jc w:val="right"/>
              <w:spacing w:before="10" w:after="10"/>
            </w:pPr>
            <w:r/>
            <w:r>
              <w:rPr>
                <w:sz w:val="16"/>
              </w:rPr>
              <w:t>646.5</w:t>
            </w:r>
          </w:p>
        </w:tc>
      </w:tr>
      <w:tr>
        <w:tc>
          <w:tcPr>
            <w:tcW w:w="700" w:type="dxa"/>
          </w:tcPr>
          <w:p>
            <w:pPr>
              <w:spacing w:before="10" w:after="10"/>
            </w:pPr>
            <w:r/>
            <w:r>
              <w:rPr>
                <w:sz w:val="16"/>
              </w:rPr>
              <w:t>11</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32.0</w:t>
            </w:r>
          </w:p>
        </w:tc>
        <w:tc>
          <w:tcPr>
            <w:tcW w:w="1400" w:type="dxa"/>
          </w:tcPr>
          <w:p>
            <w:pPr>
              <w:jc w:val="right"/>
              <w:spacing w:before="10" w:after="10"/>
            </w:pPr>
            <w:r/>
            <w:r>
              <w:rPr>
                <w:sz w:val="16"/>
              </w:rPr>
              <w:t>669.2</w:t>
            </w:r>
          </w:p>
        </w:tc>
        <w:tc>
          <w:tcPr>
            <w:tcW w:w="1400" w:type="dxa"/>
          </w:tcPr>
          <w:p>
            <w:pPr>
              <w:jc w:val="right"/>
              <w:spacing w:before="10" w:after="10"/>
            </w:pPr>
            <w:r/>
            <w:r>
              <w:rPr>
                <w:sz w:val="16"/>
              </w:rPr>
              <w:t>524.8</w:t>
            </w:r>
          </w:p>
        </w:tc>
        <w:tc>
          <w:tcPr>
            <w:tcW w:w="1100" w:type="dxa"/>
          </w:tcPr>
          <w:p>
            <w:pPr>
              <w:jc w:val="right"/>
              <w:spacing w:before="10" w:after="10"/>
            </w:pPr>
            <w:r/>
            <w:r>
              <w:rPr>
                <w:sz w:val="16"/>
              </w:rPr>
              <w:t>1171.3</w:t>
            </w:r>
          </w:p>
        </w:tc>
      </w:tr>
      <w:tr>
        <w:tc>
          <w:tcPr>
            <w:tcW w:w="700" w:type="dxa"/>
          </w:tcPr>
          <w:p>
            <w:pPr>
              <w:spacing w:before="10" w:after="10"/>
            </w:pPr>
            <w:r/>
            <w:r>
              <w:rPr>
                <w:sz w:val="16"/>
              </w:rPr>
              <w:t>12</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30.7</w:t>
            </w:r>
          </w:p>
        </w:tc>
        <w:tc>
          <w:tcPr>
            <w:tcW w:w="1400" w:type="dxa"/>
          </w:tcPr>
          <w:p>
            <w:pPr>
              <w:jc w:val="right"/>
              <w:spacing w:before="10" w:after="10"/>
            </w:pPr>
            <w:r/>
            <w:r>
              <w:rPr>
                <w:sz w:val="16"/>
              </w:rPr>
              <w:t>670.6</w:t>
            </w:r>
          </w:p>
        </w:tc>
        <w:tc>
          <w:tcPr>
            <w:tcW w:w="1400" w:type="dxa"/>
          </w:tcPr>
          <w:p>
            <w:pPr>
              <w:jc w:val="right"/>
              <w:spacing w:before="10" w:after="10"/>
            </w:pPr>
            <w:r/>
            <w:r>
              <w:rPr>
                <w:sz w:val="16"/>
              </w:rPr>
              <w:t>640.3</w:t>
            </w:r>
          </w:p>
        </w:tc>
        <w:tc>
          <w:tcPr>
            <w:tcW w:w="1100" w:type="dxa"/>
          </w:tcPr>
          <w:p>
            <w:pPr>
              <w:jc w:val="right"/>
              <w:spacing w:before="10" w:after="10"/>
            </w:pPr>
            <w:r/>
            <w:r>
              <w:rPr>
                <w:sz w:val="16"/>
              </w:rPr>
              <w:t>1811.6</w:t>
            </w:r>
          </w:p>
        </w:tc>
      </w:tr>
      <w:tr>
        <w:tc>
          <w:tcPr>
            <w:tcW w:w="700" w:type="dxa"/>
          </w:tcPr>
          <w:p>
            <w:pPr>
              <w:spacing w:before="10" w:after="10"/>
            </w:pPr>
            <w:r/>
            <w:r>
              <w:rPr>
                <w:sz w:val="16"/>
              </w:rPr>
              <w:t>13</w:t>
            </w:r>
          </w:p>
        </w:tc>
        <w:tc>
          <w:tcPr>
            <w:tcW w:w="1400" w:type="dxa"/>
          </w:tcPr>
          <w:p>
            <w:pPr>
              <w:spacing w:before="10" w:after="10"/>
            </w:pPr>
            <w:r/>
            <w:r>
              <w:rPr>
                <w:sz w:val="16"/>
              </w:rPr>
              <w:t>937.3</w:t>
            </w:r>
          </w:p>
        </w:tc>
        <w:tc>
          <w:tcPr>
            <w:tcW w:w="1400" w:type="dxa"/>
          </w:tcPr>
          <w:p>
            <w:pPr>
              <w:jc w:val="right"/>
              <w:spacing w:before="10" w:after="10"/>
            </w:pPr>
            <w:r/>
            <w:r>
              <w:rPr>
                <w:sz w:val="16"/>
              </w:rPr>
              <w:t>701.3</w:t>
            </w:r>
          </w:p>
        </w:tc>
        <w:tc>
          <w:tcPr>
            <w:tcW w:w="1400" w:type="dxa"/>
          </w:tcPr>
          <w:p>
            <w:pPr>
              <w:jc w:val="right"/>
              <w:spacing w:before="10" w:after="10"/>
            </w:pPr>
            <w:r/>
            <w:r>
              <w:rPr>
                <w:sz w:val="16"/>
              </w:rPr>
              <w:t>34.0</w:t>
            </w:r>
          </w:p>
        </w:tc>
        <w:tc>
          <w:tcPr>
            <w:tcW w:w="1400" w:type="dxa"/>
          </w:tcPr>
          <w:p>
            <w:pPr>
              <w:jc w:val="right"/>
              <w:spacing w:before="10" w:after="10"/>
            </w:pPr>
            <w:r/>
            <w:r>
              <w:rPr>
                <w:sz w:val="16"/>
              </w:rPr>
              <w:t>667.2</w:t>
            </w:r>
          </w:p>
        </w:tc>
        <w:tc>
          <w:tcPr>
            <w:tcW w:w="1400" w:type="dxa"/>
          </w:tcPr>
          <w:p>
            <w:pPr>
              <w:jc w:val="right"/>
              <w:spacing w:before="10" w:after="10"/>
            </w:pPr>
            <w:r/>
            <w:r>
              <w:rPr>
                <w:sz w:val="16"/>
              </w:rPr>
              <w:t>-303.4</w:t>
            </w:r>
          </w:p>
        </w:tc>
        <w:tc>
          <w:tcPr>
            <w:tcW w:w="1100" w:type="dxa"/>
          </w:tcPr>
          <w:p>
            <w:pPr>
              <w:jc w:val="right"/>
              <w:spacing w:before="10" w:after="10"/>
            </w:pPr>
            <w:r/>
            <w:r>
              <w:rPr>
                <w:sz w:val="16"/>
              </w:rPr>
              <w:t>1508.2</w:t>
            </w:r>
          </w:p>
        </w:tc>
      </w:tr>
      <w:tr>
        <w:tc>
          <w:tcPr>
            <w:tcW w:w="700" w:type="dxa"/>
          </w:tcPr>
          <w:p>
            <w:pPr>
              <w:spacing w:before="10" w:after="10"/>
            </w:pPr>
            <w:r/>
            <w:r>
              <w:rPr>
                <w:sz w:val="16"/>
              </w:rPr>
              <w:t>14</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668.4</w:t>
            </w:r>
          </w:p>
        </w:tc>
        <w:tc>
          <w:tcPr>
            <w:tcW w:w="1400" w:type="dxa"/>
          </w:tcPr>
          <w:p>
            <w:pPr>
              <w:jc w:val="right"/>
              <w:spacing w:before="10" w:after="10"/>
            </w:pPr>
            <w:r/>
            <w:r>
              <w:rPr>
                <w:sz w:val="16"/>
              </w:rPr>
              <w:t>634.9</w:t>
            </w:r>
          </w:p>
        </w:tc>
        <w:tc>
          <w:tcPr>
            <w:tcW w:w="1100" w:type="dxa"/>
          </w:tcPr>
          <w:p>
            <w:pPr>
              <w:jc w:val="right"/>
              <w:spacing w:before="10" w:after="10"/>
            </w:pPr>
            <w:r/>
            <w:r>
              <w:rPr>
                <w:sz w:val="16"/>
              </w:rPr>
              <w:t>2143.1</w:t>
            </w:r>
          </w:p>
        </w:tc>
      </w:tr>
      <w:tr>
        <w:tc>
          <w:tcPr>
            <w:tcW w:w="700" w:type="dxa"/>
          </w:tcPr>
          <w:p>
            <w:pPr>
              <w:spacing w:before="10" w:after="10"/>
            </w:pPr>
            <w:r/>
            <w:r>
              <w:rPr>
                <w:sz w:val="16"/>
              </w:rPr>
              <w:t>15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31.7</w:t>
            </w:r>
          </w:p>
        </w:tc>
        <w:tc>
          <w:tcPr>
            <w:tcW w:w="1400" w:type="dxa"/>
          </w:tcPr>
          <w:p>
            <w:pPr>
              <w:jc w:val="right"/>
              <w:spacing w:before="10" w:after="10"/>
            </w:pPr>
            <w:r/>
            <w:r>
              <w:rPr>
                <w:sz w:val="16"/>
              </w:rPr>
              <w:t>669.6</w:t>
            </w:r>
          </w:p>
        </w:tc>
        <w:tc>
          <w:tcPr>
            <w:tcW w:w="1400" w:type="dxa"/>
          </w:tcPr>
          <w:p>
            <w:pPr>
              <w:jc w:val="right"/>
              <w:spacing w:before="10" w:after="10"/>
            </w:pPr>
            <w:r/>
            <w:r>
              <w:rPr>
                <w:sz w:val="16"/>
              </w:rPr>
              <w:t>636.0</w:t>
            </w:r>
          </w:p>
        </w:tc>
        <w:tc>
          <w:tcPr>
            <w:tcW w:w="1100" w:type="dxa"/>
          </w:tcPr>
          <w:p>
            <w:pPr>
              <w:jc w:val="right"/>
              <w:spacing w:before="10" w:after="10"/>
            </w:pPr>
            <w:r/>
            <w:r>
              <w:rPr>
                <w:sz w:val="16"/>
              </w:rPr>
              <w:t>2779.1</w:t>
            </w:r>
          </w:p>
        </w:tc>
      </w:tr>
      <w:tr>
        <w:tc>
          <w:tcPr>
            <w:tcBorders>
              <w:bottom w:val="double" w:sz="4" w:space="0" w:color="auto"/>
            </w:tcBorders>
            <w:tcW w:w="700" w:type="dxa"/>
          </w:tcPr>
          <w:p>
            <w:pPr>
              <w:spacing w:before="10" w:after="10"/>
            </w:pPr>
            <w:r/>
            <w:r>
              <w:rPr>
                <w:sz w:val="16"/>
              </w:rPr>
              <w:t>Total</w:t>
            </w:r>
          </w:p>
        </w:tc>
        <w:tc>
          <w:tcPr>
            <w:tcBorders>
              <w:bottom w:val="double" w:sz="4" w:space="0" w:color="auto"/>
            </w:tcBorders>
            <w:tcW w:w="1400" w:type="dxa"/>
          </w:tcPr>
          <w:p>
            <w:pPr>
              <w:spacing w:before="10" w:after="10"/>
            </w:pPr>
            <w:r/>
            <w:r>
              <w:rPr>
                <w:sz w:val="16"/>
              </w:rPr>
              <w:t>6506.1</w:t>
            </w:r>
          </w:p>
        </w:tc>
        <w:tc>
          <w:tcPr>
            <w:tcBorders>
              <w:bottom w:val="double" w:sz="4" w:space="0" w:color="auto"/>
            </w:tcBorders>
            <w:tcW w:w="1400" w:type="dxa"/>
          </w:tcPr>
          <w:p>
            <w:pPr>
              <w:jc w:val="right"/>
              <w:spacing w:before="10" w:after="10"/>
            </w:pPr>
            <w:r/>
            <w:r>
              <w:rPr>
                <w:sz w:val="16"/>
              </w:rPr>
              <w:t>10118.3</w:t>
            </w:r>
          </w:p>
        </w:tc>
        <w:tc>
          <w:tcPr>
            <w:tcBorders>
              <w:bottom w:val="double" w:sz="4" w:space="0" w:color="auto"/>
            </w:tcBorders>
            <w:tcW w:w="1400" w:type="dxa"/>
          </w:tcPr>
          <w:p>
            <w:pPr>
              <w:jc w:val="right"/>
              <w:spacing w:before="10" w:after="10"/>
            </w:pPr>
            <w:r/>
            <w:r>
              <w:rPr>
                <w:sz w:val="16"/>
              </w:rPr>
              <w:t>472.0</w:t>
            </w:r>
          </w:p>
        </w:tc>
        <w:tc>
          <w:tcPr>
            <w:tcBorders>
              <w:bottom w:val="double" w:sz="4" w:space="0" w:color="auto"/>
            </w:tcBorders>
            <w:tcW w:w="1400" w:type="dxa"/>
          </w:tcPr>
          <w:p>
            <w:pPr>
              <w:jc w:val="right"/>
              <w:spacing w:before="10" w:after="10"/>
            </w:pPr>
            <w:r/>
            <w:r>
              <w:rPr>
                <w:sz w:val="16"/>
              </w:rPr>
              <w:t>9646.4</w:t>
            </w:r>
          </w:p>
        </w:tc>
        <w:tc>
          <w:tcPr>
            <w:tcBorders>
              <w:bottom w:val="double" w:sz="4" w:space="0" w:color="auto"/>
            </w:tcBorders>
            <w:tcW w:w="1400" w:type="dxa"/>
          </w:tcPr>
          <w:p>
            <w:pPr>
              <w:jc w:val="right"/>
              <w:spacing w:before="10" w:after="10"/>
            </w:pPr>
            <w:r/>
            <w:r>
              <w:rPr>
                <w:sz w:val="16"/>
              </w:rPr>
              <w:t>2779.1</w:t>
            </w:r>
          </w:p>
        </w:tc>
        <w:tc>
          <w:tcPr>
            <w:tcBorders>
              <w:bottom w:val="double" w:sz="4" w:space="0" w:color="auto"/>
            </w:tcBorders>
            <w:tcW w:w="1100" w:type="dxa"/>
          </w:tcPr>
          <w:p>
            <w:pPr>
              <w:jc w:val="right"/>
              <w:spacing w:before="10" w:after="10"/>
            </w:pPr>
            <w:r/>
            <w:r>
              <w:rPr>
                <w:sz w:val="16"/>
              </w:rPr>
            </w:r>
          </w:p>
        </w:tc>
      </w:tr>
    </w:tbl>
    <w:p>
      <w:pPr>
        <w:spacing w:before="80" w:after="80" w:line="360" w:lineRule="auto"/>
        <w:ind w:firstLine="0"/>
        <w:jc w:val="both"/>
      </w:pPr>
      <w:r>
        <w:t>The project yields an NPV of $353M at a 12.6% WACC, an IRR of 17.6%, and a simple payback in year 6. GPU hardware accounts for $5850M of the $6506M total CAPEX (90%), and electricity represents 53% of operating costs.</w:t>
      </w:r>
    </w:p>
    <w:p>
      <w:pPr>
        <w:spacing w:before="0" w:after="60" w:line="360" w:lineRule="auto"/>
        <w:ind w:firstLine="0"/>
        <w:jc w:val="both"/>
      </w:pPr>
      <w:bookmarkStart w:id="148" w:name="TableA6"/>
      <w:hyperlink w:anchor="TableA6txt" w:history="1">
        <w:r>
          <w:rPr>
            <w:b/>
            <w:sz w:val="20"/>
            <w:color w:val="1F3864"/>
            <w:u w:val="single"/>
          </w:rPr>
          <w:t>Table A6</w:t>
        </w:r>
      </w:hyperlink>
      <w:bookmarkEnd w:id="148"/>
      <w:r>
        <w:rPr>
          <w:b/>
          <w:sz w:val="20"/>
        </w:rPr>
        <w:t>. Sensitivity of investment returns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800" w:type="dxa"/>
          </w:tcPr>
          <w:p>
            <w:pPr>
              <w:jc w:val="center"/>
              <w:spacing w:before="10" w:after="10"/>
            </w:pPr>
            <w:r/>
            <w:r>
              <w:rPr>
                <w:b/>
                <w:sz w:val="16"/>
              </w:rPr>
              <w:t>Scenario</w:t>
            </w:r>
          </w:p>
        </w:tc>
        <w:tc>
          <w:tcPr>
            <w:tcBorders>
              <w:top w:val="single" w:sz="4" w:space="0" w:color="auto"/>
              <w:bottom w:val="single" w:sz="4" w:space="0" w:color="auto"/>
            </w:tcBorders>
            <w:tcW w:w="2400" w:type="dxa"/>
          </w:tcPr>
          <w:p>
            <w:pPr>
              <w:jc w:val="center"/>
              <w:spacing w:before="10" w:after="10"/>
            </w:pPr>
            <w:r/>
            <w:r>
              <w:rPr>
                <w:b/>
                <w:sz w:val="16"/>
              </w:rPr>
              <w:t>NPV ($M)</w:t>
            </w:r>
          </w:p>
        </w:tc>
        <w:tc>
          <w:tcPr>
            <w:tcBorders>
              <w:top w:val="single" w:sz="4" w:space="0" w:color="auto"/>
              <w:bottom w:val="single" w:sz="4" w:space="0" w:color="auto"/>
            </w:tcBorders>
            <w:tcW w:w="2600" w:type="dxa"/>
          </w:tcPr>
          <w:p>
            <w:pPr>
              <w:jc w:val="center"/>
              <w:spacing w:before="10" w:after="10"/>
            </w:pPr>
            <w:r/>
            <w:r>
              <w:rPr>
                <w:b/>
                <w:sz w:val="16"/>
              </w:rPr>
              <w:t>IRR</w:t>
            </w:r>
          </w:p>
        </w:tc>
      </w:tr>
      <w:tr>
        <w:tc>
          <w:tcPr>
            <w:tcW w:w="3800" w:type="dxa"/>
          </w:tcPr>
          <w:p>
            <w:pPr>
              <w:spacing w:before="10" w:after="10"/>
            </w:pPr>
            <w:r/>
            <w:r>
              <w:rPr>
                <w:sz w:val="16"/>
              </w:rPr>
              <w:t>Base case</w:t>
            </w:r>
          </w:p>
        </w:tc>
        <w:tc>
          <w:tcPr>
            <w:tcW w:w="2400" w:type="dxa"/>
          </w:tcPr>
          <w:p>
            <w:pPr>
              <w:jc w:val="center"/>
              <w:spacing w:before="10" w:after="10"/>
            </w:pPr>
            <w:r/>
            <w:r>
              <w:rPr>
                <w:sz w:val="16"/>
              </w:rPr>
              <w:t>$353</w:t>
            </w:r>
          </w:p>
        </w:tc>
        <w:tc>
          <w:tcPr>
            <w:tcW w:w="2600" w:type="dxa"/>
          </w:tcPr>
          <w:p>
            <w:pPr>
              <w:jc w:val="center"/>
              <w:spacing w:before="10" w:after="10"/>
            </w:pPr>
            <w:r/>
            <w:r>
              <w:rPr>
                <w:sz w:val="16"/>
              </w:rPr>
              <w:t>17.6%</w:t>
            </w:r>
          </w:p>
        </w:tc>
      </w:tr>
      <w:tr>
        <w:tc>
          <w:tcPr>
            <w:tcW w:w="3800" w:type="dxa"/>
          </w:tcPr>
          <w:p>
            <w:pPr>
              <w:spacing w:before="10" w:after="10"/>
            </w:pPr>
            <w:r/>
            <w:r>
              <w:rPr>
                <w:sz w:val="16"/>
              </w:rPr>
              <w:t>GPU price −20%</w:t>
            </w:r>
          </w:p>
        </w:tc>
        <w:tc>
          <w:tcPr>
            <w:tcW w:w="2400" w:type="dxa"/>
          </w:tcPr>
          <w:p>
            <w:pPr>
              <w:jc w:val="center"/>
              <w:spacing w:before="10" w:after="10"/>
            </w:pPr>
            <w:r/>
            <w:r>
              <w:rPr>
                <w:sz w:val="16"/>
              </w:rPr>
              <w:t>$930</w:t>
            </w:r>
          </w:p>
        </w:tc>
        <w:tc>
          <w:tcPr>
            <w:tcW w:w="2600" w:type="dxa"/>
          </w:tcPr>
          <w:p>
            <w:pPr>
              <w:jc w:val="center"/>
              <w:spacing w:before="10" w:after="10"/>
            </w:pPr>
            <w:r/>
            <w:r>
              <w:rPr>
                <w:sz w:val="16"/>
              </w:rPr>
              <w:t>27.6%</w:t>
            </w:r>
          </w:p>
        </w:tc>
      </w:tr>
      <w:tr>
        <w:tc>
          <w:tcPr>
            <w:tcW w:w="3800" w:type="dxa"/>
          </w:tcPr>
          <w:p>
            <w:pPr>
              <w:spacing w:before="10" w:after="10"/>
            </w:pPr>
            <w:r/>
            <w:r>
              <w:rPr>
                <w:sz w:val="16"/>
              </w:rPr>
              <w:t>GPU price +20%</w:t>
            </w:r>
          </w:p>
        </w:tc>
        <w:tc>
          <w:tcPr>
            <w:tcW w:w="2400" w:type="dxa"/>
          </w:tcPr>
          <w:p>
            <w:pPr>
              <w:jc w:val="center"/>
              <w:spacing w:before="10" w:after="10"/>
            </w:pPr>
            <w:r/>
            <w:r>
              <w:rPr>
                <w:sz w:val="16"/>
              </w:rPr>
              <w:t>$-225</w:t>
            </w:r>
          </w:p>
        </w:tc>
        <w:tc>
          <w:tcPr>
            <w:tcW w:w="2600" w:type="dxa"/>
          </w:tcPr>
          <w:p>
            <w:pPr>
              <w:jc w:val="center"/>
              <w:spacing w:before="10" w:after="10"/>
            </w:pPr>
            <w:r/>
            <w:r>
              <w:rPr>
                <w:sz w:val="16"/>
              </w:rPr>
              <w:t>9.7%</w:t>
            </w:r>
          </w:p>
        </w:tc>
      </w:tr>
      <w:tr>
        <w:tc>
          <w:tcPr>
            <w:tcW w:w="3800" w:type="dxa"/>
          </w:tcPr>
          <w:p>
            <w:pPr>
              <w:spacing w:before="10" w:after="10"/>
            </w:pPr>
            <w:r/>
            <w:r>
              <w:rPr>
                <w:sz w:val="16"/>
              </w:rPr>
              <w:t>Electricity +50%</w:t>
            </w:r>
          </w:p>
        </w:tc>
        <w:tc>
          <w:tcPr>
            <w:tcW w:w="2400" w:type="dxa"/>
          </w:tcPr>
          <w:p>
            <w:pPr>
              <w:jc w:val="center"/>
              <w:spacing w:before="10" w:after="10"/>
            </w:pPr>
            <w:r/>
            <w:r>
              <w:rPr>
                <w:sz w:val="16"/>
              </w:rPr>
              <w:t>$305</w:t>
            </w:r>
          </w:p>
        </w:tc>
        <w:tc>
          <w:tcPr>
            <w:tcW w:w="2600" w:type="dxa"/>
          </w:tcPr>
          <w:p>
            <w:pPr>
              <w:jc w:val="center"/>
              <w:spacing w:before="10" w:after="10"/>
            </w:pPr>
            <w:r/>
            <w:r>
              <w:rPr>
                <w:sz w:val="16"/>
              </w:rPr>
              <w:t>16.9%</w:t>
            </w:r>
          </w:p>
        </w:tc>
      </w:tr>
      <w:tr>
        <w:tc>
          <w:tcPr>
            <w:tcW w:w="3800" w:type="dxa"/>
          </w:tcPr>
          <w:p>
            <w:pPr>
              <w:spacing w:before="10" w:after="10"/>
            </w:pPr>
            <w:r/>
            <w:r>
              <w:rPr>
                <w:sz w:val="16"/>
              </w:rPr>
              <w:t>Electricity −25%</w:t>
            </w:r>
          </w:p>
        </w:tc>
        <w:tc>
          <w:tcPr>
            <w:tcW w:w="2400" w:type="dxa"/>
          </w:tcPr>
          <w:p>
            <w:pPr>
              <w:jc w:val="center"/>
              <w:spacing w:before="10" w:after="10"/>
            </w:pPr>
            <w:r/>
            <w:r>
              <w:rPr>
                <w:sz w:val="16"/>
              </w:rPr>
              <w:t>$377</w:t>
            </w:r>
          </w:p>
        </w:tc>
        <w:tc>
          <w:tcPr>
            <w:tcW w:w="2600" w:type="dxa"/>
          </w:tcPr>
          <w:p>
            <w:pPr>
              <w:jc w:val="center"/>
              <w:spacing w:before="10" w:after="10"/>
            </w:pPr>
            <w:r/>
            <w:r>
              <w:rPr>
                <w:sz w:val="16"/>
              </w:rPr>
              <w:t>17.9%</w:t>
            </w:r>
          </w:p>
        </w:tc>
      </w:tr>
      <w:tr>
        <w:tc>
          <w:tcPr>
            <w:tcW w:w="3800" w:type="dxa"/>
          </w:tcPr>
          <w:p>
            <w:pPr>
              <w:spacing w:before="10" w:after="10"/>
            </w:pPr>
            <w:r/>
            <w:r>
              <w:rPr>
                <w:sz w:val="16"/>
              </w:rPr>
              <w:t>Revenue +5%</w:t>
            </w:r>
          </w:p>
        </w:tc>
        <w:tc>
          <w:tcPr>
            <w:tcW w:w="2400" w:type="dxa"/>
          </w:tcPr>
          <w:p>
            <w:pPr>
              <w:jc w:val="center"/>
              <w:spacing w:before="10" w:after="10"/>
            </w:pPr>
            <w:r/>
            <w:r>
              <w:rPr>
                <w:sz w:val="16"/>
              </w:rPr>
              <w:t>$509</w:t>
            </w:r>
          </w:p>
        </w:tc>
        <w:tc>
          <w:tcPr>
            <w:tcW w:w="2600" w:type="dxa"/>
          </w:tcPr>
          <w:p>
            <w:pPr>
              <w:jc w:val="center"/>
              <w:spacing w:before="10" w:after="10"/>
            </w:pPr>
            <w:r/>
            <w:r>
              <w:rPr>
                <w:sz w:val="16"/>
              </w:rPr>
              <w:t>19.8%</w:t>
            </w:r>
          </w:p>
        </w:tc>
      </w:tr>
      <w:tr>
        <w:tc>
          <w:tcPr>
            <w:tcW w:w="3800" w:type="dxa"/>
          </w:tcPr>
          <w:p>
            <w:pPr>
              <w:spacing w:before="10" w:after="10"/>
            </w:pPr>
            <w:r/>
            <w:r>
              <w:rPr>
                <w:sz w:val="16"/>
              </w:rPr>
              <w:t>Revenue −5%</w:t>
            </w:r>
          </w:p>
        </w:tc>
        <w:tc>
          <w:tcPr>
            <w:tcW w:w="2400" w:type="dxa"/>
          </w:tcPr>
          <w:p>
            <w:pPr>
              <w:jc w:val="center"/>
              <w:spacing w:before="10" w:after="10"/>
            </w:pPr>
            <w:r/>
            <w:r>
              <w:rPr>
                <w:sz w:val="16"/>
              </w:rPr>
              <w:t>$198</w:t>
            </w:r>
          </w:p>
        </w:tc>
        <w:tc>
          <w:tcPr>
            <w:tcW w:w="2600" w:type="dxa"/>
          </w:tcPr>
          <w:p>
            <w:pPr>
              <w:jc w:val="center"/>
              <w:spacing w:before="10" w:after="10"/>
            </w:pPr>
            <w:r/>
            <w:r>
              <w:rPr>
                <w:sz w:val="16"/>
              </w:rPr>
              <w:t>15.4%</w:t>
            </w:r>
          </w:p>
        </w:tc>
      </w:tr>
      <w:tr>
        <w:tc>
          <w:tcPr>
            <w:tcW w:w="3800" w:type="dxa"/>
          </w:tcPr>
          <w:p>
            <w:pPr>
              <w:spacing w:before="10" w:after="10"/>
            </w:pPr>
            <w:r/>
            <w:r>
              <w:rPr>
                <w:sz w:val="16"/>
              </w:rPr>
              <w:t>Utilization 80%</w:t>
            </w:r>
          </w:p>
        </w:tc>
        <w:tc>
          <w:tcPr>
            <w:tcW w:w="2400" w:type="dxa"/>
          </w:tcPr>
          <w:p>
            <w:pPr>
              <w:jc w:val="center"/>
              <w:spacing w:before="10" w:after="10"/>
            </w:pPr>
            <w:r/>
            <w:r>
              <w:rPr>
                <w:sz w:val="16"/>
              </w:rPr>
              <w:t>$957</w:t>
            </w:r>
          </w:p>
        </w:tc>
        <w:tc>
          <w:tcPr>
            <w:tcW w:w="2600" w:type="dxa"/>
          </w:tcPr>
          <w:p>
            <w:pPr>
              <w:jc w:val="center"/>
              <w:spacing w:before="10" w:after="10"/>
            </w:pPr>
            <w:r/>
            <w:r>
              <w:rPr>
                <w:sz w:val="16"/>
              </w:rPr>
              <w:t>26.4%</w:t>
            </w:r>
          </w:p>
        </w:tc>
      </w:tr>
      <w:tr>
        <w:tc>
          <w:tcPr>
            <w:tcW w:w="3800" w:type="dxa"/>
          </w:tcPr>
          <w:p>
            <w:pPr>
              <w:spacing w:before="10" w:after="10"/>
            </w:pPr>
            <w:r/>
            <w:r>
              <w:rPr>
                <w:sz w:val="16"/>
              </w:rPr>
              <w:t>Utilization 60%</w:t>
            </w:r>
          </w:p>
        </w:tc>
        <w:tc>
          <w:tcPr>
            <w:tcW w:w="2400" w:type="dxa"/>
          </w:tcPr>
          <w:p>
            <w:pPr>
              <w:jc w:val="center"/>
              <w:spacing w:before="10" w:after="10"/>
            </w:pPr>
            <w:r/>
            <w:r>
              <w:rPr>
                <w:sz w:val="16"/>
              </w:rPr>
              <w:t>$-253</w:t>
            </w:r>
          </w:p>
        </w:tc>
        <w:tc>
          <w:tcPr>
            <w:tcW w:w="2600" w:type="dxa"/>
          </w:tcPr>
          <w:p>
            <w:pPr>
              <w:jc w:val="center"/>
              <w:spacing w:before="10" w:after="10"/>
            </w:pPr>
            <w:r/>
            <w:r>
              <w:rPr>
                <w:sz w:val="16"/>
              </w:rPr>
              <w:t>9.0%</w:t>
            </w:r>
          </w:p>
        </w:tc>
      </w:tr>
      <w:tr>
        <w:tc>
          <w:tcPr>
            <w:tcW w:w="3800" w:type="dxa"/>
          </w:tcPr>
          <w:p>
            <w:pPr>
              <w:spacing w:before="10" w:after="10"/>
            </w:pPr>
            <w:r/>
            <w:r>
              <w:rPr>
                <w:sz w:val="16"/>
              </w:rPr>
              <w:t>WACC 10%</w:t>
            </w:r>
          </w:p>
        </w:tc>
        <w:tc>
          <w:tcPr>
            <w:tcW w:w="2400" w:type="dxa"/>
          </w:tcPr>
          <w:p>
            <w:pPr>
              <w:jc w:val="center"/>
              <w:spacing w:before="10" w:after="10"/>
            </w:pPr>
            <w:r/>
            <w:r>
              <w:rPr>
                <w:sz w:val="16"/>
              </w:rPr>
              <w:t>$619</w:t>
            </w:r>
          </w:p>
        </w:tc>
        <w:tc>
          <w:tcPr>
            <w:tcW w:w="2600" w:type="dxa"/>
          </w:tcPr>
          <w:p>
            <w:pPr>
              <w:jc w:val="center"/>
              <w:spacing w:before="10" w:after="10"/>
            </w:pPr>
            <w:r/>
            <w:r>
              <w:rPr>
                <w:sz w:val="16"/>
              </w:rPr>
              <w:t>17.6%</w:t>
            </w:r>
          </w:p>
        </w:tc>
      </w:tr>
      <w:tr>
        <w:tc>
          <w:tcPr>
            <w:tcBorders>
              <w:bottom w:val="double" w:sz="4" w:space="0" w:color="auto"/>
            </w:tcBorders>
            <w:tcW w:w="3800" w:type="dxa"/>
          </w:tcPr>
          <w:p>
            <w:pPr>
              <w:spacing w:before="10" w:after="10"/>
            </w:pPr>
            <w:r/>
            <w:r>
              <w:rPr>
                <w:sz w:val="16"/>
              </w:rPr>
              <w:t>WACC 16%</w:t>
            </w:r>
          </w:p>
        </w:tc>
        <w:tc>
          <w:tcPr>
            <w:tcBorders>
              <w:bottom w:val="double" w:sz="4" w:space="0" w:color="auto"/>
            </w:tcBorders>
            <w:tcW w:w="2400" w:type="dxa"/>
          </w:tcPr>
          <w:p>
            <w:pPr>
              <w:jc w:val="center"/>
              <w:spacing w:before="10" w:after="10"/>
            </w:pPr>
            <w:r/>
            <w:r>
              <w:rPr>
                <w:sz w:val="16"/>
              </w:rPr>
              <w:t>$95</w:t>
            </w:r>
          </w:p>
        </w:tc>
        <w:tc>
          <w:tcPr>
            <w:tcBorders>
              <w:bottom w:val="double" w:sz="4" w:space="0" w:color="auto"/>
            </w:tcBorders>
            <w:tcW w:w="2600" w:type="dxa"/>
          </w:tcPr>
          <w:p>
            <w:pPr>
              <w:jc w:val="center"/>
              <w:spacing w:before="10" w:after="10"/>
            </w:pPr>
            <w:r/>
            <w:r>
              <w:rPr>
                <w:sz w:val="16"/>
              </w:rPr>
              <w:t>17.6%</w:t>
            </w:r>
          </w:p>
        </w:tc>
      </w:tr>
    </w:tbl>
    <w:p>
      <w:pPr>
        <w:spacing w:before="80" w:after="80" w:line="360" w:lineRule="auto"/>
        <w:ind w:firstLine="0"/>
        <w:jc w:val="both"/>
      </w:pPr>
      <w:r>
        <w:rPr>
          <w:b/>
        </w:rPr>
        <w:t xml:space="preserve">Risks. </w:t>
      </w:r>
      <w:r>
        <w:t xml:space="preserve">Kyrgyzstan depends on the Toktogul reservoir for over 80 percent of electricity (</w:t>
      </w:r>
      <w:bookmarkStart w:id="236" w:name="ADB2020txt"/>
      <w:hyperlink w:anchor="ADB2020" w:history="1">
        <w:r>
          <w:rPr>
            <w:color w:val="1F3864"/>
            <w:u w:val="single"/>
          </w:rPr>
          <w:t xml:space="preserve">ADB 2020</w:t>
        </w:r>
      </w:hyperlink>
      <w:bookmarkEnd w:id="236"/>
      <w:r>
        <w:t xml:space="preserve">); seasonal drawdowns and drought years create acute power shortages. GPU procurement faces US export-control uncertainty. Underdeveloped contract enforcement and regulatory frameworks raise the bilateral sovereignty premium for potential importers. Despite these risks, the engineering economics are clear: electricity at $0.038/kWh and a PUE of 1.08 yield production costs well below the global median, and the positive NPV survives eight of ten perturbations in </w:t>
      </w:r>
      <w:hyperlink w:anchor="TableA6" w:history="1">
        <w:r>
          <w:rPr>
            <w:color w:val="1F3864"/>
            <w:u w:val="single"/>
          </w:rPr>
          <w:t xml:space="preserve">Table A6</w:t>
        </w:r>
      </w:hyperlink>
      <w:r>
        <w:t>. The share of this surplus retained in Kyrgyzstan depends on the ownership and fiscal structure: if the facility is owned by a foreign hyperscaler, most operating surplus flows abroad as repatriated profits, and the host country retains only the electricity payment and construction-phase employment unless the government captures rent through taxation, equity participation, or resource royalties.</w:t>
      </w:r>
    </w:p>
    <w:p>
      <w:pPr>
        <w:pStyle w:val="Heading1"/>
      </w:pPr>
      <w:r>
        <w:rPr>
          <w:rFonts w:ascii="Times New Roman" w:hAnsi="Times New Roman"/>
          <w:b/>
          <w:color w:val="2F5496"/>
          <w:sz w:val="28"/>
        </w:rPr>
        <w:t>Appendix E: Construction Cost Regression</w:t>
      </w:r>
    </w:p>
    <w:p>
      <w:pPr>
        <w:spacing w:before="0" w:after="160" w:line="360" w:lineRule="auto"/>
        <w:ind w:firstLine="0"/>
        <w:jc w:val="both"/>
      </w:pPr>
      <w:bookmarkStart w:id="151" w:name="TableA7txt"/>
      <w:bookmarkEnd w:id="151"/>
      <w:r>
        <w:t xml:space="preserve">Data center construction costs per watt of IT capacity are observed for 37 countries from the Turner &amp; Townsend Data Centre Construction Cost Index 2025 (52 markets). For the remaining countries, construction costs are predicted using the log-linear regression reported in </w:t>
      </w:r>
      <w:hyperlink w:anchor="TableA7" w:history="1">
        <w:r>
          <w:rPr>
            <w:color w:val="1F3864"/>
            <w:u w:val="single"/>
          </w:rPr>
          <w:t xml:space="preserve">Table A7</w:t>
        </w:r>
      </w:hyperlink>
      <w:r>
        <w:t>. The dependent variable is ln($/W). Since construction accounts for only 3–6% of total per-GPU-hour costs, imputation error has limited impact on cost rankings.</w:t>
      </w:r>
    </w:p>
    <w:p>
      <w:pPr>
        <w:spacing w:before="0" w:after="60" w:line="360" w:lineRule="auto"/>
        <w:ind w:firstLine="0"/>
        <w:jc w:val="both"/>
      </w:pPr>
      <w:bookmarkStart w:id="150" w:name="TableA7"/>
      <w:hyperlink w:anchor="TableA7txt" w:history="1">
        <w:r>
          <w:rPr>
            <w:b/>
            <w:sz w:val="20"/>
            <w:color w:val="1F3864"/>
            <w:u w:val="single"/>
          </w:rPr>
          <w:t>Table A7</w:t>
        </w:r>
      </w:hyperlink>
      <w:bookmarkEnd w:id="150"/>
      <w:r>
        <w:rPr>
          <w:b/>
          <w:sz w:val="20"/>
        </w:rPr>
        <w:t>. Construction cost regression: ln($/W)</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600" w:type="dxa"/>
          </w:tcPr>
          <w:p>
            <w:pPr>
              <w:jc w:val="center"/>
              <w:spacing w:before="10" w:after="10"/>
            </w:pPr>
            <w:r/>
            <w:r>
              <w:rPr>
                <w:b/>
                <w:sz w:val="16"/>
              </w:rPr>
              <w:t>Variable</w:t>
            </w:r>
          </w:p>
        </w:tc>
        <w:tc>
          <w:tcPr>
            <w:tcBorders>
              <w:top w:val="single" w:sz="4" w:space="0" w:color="auto"/>
              <w:bottom w:val="single" w:sz="4" w:space="0" w:color="auto"/>
            </w:tcBorders>
            <w:tcW w:w="2200" w:type="dxa"/>
          </w:tcPr>
          <w:p>
            <w:pPr>
              <w:jc w:val="center"/>
              <w:spacing w:before="10" w:after="10"/>
            </w:pPr>
            <w:r/>
            <w:r>
              <w:rPr>
                <w:b/>
                <w:sz w:val="16"/>
              </w:rPr>
              <w:t>Coefficient</w:t>
            </w:r>
          </w:p>
        </w:tc>
        <w:tc>
          <w:tcPr>
            <w:tcBorders>
              <w:top w:val="single" w:sz="4" w:space="0" w:color="auto"/>
              <w:bottom w:val="single" w:sz="4" w:space="0" w:color="auto"/>
            </w:tcBorders>
            <w:tcW w:w="2200" w:type="dxa"/>
          </w:tcPr>
          <w:p>
            <w:pPr>
              <w:jc w:val="center"/>
              <w:spacing w:before="10" w:after="10"/>
            </w:pPr>
            <w:r/>
            <w:r>
              <w:rPr>
                <w:b/>
                <w:sz w:val="16"/>
              </w:rPr>
              <w:t>Std. Error</w:t>
            </w:r>
          </w:p>
        </w:tc>
      </w:tr>
      <w:tr>
        <w:tc>
          <w:tcPr>
            <w:tcW w:w="3600" w:type="dxa"/>
          </w:tcPr>
          <w:p>
            <w:pPr>
              <w:spacing w:before="10" w:after="10"/>
            </w:pPr>
            <w:r/>
            <w:r>
              <w:rPr>
                <w:sz w:val="16"/>
              </w:rPr>
              <w:t>Intercept</w:t>
            </w:r>
          </w:p>
        </w:tc>
        <w:tc>
          <w:tcPr>
            <w:tcW w:w="2200" w:type="dxa"/>
          </w:tcPr>
          <w:p>
            <w:pPr>
              <w:jc w:val="center"/>
              <w:spacing w:before="10" w:after="10"/>
            </w:pPr>
            <w:r/>
            <w:r>
              <w:rPr>
                <w:sz w:val="16"/>
              </w:rPr>
              <w:t>1.753</w:t>
            </w:r>
          </w:p>
        </w:tc>
        <w:tc>
          <w:tcPr>
            <w:tcW w:w="2200" w:type="dxa"/>
          </w:tcPr>
          <w:p>
            <w:pPr>
              <w:jc w:val="center"/>
              <w:spacing w:before="10" w:after="10"/>
            </w:pPr>
            <w:r>
              <w:rPr>
                <w:i/>
              </w:rPr>
            </w:r>
            <w:r>
              <w:rPr>
                <w:sz w:val="16"/>
                <w:i/>
              </w:rPr>
              <w:t>(1.467)</w:t>
            </w:r>
          </w:p>
        </w:tc>
      </w:tr>
      <w:tr>
        <w:tc>
          <w:tcPr>
            <w:tcW w:w="3600" w:type="dxa"/>
          </w:tcPr>
          <w:p>
            <w:pPr>
              <w:spacing w:before="10" w:after="10"/>
            </w:pPr>
            <w:r/>
            <w:r>
              <w:rPr>
                <w:sz w:val="16"/>
              </w:rPr>
              <w:t>ln(GDP per capita)</w:t>
            </w:r>
          </w:p>
        </w:tc>
        <w:tc>
          <w:tcPr>
            <w:tcW w:w="2200" w:type="dxa"/>
          </w:tcPr>
          <w:p>
            <w:pPr>
              <w:jc w:val="center"/>
              <w:spacing w:before="10" w:after="10"/>
            </w:pPr>
            <w:r/>
            <w:r>
              <w:rPr>
                <w:sz w:val="16"/>
              </w:rPr>
              <w:t>0.056</w:t>
            </w:r>
          </w:p>
        </w:tc>
        <w:tc>
          <w:tcPr>
            <w:tcW w:w="2200" w:type="dxa"/>
          </w:tcPr>
          <w:p>
            <w:pPr>
              <w:jc w:val="center"/>
              <w:spacing w:before="10" w:after="10"/>
            </w:pPr>
            <w:r>
              <w:rPr>
                <w:i/>
              </w:rPr>
            </w:r>
            <w:r>
              <w:rPr>
                <w:sz w:val="16"/>
                <w:i/>
              </w:rPr>
              <w:t>(0.114)</w:t>
            </w:r>
          </w:p>
        </w:tc>
      </w:tr>
      <w:tr>
        <w:tc>
          <w:tcPr>
            <w:tcW w:w="3600" w:type="dxa"/>
          </w:tcPr>
          <w:p>
            <w:pPr>
              <w:spacing w:before="10" w:after="10"/>
            </w:pPr>
            <w:r/>
            <w:r>
              <w:rPr>
                <w:sz w:val="16"/>
              </w:rPr>
              <w:t>ln(Population)</w:t>
            </w:r>
          </w:p>
        </w:tc>
        <w:tc>
          <w:tcPr>
            <w:tcW w:w="2200" w:type="dxa"/>
          </w:tcPr>
          <w:p>
            <w:pPr>
              <w:jc w:val="center"/>
              <w:spacing w:before="10" w:after="10"/>
            </w:pPr>
            <w:r/>
            <w:r>
              <w:rPr>
                <w:sz w:val="16"/>
              </w:rPr>
              <w:t>-0.020</w:t>
            </w:r>
          </w:p>
        </w:tc>
        <w:tc>
          <w:tcPr>
            <w:tcW w:w="2200" w:type="dxa"/>
          </w:tcPr>
          <w:p>
            <w:pPr>
              <w:jc w:val="center"/>
              <w:spacing w:before="10" w:after="10"/>
            </w:pPr>
            <w:r>
              <w:rPr>
                <w:i/>
              </w:rPr>
            </w:r>
            <w:r>
              <w:rPr>
                <w:sz w:val="16"/>
                <w:i/>
              </w:rPr>
              <w:t>(0.027)</w:t>
            </w:r>
          </w:p>
        </w:tc>
      </w:tr>
      <w:tr>
        <w:tc>
          <w:tcPr>
            <w:tcW w:w="3600" w:type="dxa"/>
          </w:tcPr>
          <w:p>
            <w:pPr>
              <w:spacing w:before="10" w:after="10"/>
            </w:pPr>
            <w:r/>
            <w:r>
              <w:rPr>
                <w:sz w:val="16"/>
              </w:rPr>
              <w:t>Urban population share</w:t>
            </w:r>
          </w:p>
        </w:tc>
        <w:tc>
          <w:tcPr>
            <w:tcW w:w="2200" w:type="dxa"/>
          </w:tcPr>
          <w:p>
            <w:pPr>
              <w:jc w:val="center"/>
              <w:spacing w:before="10" w:after="10"/>
            </w:pPr>
            <w:r/>
            <w:r>
              <w:rPr>
                <w:sz w:val="16"/>
              </w:rPr>
              <w:t>0.459</w:t>
            </w:r>
          </w:p>
        </w:tc>
        <w:tc>
          <w:tcPr>
            <w:tcW w:w="2200" w:type="dxa"/>
          </w:tcPr>
          <w:p>
            <w:pPr>
              <w:jc w:val="center"/>
              <w:spacing w:before="10" w:after="10"/>
            </w:pPr>
            <w:r>
              <w:rPr>
                <w:i/>
              </w:rPr>
            </w:r>
            <w:r>
              <w:rPr>
                <w:sz w:val="16"/>
                <w:i/>
              </w:rPr>
              <w:t>(0.355)</w:t>
            </w:r>
          </w:p>
        </w:tc>
      </w:tr>
      <w:tr>
        <w:tc>
          <w:tcPr>
            <w:tcW w:w="3600" w:type="dxa"/>
          </w:tcPr>
          <w:p>
            <w:pPr>
              <w:spacing w:before="10" w:after="10"/>
            </w:pPr>
            <w:r/>
            <w:r>
              <w:rPr>
                <w:sz w:val="16"/>
              </w:rPr>
              <w:t>Seismic zone indicator</w:t>
            </w:r>
          </w:p>
        </w:tc>
        <w:tc>
          <w:tcPr>
            <w:tcW w:w="2200" w:type="dxa"/>
          </w:tcPr>
          <w:p>
            <w:pPr>
              <w:jc w:val="center"/>
              <w:spacing w:before="10" w:after="10"/>
            </w:pPr>
            <w:r/>
            <w:r>
              <w:rPr>
                <w:sz w:val="16"/>
              </w:rPr>
              <w:t>-0.053</w:t>
            </w:r>
          </w:p>
        </w:tc>
        <w:tc>
          <w:tcPr>
            <w:tcW w:w="2200" w:type="dxa"/>
          </w:tcPr>
          <w:p>
            <w:pPr>
              <w:jc w:val="center"/>
              <w:spacing w:before="10" w:after="10"/>
            </w:pPr>
            <w:r>
              <w:rPr>
                <w:i/>
              </w:rPr>
            </w:r>
            <w:r>
              <w:rPr>
                <w:sz w:val="16"/>
                <w:i/>
              </w:rPr>
              <w:t>(0.077)</w:t>
            </w:r>
          </w:p>
        </w:tc>
      </w:tr>
      <w:tr>
        <w:tc>
          <w:tcPr>
            <w:tcW w:w="3600" w:type="dxa"/>
          </w:tcPr>
          <w:p>
            <w:pPr>
              <w:spacing w:before="10" w:after="10"/>
            </w:pPr>
            <w:r/>
            <w:r>
              <w:rPr>
                <w:sz w:val="16"/>
              </w:rPr>
              <w:t>East Asia &amp; Pacific</w:t>
            </w:r>
          </w:p>
        </w:tc>
        <w:tc>
          <w:tcPr>
            <w:tcW w:w="2200" w:type="dxa"/>
          </w:tcPr>
          <w:p>
            <w:pPr>
              <w:jc w:val="center"/>
              <w:spacing w:before="10" w:after="10"/>
            </w:pPr>
            <w:r/>
            <w:r>
              <w:rPr>
                <w:sz w:val="16"/>
              </w:rPr>
              <w:t>0.054</w:t>
            </w:r>
          </w:p>
        </w:tc>
        <w:tc>
          <w:tcPr>
            <w:tcW w:w="2200" w:type="dxa"/>
          </w:tcPr>
          <w:p>
            <w:pPr>
              <w:jc w:val="center"/>
              <w:spacing w:before="10" w:after="10"/>
            </w:pPr>
            <w:r>
              <w:rPr>
                <w:i/>
              </w:rPr>
            </w:r>
            <w:r>
              <w:rPr>
                <w:sz w:val="16"/>
                <w:i/>
              </w:rPr>
              <w:t>(0.084)</w:t>
            </w:r>
          </w:p>
        </w:tc>
      </w:tr>
      <w:tr>
        <w:tc>
          <w:tcPr>
            <w:tcW w:w="3600" w:type="dxa"/>
          </w:tcPr>
          <w:p>
            <w:pPr>
              <w:spacing w:before="10" w:after="10"/>
            </w:pPr>
            <w:r/>
            <w:r>
              <w:rPr>
                <w:sz w:val="16"/>
              </w:rPr>
              <w:t>Latin America &amp; Caribbean</w:t>
            </w:r>
          </w:p>
        </w:tc>
        <w:tc>
          <w:tcPr>
            <w:tcW w:w="2200" w:type="dxa"/>
          </w:tcPr>
          <w:p>
            <w:pPr>
              <w:jc w:val="center"/>
              <w:spacing w:before="10" w:after="10"/>
            </w:pPr>
            <w:r/>
            <w:r>
              <w:rPr>
                <w:sz w:val="16"/>
              </w:rPr>
              <w:t>-0.106</w:t>
            </w:r>
          </w:p>
        </w:tc>
        <w:tc>
          <w:tcPr>
            <w:tcW w:w="2200" w:type="dxa"/>
          </w:tcPr>
          <w:p>
            <w:pPr>
              <w:jc w:val="center"/>
              <w:spacing w:before="10" w:after="10"/>
            </w:pPr>
            <w:r>
              <w:rPr>
                <w:i/>
              </w:rPr>
            </w:r>
            <w:r>
              <w:rPr>
                <w:sz w:val="16"/>
                <w:i/>
              </w:rPr>
              <w:t>(0.141)</w:t>
            </w:r>
          </w:p>
        </w:tc>
      </w:tr>
      <w:tr>
        <w:tc>
          <w:tcPr>
            <w:tcW w:w="3600" w:type="dxa"/>
          </w:tcPr>
          <w:p>
            <w:pPr>
              <w:spacing w:before="10" w:after="10"/>
            </w:pPr>
            <w:r/>
            <w:r>
              <w:rPr>
                <w:sz w:val="16"/>
              </w:rPr>
              <w:t>Middle East</w:t>
            </w:r>
          </w:p>
        </w:tc>
        <w:tc>
          <w:tcPr>
            <w:tcW w:w="2200" w:type="dxa"/>
          </w:tcPr>
          <w:p>
            <w:pPr>
              <w:jc w:val="center"/>
              <w:spacing w:before="10" w:after="10"/>
            </w:pPr>
            <w:r/>
            <w:r>
              <w:rPr>
                <w:sz w:val="16"/>
              </w:rPr>
              <w:t>-0.114</w:t>
            </w:r>
          </w:p>
        </w:tc>
        <w:tc>
          <w:tcPr>
            <w:tcW w:w="2200" w:type="dxa"/>
          </w:tcPr>
          <w:p>
            <w:pPr>
              <w:jc w:val="center"/>
              <w:spacing w:before="10" w:after="10"/>
            </w:pPr>
            <w:r>
              <w:rPr>
                <w:i/>
              </w:rPr>
            </w:r>
            <w:r>
              <w:rPr>
                <w:sz w:val="16"/>
                <w:i/>
              </w:rPr>
              <w:t>(0.122)</w:t>
            </w:r>
          </w:p>
        </w:tc>
      </w:tr>
      <w:tr>
        <w:tc>
          <w:tcPr>
            <w:tcW w:w="3600" w:type="dxa"/>
          </w:tcPr>
          <w:p>
            <w:pPr>
              <w:spacing w:before="10" w:after="10"/>
            </w:pPr>
            <w:r/>
            <w:r>
              <w:rPr>
                <w:sz w:val="16"/>
              </w:rPr>
              <w:t>North America</w:t>
            </w:r>
          </w:p>
        </w:tc>
        <w:tc>
          <w:tcPr>
            <w:tcW w:w="2200" w:type="dxa"/>
          </w:tcPr>
          <w:p>
            <w:pPr>
              <w:jc w:val="center"/>
              <w:spacing w:before="10" w:after="10"/>
            </w:pPr>
            <w:r/>
            <w:r>
              <w:rPr>
                <w:sz w:val="16"/>
              </w:rPr>
              <w:t>-0.024</w:t>
            </w:r>
          </w:p>
        </w:tc>
        <w:tc>
          <w:tcPr>
            <w:tcW w:w="2200" w:type="dxa"/>
          </w:tcPr>
          <w:p>
            <w:pPr>
              <w:jc w:val="center"/>
              <w:spacing w:before="10" w:after="10"/>
            </w:pPr>
            <w:r>
              <w:rPr>
                <w:i/>
              </w:rPr>
            </w:r>
            <w:r>
              <w:rPr>
                <w:sz w:val="16"/>
                <w:i/>
              </w:rPr>
              <w:t>(0.151)</w:t>
            </w:r>
          </w:p>
        </w:tc>
      </w:tr>
      <w:tr>
        <w:tc>
          <w:tcPr>
            <w:tcW w:w="3600" w:type="dxa"/>
          </w:tcPr>
          <w:p>
            <w:pPr>
              <w:spacing w:before="10" w:after="10"/>
            </w:pPr>
            <w:r/>
            <w:r>
              <w:rPr>
                <w:sz w:val="16"/>
              </w:rPr>
              <w:t>South Asia</w:t>
            </w:r>
          </w:p>
        </w:tc>
        <w:tc>
          <w:tcPr>
            <w:tcW w:w="2200" w:type="dxa"/>
          </w:tcPr>
          <w:p>
            <w:pPr>
              <w:jc w:val="center"/>
              <w:spacing w:before="10" w:after="10"/>
            </w:pPr>
            <w:r/>
            <w:r>
              <w:rPr>
                <w:sz w:val="16"/>
              </w:rPr>
              <w:t>-0.070</w:t>
            </w:r>
          </w:p>
        </w:tc>
        <w:tc>
          <w:tcPr>
            <w:tcW w:w="2200" w:type="dxa"/>
          </w:tcPr>
          <w:p>
            <w:pPr>
              <w:jc w:val="center"/>
              <w:spacing w:before="10" w:after="10"/>
            </w:pPr>
            <w:r>
              <w:rPr>
                <w:i/>
              </w:rPr>
            </w:r>
            <w:r>
              <w:rPr>
                <w:sz w:val="16"/>
                <w:i/>
              </w:rPr>
              <w:t>(0.218)</w:t>
            </w:r>
          </w:p>
        </w:tc>
      </w:tr>
      <w:tr>
        <w:tc>
          <w:tcPr>
            <w:tcBorders>
              <w:bottom w:val="double" w:sz="4" w:space="0" w:color="auto"/>
            </w:tcBorders>
            <w:tcW w:w="3600" w:type="dxa"/>
          </w:tcPr>
          <w:p>
            <w:pPr>
              <w:spacing w:before="10" w:after="10"/>
            </w:pPr>
            <w:r/>
            <w:r>
              <w:rPr>
                <w:sz w:val="16"/>
              </w:rPr>
              <w:t>Sub-Saharan Africa</w:t>
            </w:r>
          </w:p>
        </w:tc>
        <w:tc>
          <w:tcPr>
            <w:tcBorders>
              <w:bottom w:val="double" w:sz="4" w:space="0" w:color="auto"/>
            </w:tcBorders>
            <w:tcW w:w="2200" w:type="dxa"/>
          </w:tcPr>
          <w:p>
            <w:pPr>
              <w:jc w:val="center"/>
              <w:spacing w:before="10" w:after="10"/>
            </w:pPr>
            <w:r/>
            <w:r>
              <w:rPr>
                <w:sz w:val="16"/>
              </w:rPr>
              <w:t>0.190</w:t>
            </w:r>
          </w:p>
        </w:tc>
        <w:tc>
          <w:tcPr>
            <w:tcBorders>
              <w:bottom w:val="double" w:sz="4" w:space="0" w:color="auto"/>
            </w:tcBorders>
            <w:tcW w:w="2200" w:type="dxa"/>
          </w:tcPr>
          <w:p>
            <w:pPr>
              <w:jc w:val="center"/>
              <w:spacing w:before="10" w:after="10"/>
            </w:pPr>
            <w:r>
              <w:rPr>
                <w:i/>
              </w:rPr>
            </w:r>
            <w:r>
              <w:rPr>
                <w:sz w:val="16"/>
                <w:i/>
              </w:rPr>
              <w:t>(0.200)</w:t>
            </w:r>
          </w:p>
        </w:tc>
      </w:tr>
    </w:tbl>
    <w:p>
      <w:pPr>
        <w:spacing w:before="40" w:after="80" w:line="240" w:lineRule="auto"/>
        <w:ind w:firstLine="0"/>
        <w:jc w:val="left"/>
      </w:pPr>
      <w:r>
        <w:rPr>
          <w:sz w:val="20"/>
        </w:rPr>
        <w:t>Notes: OLS regression on 37 countries from the Turner &amp; Townsend DCCI 2025. Dependent variable: ln(construction cost in $/W). R² = 0.48, adjusted R² = 0.29, RMSE = 0.160. Reference region: Europe &amp; Central Asia. *** p &lt; 0.01, ** p &lt; 0.05, * p &lt; 0.10.</w:t>
      </w:r>
    </w:p>
    <w:p>
      <w:pPr>
        <w:pStyle w:val="Heading1"/>
      </w:pPr>
      <w:r>
        <w:rPr>
          <w:rFonts w:ascii="Times New Roman" w:hAnsi="Times New Roman"/>
          <w:b/>
          <w:color w:val="2F5496"/>
          <w:sz w:val="28"/>
        </w:rPr>
        <w:t>Appendix F: Workload Classification</w:t>
      </w:r>
    </w:p>
    <w:p>
      <w:pPr>
        <w:spacing w:before="0" w:after="160" w:line="360" w:lineRule="auto"/>
        <w:ind w:firstLine="0"/>
        <w:jc w:val="both"/>
      </w:pPr>
      <w:bookmarkStart w:id="153" w:name="TableA8txt"/>
      <w:hyperlink w:anchor="TableA8" w:history="1">
        <w:r>
          <w:rPr>
            <w:color w:val="1F3864"/>
            <w:u w:val="single"/>
          </w:rPr>
          <w:t xml:space="preserve">Table A8</w:t>
        </w:r>
      </w:hyperlink>
      <w:bookmarkEnd w:id="153"/>
      <w:r>
        <w:t xml:space="preserve"> summarizes the latency sensitivity and offshorability of major AI workload types. The model collapses these into two categories — training (τ = 0) and inference (τ &gt; 0) — but the intermediate workloads noted in footnote 7 occupy a middle ground that may narrow the effective offshorable share.</w:t>
      </w:r>
    </w:p>
    <w:p>
      <w:pPr>
        <w:spacing w:before="0" w:after="60" w:line="360" w:lineRule="auto"/>
        <w:ind w:firstLine="0"/>
        <w:jc w:val="both"/>
      </w:pPr>
      <w:bookmarkStart w:id="154" w:name="TableA8"/>
      <w:hyperlink w:anchor="TableA8txt" w:history="1">
        <w:r>
          <w:rPr>
            <w:b/>
            <w:sz w:val="20"/>
            <w:color w:val="1F3864"/>
            <w:u w:val="single"/>
          </w:rPr>
          <w:t>Table A8</w:t>
        </w:r>
      </w:hyperlink>
      <w:bookmarkEnd w:id="154"/>
      <w:r>
        <w:rPr>
          <w:b/>
          <w:sz w:val="20"/>
        </w:rPr>
        <w:t>. Workload classification and offshorability</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28"/>
        <w:gridCol w:w="1728"/>
        <w:gridCol w:w="1728"/>
        <w:gridCol w:w="1728"/>
        <w:gridCol w:w="1728"/>
      </w:tblGrid>
      <w:tr>
        <w:tc>
          <w:tcPr>
            <w:tcBorders>
              <w:top w:val="single" w:sz="4" w:space="0" w:color="auto"/>
              <w:bottom w:val="single" w:sz="4" w:space="0" w:color="auto"/>
            </w:tcBorders>
            <w:tcW w:w="2000" w:type="dxa"/>
          </w:tcPr>
          <w:p>
            <w:pPr>
              <w:jc w:val="center"/>
              <w:spacing w:before="10" w:after="10"/>
            </w:pPr>
            <w:r/>
            <w:r>
              <w:rPr>
                <w:b/>
                <w:sz w:val="16"/>
              </w:rPr>
              <w:t>Workload</w:t>
            </w:r>
          </w:p>
        </w:tc>
        <w:tc>
          <w:tcPr>
            <w:tcBorders>
              <w:top w:val="single" w:sz="4" w:space="0" w:color="auto"/>
              <w:bottom w:val="single" w:sz="4" w:space="0" w:color="auto"/>
            </w:tcBorders>
            <w:tcW w:w="2800" w:type="dxa"/>
          </w:tcPr>
          <w:p>
            <w:pPr>
              <w:jc w:val="center"/>
              <w:spacing w:before="10" w:after="10"/>
            </w:pPr>
            <w:r/>
            <w:r>
              <w:rPr>
                <w:b/>
                <w:sz w:val="16"/>
              </w:rPr>
              <w:t>Example</w:t>
            </w:r>
          </w:p>
        </w:tc>
        <w:tc>
          <w:tcPr>
            <w:tcBorders>
              <w:top w:val="single" w:sz="4" w:space="0" w:color="auto"/>
              <w:bottom w:val="single" w:sz="4" w:space="0" w:color="auto"/>
            </w:tcBorders>
            <w:tcW w:w="1500" w:type="dxa"/>
          </w:tcPr>
          <w:p>
            <w:pPr>
              <w:jc w:val="center"/>
              <w:spacing w:before="10" w:after="10"/>
            </w:pPr>
            <w:r/>
            <w:r>
              <w:rPr>
                <w:b/>
                <w:sz w:val="16"/>
              </w:rPr>
              <w:t>Latency tolerance</w:t>
            </w:r>
          </w:p>
        </w:tc>
        <w:tc>
          <w:tcPr>
            <w:tcBorders>
              <w:top w:val="single" w:sz="4" w:space="0" w:color="auto"/>
              <w:bottom w:val="single" w:sz="4" w:space="0" w:color="auto"/>
            </w:tcBorders>
            <w:tcW w:w="1200" w:type="dxa"/>
          </w:tcPr>
          <w:p>
            <w:pPr>
              <w:jc w:val="center"/>
              <w:spacing w:before="10" w:after="10"/>
            </w:pPr>
            <w:r/>
            <w:r>
              <w:rPr>
                <w:b/>
                <w:sz w:val="16"/>
              </w:rPr>
              <w:t>Offshorable?</w:t>
            </w:r>
          </w:p>
        </w:tc>
        <w:tc>
          <w:tcPr>
            <w:tcBorders>
              <w:top w:val="single" w:sz="4" w:space="0" w:color="auto"/>
              <w:bottom w:val="single" w:sz="4" w:space="0" w:color="auto"/>
            </w:tcBorders>
            <w:tcW w:w="1860" w:type="dxa"/>
          </w:tcPr>
          <w:p>
            <w:pPr>
              <w:jc w:val="center"/>
              <w:spacing w:before="10" w:after="10"/>
            </w:pPr>
            <w:r/>
            <w:r>
              <w:rPr>
                <w:b/>
                <w:sz w:val="16"/>
              </w:rPr>
              <w:t>Model treatment</w:t>
            </w:r>
          </w:p>
        </w:tc>
      </w:tr>
      <w:tr>
        <w:tc>
          <w:tcPr>
            <w:tcW w:w="2000" w:type="dxa"/>
          </w:tcPr>
          <w:p>
            <w:pPr>
              <w:spacing w:before="10" w:after="10"/>
            </w:pPr>
            <w:r/>
            <w:r>
              <w:rPr>
                <w:sz w:val="16"/>
              </w:rPr>
              <w:t>Large-scale training</w:t>
            </w:r>
          </w:p>
        </w:tc>
        <w:tc>
          <w:tcPr>
            <w:tcW w:w="2800" w:type="dxa"/>
          </w:tcPr>
          <w:p>
            <w:pPr>
              <w:spacing w:before="10" w:after="10"/>
            </w:pPr>
            <w:r/>
            <w:r>
              <w:rPr>
                <w:sz w:val="16"/>
              </w:rPr>
              <w:t>Foundation model pre-training</w:t>
            </w:r>
          </w:p>
        </w:tc>
        <w:tc>
          <w:tcPr>
            <w:tcW w:w="1500" w:type="dxa"/>
          </w:tcPr>
          <w:p>
            <w:pPr>
              <w:jc w:val="right"/>
              <w:spacing w:before="10" w:after="10"/>
            </w:pPr>
            <w:r/>
            <w:r>
              <w:rPr>
                <w:sz w:val="16"/>
              </w:rPr>
              <w:t>Days–weeks</w:t>
            </w:r>
          </w:p>
        </w:tc>
        <w:tc>
          <w:tcPr>
            <w:tcW w:w="1200" w:type="dxa"/>
          </w:tcPr>
          <w:p>
            <w:pPr>
              <w:jc w:val="right"/>
              <w:spacing w:before="10" w:after="10"/>
            </w:pPr>
            <w:r/>
            <w:r>
              <w:rPr>
                <w:sz w:val="16"/>
              </w:rPr>
              <w:t>Fully</w:t>
            </w:r>
          </w:p>
        </w:tc>
        <w:tc>
          <w:tcPr>
            <w:tcW w:w="1860" w:type="dxa"/>
          </w:tcPr>
          <w:p>
            <w:pPr>
              <w:jc w:val="right"/>
              <w:spacing w:before="10" w:after="10"/>
            </w:pPr>
            <w:r/>
            <w:r>
              <w:rPr>
                <w:sz w:val="16"/>
              </w:rPr>
              <w:t>τᴛ = 0</w:t>
            </w:r>
          </w:p>
        </w:tc>
      </w:tr>
      <w:tr>
        <w:tc>
          <w:tcPr>
            <w:tcW w:w="2000" w:type="dxa"/>
          </w:tcPr>
          <w:p>
            <w:pPr>
              <w:spacing w:before="10" w:after="10"/>
            </w:pPr>
            <w:r/>
            <w:r>
              <w:rPr>
                <w:sz w:val="16"/>
              </w:rPr>
              <w:t>Fine-tuning</w:t>
            </w:r>
          </w:p>
        </w:tc>
        <w:tc>
          <w:tcPr>
            <w:tcW w:w="2800" w:type="dxa"/>
          </w:tcPr>
          <w:p>
            <w:pPr>
              <w:spacing w:before="10" w:after="10"/>
            </w:pPr>
            <w:r/>
            <w:r>
              <w:rPr>
                <w:sz w:val="16"/>
              </w:rPr>
              <w:t>Domain adaptation on proprietary data</w:t>
            </w:r>
          </w:p>
        </w:tc>
        <w:tc>
          <w:tcPr>
            <w:tcW w:w="1500" w:type="dxa"/>
          </w:tcPr>
          <w:p>
            <w:pPr>
              <w:jc w:val="right"/>
              <w:spacing w:before="10" w:after="10"/>
            </w:pPr>
            <w:r/>
            <w:r>
              <w:rPr>
                <w:sz w:val="16"/>
              </w:rPr>
              <w:t>Hours</w:t>
            </w:r>
          </w:p>
        </w:tc>
        <w:tc>
          <w:tcPr>
            <w:tcW w:w="1200" w:type="dxa"/>
          </w:tcPr>
          <w:p>
            <w:pPr>
              <w:jc w:val="right"/>
              <w:spacing w:before="10" w:after="10"/>
            </w:pPr>
            <w:r/>
            <w:r>
              <w:rPr>
                <w:sz w:val="16"/>
              </w:rPr>
              <w:t>Mostly</w:t>
            </w:r>
          </w:p>
        </w:tc>
        <w:tc>
          <w:tcPr>
            <w:tcW w:w="1860" w:type="dxa"/>
          </w:tcPr>
          <w:p>
            <w:pPr>
              <w:jc w:val="right"/>
              <w:spacing w:before="10" w:after="10"/>
            </w:pPr>
            <w:r/>
            <w:r>
              <w:rPr>
                <w:sz w:val="16"/>
              </w:rPr>
              <w:t>Treated as training</w:t>
            </w:r>
          </w:p>
        </w:tc>
      </w:tr>
      <w:tr>
        <w:tc>
          <w:tcPr>
            <w:tcW w:w="2000" w:type="dxa"/>
          </w:tcPr>
          <w:p>
            <w:pPr>
              <w:spacing w:before="10" w:after="10"/>
            </w:pPr>
            <w:r/>
            <w:r>
              <w:rPr>
                <w:sz w:val="16"/>
              </w:rPr>
              <w:t>Agentic inference</w:t>
            </w:r>
          </w:p>
        </w:tc>
        <w:tc>
          <w:tcPr>
            <w:tcW w:w="2800" w:type="dxa"/>
          </w:tcPr>
          <w:p>
            <w:pPr>
              <w:spacing w:before="10" w:after="10"/>
            </w:pPr>
            <w:r/>
            <w:r>
              <w:rPr>
                <w:sz w:val="16"/>
              </w:rPr>
              <w:t>Multi-step reasoning, tool use</w:t>
            </w:r>
          </w:p>
        </w:tc>
        <w:tc>
          <w:tcPr>
            <w:tcW w:w="1500" w:type="dxa"/>
          </w:tcPr>
          <w:p>
            <w:pPr>
              <w:jc w:val="right"/>
              <w:spacing w:before="10" w:after="10"/>
            </w:pPr>
            <w:r/>
            <w:r>
              <w:rPr>
                <w:sz w:val="16"/>
              </w:rPr>
              <w:t>500–2,000 ms</w:t>
            </w:r>
          </w:p>
        </w:tc>
        <w:tc>
          <w:tcPr>
            <w:tcW w:w="1200" w:type="dxa"/>
          </w:tcPr>
          <w:p>
            <w:pPr>
              <w:jc w:val="right"/>
              <w:spacing w:before="10" w:after="10"/>
            </w:pPr>
            <w:r/>
            <w:r>
              <w:rPr>
                <w:sz w:val="16"/>
              </w:rPr>
              <w:t>Regionally</w:t>
            </w:r>
          </w:p>
        </w:tc>
        <w:tc>
          <w:tcPr>
            <w:tcW w:w="1860" w:type="dxa"/>
          </w:tcPr>
          <w:p>
            <w:pPr>
              <w:jc w:val="right"/>
              <w:spacing w:before="10" w:after="10"/>
            </w:pPr>
            <w:r/>
            <w:r>
              <w:rPr>
                <w:sz w:val="16"/>
              </w:rPr>
              <w:t>Intermediate (fn. 7)</w:t>
            </w:r>
          </w:p>
        </w:tc>
      </w:tr>
      <w:tr>
        <w:tc>
          <w:tcPr>
            <w:tcW w:w="2000" w:type="dxa"/>
          </w:tcPr>
          <w:p>
            <w:pPr>
              <w:spacing w:before="10" w:after="10"/>
            </w:pPr>
            <w:r/>
            <w:r>
              <w:rPr>
                <w:sz w:val="16"/>
              </w:rPr>
              <w:t>Interactive inference</w:t>
            </w:r>
          </w:p>
        </w:tc>
        <w:tc>
          <w:tcPr>
            <w:tcW w:w="2800" w:type="dxa"/>
          </w:tcPr>
          <w:p>
            <w:pPr>
              <w:spacing w:before="10" w:after="10"/>
            </w:pPr>
            <w:r/>
            <w:r>
              <w:rPr>
                <w:sz w:val="16"/>
              </w:rPr>
              <w:t>Chatbot, search, recommendation</w:t>
            </w:r>
          </w:p>
        </w:tc>
        <w:tc>
          <w:tcPr>
            <w:tcW w:w="1500" w:type="dxa"/>
          </w:tcPr>
          <w:p>
            <w:pPr>
              <w:jc w:val="right"/>
              <w:spacing w:before="10" w:after="10"/>
            </w:pPr>
            <w:r/>
            <w:r>
              <w:rPr>
                <w:sz w:val="16"/>
              </w:rPr>
              <w:t>50–200 ms</w:t>
            </w:r>
          </w:p>
        </w:tc>
        <w:tc>
          <w:tcPr>
            <w:tcW w:w="1200" w:type="dxa"/>
          </w:tcPr>
          <w:p>
            <w:pPr>
              <w:jc w:val="right"/>
              <w:spacing w:before="10" w:after="10"/>
            </w:pPr>
            <w:r/>
            <w:r>
              <w:rPr>
                <w:sz w:val="16"/>
              </w:rPr>
              <w:t>Limited</w:t>
            </w:r>
          </w:p>
        </w:tc>
        <w:tc>
          <w:tcPr>
            <w:tcW w:w="1860" w:type="dxa"/>
          </w:tcPr>
          <w:p>
            <w:pPr>
              <w:jc w:val="right"/>
              <w:spacing w:before="10" w:after="10"/>
            </w:pPr>
            <w:r/>
            <w:r>
              <w:rPr>
                <w:sz w:val="16"/>
              </w:rPr>
              <w:t>τᵢ &gt; 0, threshold l̄</w:t>
            </w:r>
          </w:p>
        </w:tc>
      </w:tr>
      <w:tr>
        <w:tc>
          <w:tcPr>
            <w:tcBorders>
              <w:bottom w:val="double" w:sz="4" w:space="0" w:color="auto"/>
            </w:tcBorders>
            <w:tcW w:w="2000" w:type="dxa"/>
          </w:tcPr>
          <w:p>
            <w:pPr>
              <w:spacing w:before="10" w:after="10"/>
            </w:pPr>
            <w:r/>
            <w:r>
              <w:rPr>
                <w:sz w:val="16"/>
              </w:rPr>
              <w:t>Real-time control</w:t>
            </w:r>
          </w:p>
        </w:tc>
        <w:tc>
          <w:tcPr>
            <w:tcBorders>
              <w:bottom w:val="double" w:sz="4" w:space="0" w:color="auto"/>
            </w:tcBorders>
            <w:tcW w:w="2800" w:type="dxa"/>
          </w:tcPr>
          <w:p>
            <w:pPr>
              <w:spacing w:before="10" w:after="10"/>
            </w:pPr>
            <w:r/>
            <w:r>
              <w:rPr>
                <w:sz w:val="16"/>
              </w:rPr>
              <w:t>Autonomous vehicles, robotics</w:t>
            </w:r>
          </w:p>
        </w:tc>
        <w:tc>
          <w:tcPr>
            <w:tcBorders>
              <w:bottom w:val="double" w:sz="4" w:space="0" w:color="auto"/>
            </w:tcBorders>
            <w:tcW w:w="1500" w:type="dxa"/>
          </w:tcPr>
          <w:p>
            <w:pPr>
              <w:jc w:val="right"/>
              <w:spacing w:before="10" w:after="10"/>
            </w:pPr>
            <w:r/>
            <w:r>
              <w:rPr>
                <w:sz w:val="16"/>
              </w:rPr>
              <w:t>&lt; 20 ms</w:t>
            </w:r>
          </w:p>
        </w:tc>
        <w:tc>
          <w:tcPr>
            <w:tcBorders>
              <w:bottom w:val="double" w:sz="4" w:space="0" w:color="auto"/>
            </w:tcBorders>
            <w:tcW w:w="1200" w:type="dxa"/>
          </w:tcPr>
          <w:p>
            <w:pPr>
              <w:jc w:val="right"/>
              <w:spacing w:before="10" w:after="10"/>
            </w:pPr>
            <w:r/>
            <w:r>
              <w:rPr>
                <w:sz w:val="16"/>
              </w:rPr>
              <w:t>No</w:t>
            </w:r>
          </w:p>
        </w:tc>
        <w:tc>
          <w:tcPr>
            <w:tcBorders>
              <w:bottom w:val="double" w:sz="4" w:space="0" w:color="auto"/>
            </w:tcBorders>
            <w:tcW w:w="1860" w:type="dxa"/>
          </w:tcPr>
          <w:p>
            <w:pPr>
              <w:jc w:val="right"/>
              <w:spacing w:before="10" w:after="10"/>
            </w:pPr>
            <w:r/>
            <w:r>
              <w:rPr>
                <w:sz w:val="16"/>
              </w:rPr>
              <w:t>Domestic only</w:t>
            </w:r>
          </w:p>
        </w:tc>
      </w:tr>
    </w:tbl>
    <w:p>
      <w:pPr>
        <w:spacing w:before="40" w:after="80" w:line="240" w:lineRule="auto"/>
        <w:ind w:firstLine="0"/>
        <w:jc w:val="left"/>
      </w:pPr>
      <w:r>
        <w:rPr>
          <w:sz w:val="20"/>
        </w:rPr>
        <w:t>Notes: Latency tolerance is approximate round-trip time. “Offshorable” refers to whether the workload can be processed in a different country from the end user without significant quality degradation. The model treats fine-tuning and agentic inference as part of the training share α; footnote 7 notes this simplification.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w:t>
      </w:r>
    </w:p>
  </w:footnote>
  <w:footnote w:id="5">
    <w:p>
      <w:pPr>
        <w:pStyle w:val="FootnoteText"/>
      </w:pPr>
      <w:r>
        <w:rPr>
          <w:rStyle w:val="FootnoteReference"/>
        </w:rPr>
        <w:footnoteRef/>
      </w:r>
      <w:r>
        <w:t xml:space="preserve"> At $0.038/kWh electricity, a 40 MW facility houses approximately 53,000 GPUs with production costs of $453 million per year. A Kyrgyz operator would most likely sell at wholesale or long-term contract rates of roughly $0.80–1.20/GPU-hour, yielding gross revenue of $630–950 million. Hyperscaler retail rates ($2.00–2.50/GPU-hour) represent an upper bound that is unlikely for a new market entrant. Even at the wholesale lower bound, this exceeds 15% of Kyrgyzstan’s $3.8 billion in goods exports (2024).</w:t>
      </w:r>
    </w:p>
  </w:footnote>
  <w:footnote w:id="7">
    <w:p>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7 confirms that the results are insensitive to this specification. Google (2024) reports a fleet-wide trailing twelve-month PUE of 1.10.</w:t>
      </w:r>
    </w:p>
  </w:footnote>
  <w:footnote w:id="9">
    <w:p>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10">
    <w:p>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20">
    <w:p>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while large economies like India and Brazil account for modest shares of global data center power.</w:t>
      </w:r>
    </w:p>
  </w:footnote>
  <w:footnote w:id="21">
    <w:p>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22">
    <w:p>
      <w:pPr>
        <w:pStyle w:val="FootnoteText"/>
      </w:pPr>
      <w:r>
        <w:rPr>
          <w:rStyle w:val="FootnoteReference"/>
        </w:rPr>
        <w:footnoteRef/>
      </w:r>
      <w:r>
        <w:t xml:space="preserve"> For large-demand countries (e.g., the United States with 43% of global compute demand), the observed domestic production may partly reflect scale economies rather than sovereignty preferences. The switching threshold λₖ* conflates the home market effect with the sovereignty premium; disentangling the two would require a model with increasing returns, which lies outside the present framework.</w:t>
      </w:r>
    </w:p>
  </w:footnote>
  <w:footnote w:id="23">
    <w:p>
      <w:pPr>
        <w:pStyle w:val="FootnoteText"/>
      </w:pPr>
      <w:r>
        <w:rPr>
          <w:rStyle w:val="FootnoteReference"/>
        </w:rPr>
        <w:footnoteRef/>
      </w:r>
      <w:r>
        <w:t xml:space="preserve"> The nesting result assumes that the training exporter’s latency cone is non-empty. Formally, country j has a non-empty latency cone if </w:t>
      </w:r>
      <m:oMath>
        <m:r>
          <m:rPr>
            <m:sty m:val="p"/>
          </m:rPr>
          <w:rPr>
            <w:rFonts w:ascii="Cambria Math" w:hAnsi="Cambria Math"/>
          </w:rPr>
          <m:t xml:space="preserve">∃k</m:t>
        </m:r>
      </m:oMath>
      <w:r>
        <w:t xml:space="preserve"> such that </w:t>
      </w: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&gt; 0</m:t>
        </m:r>
      </m:oMath>
      <w:r>
        <w:t xml:space="preserve"> and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A hypothetical country with the globally lowest production cost but round-trip latency exceeding </w:t>
      </w:r>
      <m:oMath>
        <m:bar>
          <m:barPr>
            <m:pos m:val="top"/>
          </m:barPr>
          <m:e>
            <m:r>
              <m:rPr>
                <m:sty m:val="i"/>
              </m:rPr>
              <w:rPr>
                <w:rFonts w:ascii="Cambria Math" w:hAnsi="Cambria Math"/>
              </w:rPr>
              <m:t xml:space="preserve">l</m:t>
            </m:r>
          </m:e>
        </m:bar>
      </m:oMath>
      <w:r>
        <w:t xml:space="preserve"> to every country with positive compute demand would export training (which is latency-insensitive) yet be unable to serve any inference market, a “pure training exporter” regime not listed in Table 1. This case is empirically negligible in the calibration: any country remote enough to have an empty latency cone (e.g., a mid-Pacific island) typically also faces prohibitive governance and construction cost penalties that exclude it from the training market.</w:t>
      </w:r>
    </w:p>
  </w:footnote>
  <w:footnote w:id="24">
    <w:p>
      <w:pPr>
        <w:pStyle w:val="FootnoteText"/>
      </w:pPr>
      <w:r>
        <w:rPr>
          <w:rStyle w:val="FootnoteReference"/>
        </w:rPr>
        <w:footnoteRef/>
      </w:r>
      <w:r>
        <w:t xml:space="preserve"> Korea Electric Power Corporation (KEPCO), Electricity Rate Table, accessed January 2025.</w:t>
      </w:r>
    </w:p>
  </w:footnote>
  <w:footnote w:id="25">
    <w:p>
      <w:pPr>
        <w:pStyle w:val="FootnoteText"/>
      </w:pPr>
      <w:r>
        <w:rPr>
          <w:rStyle w:val="FootnoteReference"/>
        </w:rPr>
        <w:footnoteRef/>
      </w:r>
      <w:r>
        <w:t xml:space="preserve"> Synergy Research Group, Global Data Center Market Share (Q4 2024); Cushman &amp; Wakefield, Global Data Center Market Comparison (2024); CBRE, Global Data Center Trends (2025); Mordor Intelligence, Data Center Market Forecast (2025).</w:t>
      </w:r>
    </w:p>
  </w:footnote>
  <w:footnote w:id="13">
    <w:p>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5">
    <w:p>
      <w:pPr>
        <w:pStyle w:val="FootnoteText"/>
      </w:pPr>
      <w:r>
        <w:rPr>
          <w:rStyle w:val="FootnoteReference"/>
        </w:rPr>
        <w:footnoteRef/>
      </w:r>
      <w:r>
        <w:t xml:space="preserve"> The bilateral sovereignty coefficients capture the geopolitical and data-governance components of services trade costs, which constitute a subset of the full regulatory barriers estimated at approximately 16% for communication services (</w:t>
      </w:r>
      <w:hyperlink w:anchor="BenzJaax2020" w:history="1">
        <w:r>
          <w:rPr>
            <w:color w:val="1F3864"/>
            <w:u w:val="single"/>
          </w:rPr>
          <w:t xml:space="preserve">Benz and Jaax 2020</w:t>
        </w:r>
      </w:hyperlink>
      <w:r>
        <w:t xml:space="preserve">). The uniform 10% premium serves as a robustness benchmark.</w:t>
      </w:r>
    </w:p>
  </w:footnote>
  <w:footnote w:id="16">
    <w:p>
      <w:pPr>
        <w:pStyle w:val="FootnoteText"/>
      </w:pPr>
      <w:r>
        <w:rPr>
          <w:rStyle w:val="FootnoteReference"/>
        </w:rPr>
        <w:footnoteRef/>
      </w:r>
      <w:r>
        <w:t xml:space="preserve">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For Ethiopia, it uses the IMF’s hydro cost-recovery target ($0.050/kWh). The IMF estimates global fossil fuel subsidies at $6.7 trillion in 2024. Explicit subsidies (below-cost pricing) account for 8%; the remainder reflects unpriced environmental costs. The calibration uses only the explicit component.</w:t>
      </w:r>
    </w:p>
  </w:footnote>
  <w:footnote w:id="17">
    <w:p>
      <w:pPr>
        <w:pStyle w:val="FootnoteText"/>
      </w:pPr>
      <w:r>
        <w:rPr>
          <w:rStyle w:val="FootnoteReference"/>
        </w:rPr>
        <w:footnoteRef/>
      </w:r>
      <w:r>
        <w:t xml:space="preserve"> The tier shares (10/20/70) are assumptions calibrated to match the approximate composition of government, regulated-industry, and commercial AI workloads (Deloitte 2025). Results are robust to moderate variation in these shares.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imes New Roman" w:hAnsi="Times New Roman"/>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after="0" w:line="240" w:lineRule="auto"/>
    </w:pPr>
    <w:rPr>
      <w:sz w:val="20"/>
      <w:szCs w:val="20"/>
    </w:rPr>
  </w:style>
  <w:style w:type="character"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notes" Target="footnotes.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1.png"/><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
  <cp:revision>1</cp:revision>
  <dcterms:created xsi:type="dcterms:W3CDTF">2013-12-23T23:15:00Z</dcterms:created>
  <dcterms:modified xsi:type="dcterms:W3CDTF">2013-12-23T23:15:00Z</dcterms:modified>
  <cp:category/>
</cp:coreProperties>
</file>