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r>
      <w:r>
        <w:rPr>
          <w:rFonts w:ascii="Times New Roman" w:hAnsi="Times New Roman"/>
          <w:b w:val="0"/>
          <w:sz w:val="32"/>
        </w:rPr>
        <w:t>A Trade Model of AI Compute Services</w:t>
      </w:r>
    </w:p>
    <w:p>
      <w:pPr>
        <w:spacing w:before="240" w:after="240" w:line="360" w:lineRule="auto"/>
        <w:ind w:firstLine="0"/>
        <w:jc w:val="center"/>
      </w:pPr>
      <w:r>
        <w:rPr>
          <w:i/>
        </w:rPr>
        <w:t>Michael Lokshin</w:t>
      </w:r>
      <w:r>
        <w:rPr>
          <w:rStyle w:val="FootnoteReference"/>
        </w:rPr>
        <w:footnoteReference w:id="1"/>
      </w:r>
    </w:p>
    <w:p>
      <w:pPr>
        <w:spacing w:before="40" w:after="240" w:line="360" w:lineRule="auto"/>
        <w:ind w:firstLine="0"/>
        <w:jc w:val="center"/>
      </w:pPr>
      <w:r>
        <w:rPr>
          <w:rFonts w:ascii="Times New Roman" w:hAnsi="Times New Roman"/>
          <w:color w:val="808080"/>
          <w:sz w:val="18"/>
        </w:rPr>
        <w:t>v32  —  April 12, 2026  21:20</w:t>
      </w:r>
    </w:p>
    <w:p>
      <w:pPr>
        <w:spacing w:before="240" w:after="0" w:line="240" w:lineRule="auto"/>
        <w:ind w:firstLine="0"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of compute at unsubsidized prices, yet bilateral trust deficits between developing-country producers and OECD buyers eliminate nearly all of their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pPr>
        <w:spacing w:before="0" w:after="0" w:line="240" w:lineRule="auto"/>
        <w:ind w:firstLine="0"/>
        <w:jc w:val="both"/>
      </w:pPr>
    </w:p>
    <w:p>
      <w:pPr>
        <w:spacing w:before="0" w:after="0" w:line="240" w:lineRule="auto"/>
        <w:ind w:firstLine="0"/>
        <w:jc w:val="both"/>
      </w:pPr>
    </w:p>
    <w:p>
      <w:pPr>
        <w:spacing w:before="0" w:after="0" w:line="240" w:lineRule="auto"/>
        <w:ind w:firstLine="0"/>
        <w:jc w:val="both"/>
      </w:pP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the largest AI models has been doubling every six months since 2010 (</w:t>
      </w:r>
      <w:bookmarkStart w:id="200" w:name="EpochAI2024txt"/>
      <w:hyperlink w:anchor="EpochAI2024" w:history="1">
        <w:r>
          <w:rPr>
            <w:color w:val="1F3864"/>
            <w:u w:val="single"/>
          </w:rPr>
          <w:t xml:space="preserve">Epoch AI 2024</w:t>
        </w:r>
      </w:hyperlink>
      <w:bookmarkEnd w:id="200"/>
      <w:r>
        <w:t xml:space="preserve">). Data centers accounted for approximately 1.5% of global electricity demand in 2024, and that share is projected to more than double by 2030 (</w:t>
      </w:r>
      <w:bookmarkStart w:id="237" w:name="IEA2025txt"/>
      <w:hyperlink w:anchor="IEA2025" w:history="1">
        <w:r>
          <w:rPr>
            <w:color w:val="1F3864"/>
            <w:u w:val="single"/>
          </w:rPr>
          <w:t xml:space="preserve">IEA 2025</w:t>
        </w:r>
      </w:hyperlink>
      <w:bookmarkEnd w:id="237"/>
      <w:r>
        <w:t xml:space="preserve">).</w:t>
      </w:r>
    </w:p>
    <w:p>
      <w:pPr>
        <w:spacing w:before="0" w:after="160" w:line="360" w:lineRule="auto"/>
        <w:ind w:firstLine="0"/>
        <w:jc w:val="both"/>
      </w:pPr>
      <w:r>
        <w:t xml:space="preserve">This surge in demand for compute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higher-value-added digital services. For resource-rich developing countries, FLOP exporting could offer a route up the value chain.</w:t>
      </w:r>
    </w:p>
    <w:p>
      <w:pPr>
        <w:spacing w:before="0" w:after="160" w:line="360" w:lineRule="auto"/>
        <w:ind w:firstLine="0"/>
        <w:jc w:val="both"/>
      </w:pPr>
      <w:r>
        <w:t xml:space="preserve">Several megaprojects confirm that FLOP exporting is technically and commercially feasible. Armenia is deploying 50,000 GPUs as a part of a $4 billion investment (</w:t>
      </w:r>
      <w:bookmarkStart w:id="238" w:name="Firebird2026txt"/>
      <w:hyperlink w:anchor="Firebird2026" w:history="1">
        <w:r>
          <w:rPr>
            <w:color w:val="1F3864"/>
            <w:u w:val="single"/>
          </w:rPr>
          <w:t xml:space="preserve">Firebird 2026</w:t>
        </w:r>
      </w:hyperlink>
      <w:bookmarkEnd w:id="238"/>
      <w:r>
        <w:t xml:space="preserve">). Kenya, Saudi Arabia, and Malaysia have each attracted billion-dollar data center commitments, Google has committed $15 billion to India, and OpenAI has proposed a $25 billion “Stargate Argentina” complex (</w:t>
      </w:r>
      <w:bookmarkStart w:id="201" w:name="StraubEtAl2026txt"/>
      <w:hyperlink w:anchor="StraubEtAl2026" w:history="1">
        <w:r>
          <w:rPr>
            <w:color w:val="1F3864"/>
            <w:u w:val="single"/>
          </w:rPr>
          <w:t xml:space="preserve">Straub et al. 2026</w:t>
        </w:r>
      </w:hyperlink>
      <w:bookmarkEnd w:id="201"/>
      <w:r>
        <w:t xml:space="preserve">). Announced global data-center FDI reached over $310 billion in 2025, with EMDEs accounting for roughly 40 percent of projects (</w:t>
      </w:r>
      <w:bookmarkStart w:id="239" w:name="AykutEtAl2026txt"/>
      <w:hyperlink w:anchor="AykutEtAl2026" w:history="1">
        <w:r>
          <w:rPr>
            <w:color w:val="1F3864"/>
            <w:u w:val="single"/>
          </w:rPr>
          <w:t xml:space="preserve">Aykut et al. 2026</w:t>
        </w:r>
      </w:hyperlink>
      <w:bookmarkEnd w:id="239"/>
      <w:r>
        <w:t xml:space="preserve">). Cloud computing exports already exceed $9 billion annually (</w:t>
      </w:r>
      <w:bookmarkStart w:id="253" w:name="WorldBank2025txt"/>
      <w:hyperlink w:anchor="WorldBank2025" w:history="1">
        <w:r>
          <w:rPr>
            <w:color w:val="1F3864"/>
            <w:u w:val="single"/>
          </w:rPr>
          <w:t xml:space="preserve">World Bank 2025</w:t>
        </w:r>
      </w:hyperlink>
      <w:bookmarkEnd w:id="253"/>
      <w:r>
        <w:t xml:space="preserve">). If Kyrgyzstan builds a 40 MW AI data center, it could generate annual revenue of $630–950 million at wholesale contract rates, equivalent to over 15% of Kyrgyzstan’s $3.8 billion in goods exports (</w:t>
      </w:r>
      <w:bookmarkStart w:id="259" w:name="WorldBank2024txt"/>
      <w:hyperlink w:anchor="WorldBank2024" w:history="1">
        <w:r>
          <w:rPr>
            <w:color w:val="1F3864"/>
            <w:u w:val="single"/>
          </w:rPr>
          <w:t xml:space="preserve">World Bank 2024</w:t>
        </w:r>
      </w:hyperlink>
      <w:bookmarkEnd w:id="259"/>
      <w:r>
        <w:t xml:space="preserve">).</w:t>
      </w:r>
      <w:r>
        <w:rPr>
          <w:rStyle w:val="FootnoteReference"/>
        </w:rPr>
        <w:footnoteReference w:id="5"/>
      </w:r>
    </w:p>
    <w:p>
      <w:pPr>
        <w:spacing w:before="0" w:after="160" w:line="360" w:lineRule="auto"/>
        <w:ind w:firstLine="0"/>
        <w:jc w:val="both"/>
      </w:pPr>
      <w:r>
        <w:t xml:space="preserve">Recent work examines compute governance and the geography of AI infrastructure (</w:t>
      </w:r>
      <w:bookmarkStart w:id="240" w:name="Sastry2024txt"/>
      <w:hyperlink w:anchor="Sastry2024" w:history="1">
        <w:r>
          <w:rPr>
            <w:color w:val="1F3864"/>
            <w:u w:val="single"/>
          </w:rPr>
          <w:t xml:space="preserve">Sastry et al. 2024</w:t>
        </w:r>
      </w:hyperlink>
      <w:bookmarkEnd w:id="240"/>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1" w:name="Pilz2025txt"/>
      <w:hyperlink w:anchor="Pilz2025" w:history="1">
        <w:r>
          <w:rPr>
            <w:color w:val="1F3864"/>
            <w:u w:val="single"/>
          </w:rPr>
          <w:t xml:space="preserve">Pilz et al. 2025</w:t>
        </w:r>
      </w:hyperlink>
      <w:bookmarkEnd w:id="241"/>
      <w:r>
        <w:t xml:space="preserve">), but no formal trade model of compute has been developed.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pPr>
        <w:spacing w:before="0" w:after="160" w:line="360" w:lineRule="auto"/>
        <w:ind w:firstLine="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12–20 percent. Several developing countries rank among the cheapest producers under cost-recovery pricing, but under the bilateral sovereignty specification, trust deficits eliminate all developing-country exports. For energy-rich developing countries, the limiting factor is not electricity cost but the institutional credibility needed to overcome bilateral trust deficits.</w:t>
      </w:r>
    </w:p>
    <w:p>
      <w:pPr>
        <w:pStyle w:val="Heading1"/>
      </w:pPr>
      <w:r>
        <w:rPr>
          <w:rFonts w:ascii="Times New Roman" w:hAnsi="Times New Roman"/>
          <w:b/>
          <w:color w:val="2F5496"/>
          <w:sz w:val="28"/>
        </w:rPr>
        <w:t>2. Related Literature</w:t>
      </w:r>
    </w:p>
    <w:p>
      <w:pPr>
        <w:spacing w:before="0" w:after="160" w:line="360" w:lineRule="auto"/>
        <w:ind w:firstLine="0"/>
        <w:jc w:val="both"/>
      </w:pPr>
      <w:r>
        <w:t xml:space="preserve"/>
      </w:r>
      <w:bookmarkStart w:id="203" w:name="Goldfarb2018txt"/>
      <w:hyperlink w:anchor="Goldfarb2018" w:history="1">
        <w:r>
          <w:rPr>
            <w:color w:val="1F3864"/>
            <w:u w:val="single"/>
          </w:rPr>
          <w:t xml:space="preserve">Goldfarb and Trefler (2018)</w:t>
        </w:r>
      </w:hyperlink>
      <w:bookmarkEnd w:id="203"/>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242" w:name="Korinek2021txt"/>
      <w:hyperlink w:anchor="Korinek2021" w:history="1">
        <w:r>
          <w:rPr>
            <w:color w:val="1F3864"/>
            <w:u w:val="single"/>
          </w:rPr>
          <w:t xml:space="preserve">Korinek and Stiglitz (2021)</w:t>
        </w:r>
      </w:hyperlink>
      <w:bookmarkEnd w:id="242"/>
      <w:r>
        <w:t xml:space="preserve"> warn that developing countries may be left behind in the AI revolution; FLOP exporting offers a route in. The concept relates to </w:t>
      </w:r>
      <w:bookmarkStart w:id="260" w:name="Hausmann2007txt"/>
      <w:hyperlink w:anchor="Hausmann2007" w:history="1">
        <w:r>
          <w:rPr>
            <w:color w:val="1F3864"/>
            <w:u w:val="single"/>
          </w:rPr>
          <w:t xml:space="preserve">Hausmann et al. (2007)</w:t>
        </w:r>
      </w:hyperlink>
      <w:bookmarkEnd w:id="260"/>
      <w:r>
        <w:t xml:space="preserve"> on export composition and growth, and to </w:t>
      </w:r>
      <w:bookmarkStart w:id="254" w:name="Limao2001txt"/>
      <w:hyperlink w:anchor="Limao2001" w:history="1">
        <w:r>
          <w:rPr>
            <w:color w:val="1F3864"/>
            <w:u w:val="single"/>
          </w:rPr>
          <w:t xml:space="preserve">Limão and Venables (2001)</w:t>
        </w:r>
      </w:hyperlink>
      <w:bookmarkEnd w:id="254"/>
      <w:r>
        <w:t xml:space="preserve"> on infrastructure as a determinant of trade costs.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4" w:name="Blinder2006txt"/>
      <w:hyperlink w:anchor="Blinder2006" w:history="1">
        <w:r>
          <w:rPr>
            <w:color w:val="1F3864"/>
            <w:u w:val="single"/>
          </w:rPr>
          <w:t xml:space="preserve">Blinder 2006</w:t>
        </w:r>
      </w:hyperlink>
      <w:bookmarkEnd w:id="204"/>
      <w:r>
        <w:t xml:space="preserve">),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pPr>
        <w:spacing w:before="0" w:after="160" w:line="360" w:lineRule="auto"/>
        <w:ind w:firstLine="0"/>
        <w:jc w:val="both"/>
      </w:pPr>
      <w:r>
        <w:t xml:space="preserve">Several studies examine where firms should build data centers. </w:t>
      </w:r>
      <w:bookmarkStart w:id="205" w:name="Flucker2013txt"/>
      <w:hyperlink w:anchor="Flucker2013" w:history="1">
        <w:r>
          <w:rPr>
            <w:color w:val="1F3864"/>
            <w:u w:val="single"/>
          </w:rPr>
          <w:t xml:space="preserve">Flucker et al. (2013)</w:t>
        </w:r>
      </w:hyperlink>
      <w:bookmarkEnd w:id="205"/>
      <w:r>
        <w:t xml:space="preserve"> show that climate affects data center cooling costs. </w:t>
      </w:r>
      <w:bookmarkStart w:id="255" w:name="Liu2023txt"/>
      <w:hyperlink w:anchor="Liu2023" w:history="1">
        <w:r>
          <w:rPr>
            <w:color w:val="1F3864"/>
            <w:u w:val="single"/>
          </w:rPr>
          <w:t xml:space="preserve">Liu et al. (2023)</w:t>
        </w:r>
      </w:hyperlink>
      <w:bookmarkEnd w:id="255"/>
      <w:r>
        <w:t xml:space="preserve"> study data center placement under renewable energy constraints. In international trade theory, </w:t>
      </w:r>
      <w:bookmarkStart w:id="261" w:name="Brainard1997txt"/>
      <w:hyperlink w:anchor="Brainard1997" w:history="1">
        <w:r>
          <w:rPr>
            <w:color w:val="1F3864"/>
            <w:u w:val="single"/>
          </w:rPr>
          <w:t xml:space="preserve">Brainard (1997)</w:t>
        </w:r>
      </w:hyperlink>
      <w:bookmarkEnd w:id="261"/>
      <w:r>
        <w:t xml:space="preserve"> formalizes the proximity-concentration trade-off between serving a market locally and concentrating production abroad, and </w:t>
      </w:r>
      <w:bookmarkStart w:id="243" w:name="HMY2004txt"/>
      <w:hyperlink w:anchor="HMY2004" w:history="1">
        <w:r>
          <w:rPr>
            <w:color w:val="1F3864"/>
            <w:u w:val="single"/>
          </w:rPr>
          <w:t xml:space="preserve">Helpman et al. (2004)</w:t>
        </w:r>
      </w:hyperlink>
      <w:bookmarkEnd w:id="243"/>
      <w:r>
        <w:t xml:space="preserve"> extend this to heterogeneous firms choosing between exporting and FDI.</w:t>
      </w:r>
    </w:p>
    <w:p>
      <w:pPr>
        <w:spacing w:before="0" w:after="160" w:line="360" w:lineRule="auto"/>
        <w:ind w:firstLine="0"/>
        <w:jc w:val="both"/>
      </w:pPr>
      <w:r>
        <w:t xml:space="preserve">On governance, </w:t>
      </w:r>
      <w:bookmarkStart w:id="244" w:name="Sastry2024txt"/>
      <w:hyperlink w:anchor="Sastry2024" w:history="1">
        <w:r>
          <w:rPr>
            <w:color w:val="1F3864"/>
            <w:u w:val="single"/>
          </w:rPr>
          <w:t xml:space="preserve">Sastry et al. (2024)</w:t>
        </w:r>
      </w:hyperlink>
      <w:bookmarkEnd w:id="244"/>
      <w:r>
        <w:t xml:space="preserve"> argue that compute is well-suited for regulation. </w:t>
      </w:r>
      <w:bookmarkStart w:id="206" w:name="Lehdonvirta2024txt"/>
      <w:hyperlink w:anchor="Lehdonvirta2024" w:history="1">
        <w:r>
          <w:rPr>
            <w:color w:val="1F3864"/>
            <w:u w:val="single"/>
          </w:rPr>
          <w:t xml:space="preserve">Lehdonvirta et al. (2024)</w:t>
        </w:r>
      </w:hyperlink>
      <w:bookmarkEnd w:id="206"/>
      <w:r>
        <w:t xml:space="preserve"> map a “Compute North” with training-capable hardware versus a “Compute South” limited to inference chips. </w:t>
      </w:r>
      <w:bookmarkStart w:id="256" w:name="Pilz2025txt"/>
      <w:hyperlink w:anchor="Pilz2025" w:history="1">
        <w:r>
          <w:rPr>
            <w:color w:val="1F3864"/>
            <w:u w:val="single"/>
          </w:rPr>
          <w:t xml:space="preserve">Pilz et al. (2025)</w:t>
        </w:r>
      </w:hyperlink>
      <w:bookmarkEnd w:id="256"/>
      <w:r>
        <w:t xml:space="preserve"> project that data center power demand could reach 327 GW by 2030. The </w:t>
      </w:r>
      <w:bookmarkStart w:id="262" w:name="WorldBank2025txt"/>
      <w:hyperlink w:anchor="WorldBank2025" w:history="1">
        <w:r>
          <w:rPr>
            <w:color w:val="1F3864"/>
            <w:u w:val="single"/>
          </w:rPr>
          <w:t xml:space="preserve">World Bank (2025)</w:t>
        </w:r>
      </w:hyperlink>
      <w:bookmarkEnd w:id="262"/>
      <w:r>
        <w:t xml:space="preserve"> documents the resulting divide (high-income countries hold 77% of colocation capacity), but does not offer a formal framework linking costs to trade patterns. </w:t>
      </w:r>
      <w:bookmarkStart w:id="245" w:name="Biglaiser2024txt"/>
      <w:hyperlink w:anchor="Biglaiser2024" w:history="1">
        <w:r>
          <w:rPr>
            <w:color w:val="1F3864"/>
            <w:u w:val="single"/>
          </w:rPr>
          <w:t xml:space="preserve">Biglaiser et al. (2024)</w:t>
        </w:r>
      </w:hyperlink>
      <w:bookmarkEnd w:id="245"/>
      <w:r>
        <w:t xml:space="preserve"> survey cloud market IO, and </w:t>
      </w:r>
      <w:bookmarkStart w:id="257" w:name="Stojkoski2024txt"/>
      <w:hyperlink w:anchor="Stojkoski2024" w:history="1">
        <w:r>
          <w:rPr>
            <w:color w:val="1F3864"/>
            <w:u w:val="single"/>
          </w:rPr>
          <w:t xml:space="preserve">Stojkoski et al. (2024)</w:t>
        </w:r>
      </w:hyperlink>
      <w:bookmarkEnd w:id="257"/>
      <w:r>
        <w:t xml:space="preserve"> estimate cloud export geography but treat services as homogeneous. The present model adds supply-side cost structure and a training–inference distinction.</w:t>
      </w:r>
    </w:p>
    <w:p>
      <w:pPr>
        <w:pStyle w:val="Heading1"/>
      </w:pPr>
      <w:r>
        <w:rPr>
          <w:rFonts w:ascii="Times New Roman" w:hAnsi="Times New Roman"/>
          <w:b/>
          <w:color w:val="2F5496"/>
          <w:sz w:val="28"/>
        </w:rPr>
        <w:t>3. Model of Compute Production and Trade</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4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per-GPU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 per-watt cost × 700 W)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 The PUE function captures temperature-dependent cooling overhead:</w:t>
      </w:r>
    </w:p>
    <w:p>
      <w:pPr>
        <w:spacing w:before="0" w:after="160" w:line="360" w:lineRule="auto"/>
        <w:ind w:firstLine="0"/>
        <w:jc w:val="both"/>
      </w:pPr>
      <m:oMathPara>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m:oMathPara>
      <w:r>
        <w:t xml:space="preserve">where </w:t>
      </w:r>
      <m:oMath>
        <m:r>
          <m:rPr>
            <m:sty m:val="i"/>
          </m:rPr>
          <w:rPr>
            <w:rFonts w:ascii="Cambria Math" w:hAnsi="Cambria Math"/>
          </w:rPr>
          <m:t xml:space="preserve">φ</m:t>
        </m:r>
      </m:oMath>
      <w:r>
        <w:t xml:space="preserve"> is the base PUE at or below the free-cooling threshold </w:t>
      </w:r>
      <m:oMath>
        <m:bar>
          <m:barPr>
            <m:pos m:val="top"/>
          </m:barPr>
          <m:e>
            <m:r>
              <m:rPr>
                <m:sty m:val="i"/>
              </m:rPr>
              <w:rPr>
                <w:rFonts w:ascii="Cambria Math" w:hAnsi="Cambria Math"/>
              </w:rPr>
              <m:t xml:space="preserve">θ</m:t>
            </m:r>
          </m:e>
        </m:bar>
      </m:oMath>
      <w:r>
        <w:t xml:space="preserve">, </w:t>
      </w:r>
      <m:oMath>
        <m:r>
          <m:rPr>
            <m:sty m:val="i"/>
          </m:rPr>
          <w:rPr>
            <w:rFonts w:ascii="Cambria Math" w:hAnsi="Cambria Math"/>
          </w:rPr>
          <m:t xml:space="preserve">δ</m:t>
        </m:r>
      </m:oMath>
      <w:r>
        <w:t xml:space="preserve"> is the marginal PUE penalty per °C above </w:t>
      </w:r>
      <m:oMath>
        <m:bar>
          <m:barPr>
            <m:pos m:val="top"/>
          </m:barPr>
          <m:e>
            <m:r>
              <m:rPr>
                <m:sty m:val="i"/>
              </m:rPr>
              <w:rPr>
                <w:rFonts w:ascii="Cambria Math" w:hAnsi="Cambria Math"/>
              </w:rPr>
              <m:t xml:space="preserve">θ</m:t>
            </m:r>
          </m:e>
        </m:bar>
      </m:oMath>
      <w:r>
        <w:t xml:space="preserve">, and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country j’s peak summer temperature.</w:t>
      </w:r>
    </w:p>
    <w:p>
      <w:pPr>
        <w:spacing w:before="0" w:after="160" w:line="360" w:lineRule="auto"/>
        <w:ind w:firstLine="0"/>
        <w:jc w:val="both"/>
      </w:pPr>
      <w:r>
        <w:t xml:space="preserve">Although the cost structure above is Ricardian (country-specific production costs driven by technology and input prices), the justification for resource-rich comparative advantage is closer to the Heckscher–Ohlin model: countries export goods intensive in their abundant factors (</w:t>
      </w:r>
      <w:bookmarkStart w:id="207" w:name="Heckscher1919txt"/>
      <w:hyperlink w:anchor="Heckscher1919" w:history="1">
        <w:r>
          <w:rPr>
            <w:color w:val="1F3864"/>
            <w:u w:val="single"/>
          </w:rPr>
          <w:t xml:space="preserve">Heckscher 1919</w:t>
        </w:r>
      </w:hyperlink>
      <w:bookmarkEnd w:id="207"/>
      <w:r>
        <w:t xml:space="preserve">, </w:t>
      </w:r>
      <w:bookmarkStart w:id="246" w:name="Ohlin1933txt"/>
      <w:hyperlink w:anchor="Ohlin1933" w:history="1">
        <w:r>
          <w:rPr>
            <w:color w:val="1F3864"/>
            <w:u w:val="single"/>
          </w:rPr>
          <w:t xml:space="preserve">Ohlin 1933</w:t>
        </w:r>
      </w:hyperlink>
      <w:bookmarkEnd w:id="246"/>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8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from UN General Assembly ideal-point distance (</w:t>
      </w:r>
      <w:bookmarkStart w:id="208" w:name="BaileyEtAl2017txt"/>
      <w:hyperlink w:anchor="BaileyEtAl2017" w:history="1">
        <w:r>
          <w:rPr>
            <w:color w:val="1F3864"/>
            <w:u w:val="single"/>
          </w:rPr>
          <w:t xml:space="preserve">Bailey, Strezhnev, and Voeten 2017</w:t>
        </w:r>
      </w:hyperlink>
      <w:bookmarkEnd w:id="208"/>
      <w:r>
        <w:t xml:space="preserve">) and normalized so that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[0, 1]</m:t>
        </m:r>
      </m:oMath>
      <w:r>
        <w:t xml:space="preserve">, with 0 denoting perfect alignment;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720" w:type="dxa"/>
            <w:vAlign w:val="center"/>
          </w:tcPr>
          <w:p>
            <w:pPr>
              <w:jc w:val="right"/>
              <w:spacing w:before="60" w:after="60"/>
            </w:pPr>
            <w:bookmarkStart w:id="802" w:name="Eq2"/>
            <w:r>
              <w:t>(2)</w:t>
            </w:r>
            <w:bookmarkEnd w:id="802"/>
          </w:p>
        </w:tc>
      </w:tr>
    </w:tbl>
    <w:p>
      <w:pPr>
        <w:spacing w:before="80" w:after="80" w:line="360" w:lineRule="auto"/>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The bilateral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same object as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1" w:name="Eq2txt901"/>
      <w:hyperlink w:anchor="Eq2" w:history="1">
        <w:r>
          <w:rPr>
            <w:color w:val="1F3864"/>
            <w:u w:val="single"/>
          </w:rPr>
          <w:t xml:space="preserve">equation (2)</w:t>
        </w:r>
      </w:hyperlink>
      <w:bookmarkEnd w:id="901"/>
      <w:r>
        <w:t xml:space="preserve">; we relabel the subscripts as </w:t>
      </w:r>
      <m:oMath>
        <m:r>
          <m:rPr>
            <m:sty m:val="i"/>
          </m:rPr>
          <w:rPr>
            <w:rFonts w:ascii="Cambria Math" w:hAnsi="Cambria Math"/>
          </w:rPr>
          <m:t xml:space="preserve">(j, k)</m:t>
        </m:r>
      </m:oMath>
      <w:r>
        <w:t xml:space="preserve"> whenever the premium is paired with a specific seller’s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Governance quality, grid reliability, and other institutional factors that affect the willingness of buyers to source compute from a particular country are captured by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Which countries in this set attract investment also depend on agglomeration economies, hyperscaler market structure, and network connectivity (</w:t>
      </w:r>
      <w:bookmarkStart w:id="209" w:name="Krugman1991txt"/>
      <w:hyperlink w:anchor="Krugman1991" w:history="1">
        <w:r>
          <w:rPr>
            <w:color w:val="1F3864"/>
            <w:u w:val="single"/>
          </w:rPr>
          <w:t xml:space="preserve">Krugman 1991</w:t>
        </w:r>
      </w:hyperlink>
      <w:bookmarkEnd w:id="209"/>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line="360" w:lineRule="auto"/>
        <w:ind w:firstLine="0"/>
        <w:jc w:val="both"/>
      </w:pPr>
      <w:r>
        <w:t>This section derives the formal properties of the capacity-constrained equilibrium defined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below the latency threshold </w:t>
      </w:r>
      <m:oMath>
        <m:bar>
          <m:barPr>
            <m:pos m:val="top"/>
          </m:barPr>
          <m:e>
            <m:r>
              <m:rPr>
                <m:sty m:val="i"/>
              </m:rPr>
              <w:rPr>
                <w:rFonts w:ascii="Cambria Math" w:hAnsi="Cambria Math"/>
              </w:rPr>
              <m:t xml:space="preserve">l</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import both training and inference from cheaper or closer suppliers.</w:t>
      </w:r>
    </w:p>
    <w:p>
      <w:pPr>
        <w:spacing w:before="0" w:after="160" w:line="360" w:lineRule="auto"/>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pPr>
        <w:spacing w:before="0" w:after="160" w:line="360" w:lineRule="auto"/>
        <w:ind w:firstLine="0"/>
        <w:jc w:val="both"/>
      </w:pPr>
      <m:oMathPara>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d>
                    <m:dPr/>
                    <m:e>
                      <m:f>
                        <m:fPr/>
                        <m:num>
                          <m:sSub>
                            <m:sSubPr/>
                            <m:e>
                              <m:r>
                                <m:rPr>
                                  <m:sty m:val="i"/>
                                </m:rPr>
                                <w:rPr>
                                  <w:rFonts w:ascii="Cambria Math" w:hAnsi="Cambria Math"/>
                                </w:rPr>
                                <m:t xml:space="preserve">K</m:t>
                              </m:r>
                            </m:e>
                            <m:sub>
                              <m:r>
                                <m:rPr>
                                  <m:sty m:val="i"/>
                                </m:rPr>
                                <w:rPr>
                                  <w:rFonts w:ascii="Cambria Math" w:hAnsi="Cambria Math"/>
                                </w:rPr>
                                <m:t xml:space="preserve">T,j</m:t>
                              </m:r>
                            </m:sub>
                          </m:sSub>
                        </m:num>
                        <m:den>
                          <m:sSub>
                            <m:sSubPr/>
                            <m:e>
                              <m:r>
                                <m:rPr>
                                  <m:sty m:val="i"/>
                                </m:rPr>
                                <w:rPr>
                                  <w:rFonts w:ascii="Cambria Math" w:hAnsi="Cambria Math"/>
                                </w:rPr>
                                <m:t xml:space="preserve">Q</m:t>
                              </m:r>
                            </m:e>
                            <m:sub>
                              <m:r>
                                <m:rPr>
                                  <m:sty m:val="i"/>
                                </m:rPr>
                                <w:rPr>
                                  <w:rFonts w:ascii="Cambria Math" w:hAnsi="Cambria Math"/>
                                </w:rPr>
                                <m:t xml:space="preserve">T,X</m:t>
                              </m:r>
                            </m:sub>
                          </m:sSub>
                        </m:den>
                      </m:f>
                    </m:e>
                  </m:d>
                </m:e>
                <m:sup>
                  <m:r>
                    <m:rPr>
                      <m:sty m:val="p"/>
                    </m:rPr>
                    <w:rPr>
                      <w:rFonts w:ascii="Cambria Math" w:hAnsi="Cambria Math"/>
                    </w:rPr>
                    <m:t xml:space="preserve">2</m:t>
                  </m:r>
                </m:sup>
              </m:sSup>
            </m:e>
          </m:nary>
          <m:r>
            <m:rPr>
              <m:sty m:val="p"/>
            </m:rPr>
            <w:rPr>
              <w:rFonts w:ascii="Cambria Math" w:hAnsi="Cambria Math"/>
            </w:rPr>
            <m:t xml:space="preserve">, </m:t>
          </m:r>
        </m:oMath>
      </m:oMathPara>
      <w:r>
        <w:t xml:space="preserve">where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m:t>
        </m:r>
        <m:nary>
          <m:naryPr>
            <m:chr m:val="∑"/>
            <m:supHide m:val="1"/>
          </m:naryPr>
          <m:sub>
            <m:r>
              <m:rPr>
                <m:sty m:val="i"/>
              </m:rPr>
              <w:rPr>
                <w:rFonts w:ascii="Cambria Math" w:hAnsi="Cambria Math"/>
              </w:rPr>
              <m:t xml:space="preserve">k</m:t>
            </m:r>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denote total training export demand, the sum of training demand across all importing countries, and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is country j’s training export allocation (GPU-hours), bounded by the capacity ceiling </w:t>
      </w:r>
      <m:oMath>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line="360" w:lineRule="auto"/>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line="360" w:lineRule="auto"/>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0" w:name="Eurostat2025txt"/>
      <w:hyperlink w:anchor="Eurostat2025" w:history="1">
        <w:r>
          <w:rPr>
            <w:color w:val="1F3864"/>
            <w:u w:val="single"/>
          </w:rPr>
          <w:t xml:space="preserve">Eurostat 2025</w:t>
        </w:r>
      </w:hyperlink>
      <w:bookmarkEnd w:id="210"/>
      <w:r>
        <w:t xml:space="preserve">). For non-European countries, the prices are obtained from national regulator tariff sheets and secondary sources, including the U.S. Energy Information Administration (</w:t>
      </w:r>
      <w:bookmarkStart w:id="247" w:name="EIA2025txt"/>
      <w:hyperlink w:anchor="EIA2025" w:history="1">
        <w:r>
          <w:rPr>
            <w:color w:val="1F3864"/>
            <w:u w:val="single"/>
          </w:rPr>
          <w:t xml:space="preserve">EIA 2025</w:t>
        </w:r>
      </w:hyperlink>
      <w:bookmarkEnd w:id="247"/>
      <w:r>
        <w:t xml:space="preserve">) for the United States, KEPCO for South Korea,</w:t>
      </w:r>
      <w:r>
        <w:rPr>
          <w:rStyle w:val="FootnoteReference"/>
        </w:rPr>
        <w:footnoteReference w:id="24"/>
      </w:r>
      <w:r>
        <w:t xml:space="preserve"> national utility tariffs for Central Asian countries, and </w:t>
      </w:r>
      <w:bookmarkStart w:id="211" w:name="GlobalPetrolPrices2025txt"/>
      <w:hyperlink w:anchor="GlobalPetrolPrices2025" w:history="1">
        <w:r>
          <w:rPr>
            <w:color w:val="1F3864"/>
            <w:u w:val="single"/>
          </w:rPr>
          <w:t xml:space="preserve">GlobalPetrolPrices (2025)</w:t>
        </w:r>
      </w:hyperlink>
      <w:bookmarkEnd w:id="211"/>
      <w:r>
        <w:t xml:space="preserve"> for the remaining countries. All prices are converted to $/kWh at 2024 exchange rates.</w:t>
      </w:r>
    </w:p>
    <w:p>
      <w:pPr>
        <w:spacing w:before="0" w:after="160" w:line="360" w:lineRule="auto"/>
        <w:ind w:firstLine="0"/>
        <w:jc w:val="both"/>
      </w:pPr>
      <w:r>
        <w:rPr>
          <w:rFonts w:ascii="Times New Roman" w:hAnsi="Times New Roman"/>
          <w:b w:val="0"/>
          <w:i/>
          <w:sz w:val="24"/>
        </w:rPr>
        <w:t xml:space="preserve">Temperature and construction. </w:t>
      </w:r>
      <w:r>
        <w:t xml:space="preserve">Peak summer temperature is derived from ERA5 data (</w:t>
      </w:r>
      <w:bookmarkStart w:id="212" w:name="Hersbach2020txt"/>
      <w:hyperlink w:anchor="Hersbach2020" w:history="1">
        <w:r>
          <w:rPr>
            <w:color w:val="1F3864"/>
            <w:u w:val="single"/>
          </w:rPr>
          <w:t xml:space="preserve">Hersbach et al. 2020</w:t>
        </w:r>
      </w:hyperlink>
      <w:bookmarkEnd w:id="212"/>
      <w:r>
        <w:t xml:space="preserve">) as the average monthly maximum in the three warmest months, aggregated across populated grid cells. </w:t>
      </w:r>
      <w:r>
        <w:t xml:space="preserve">Construction costs per watt of IT capacity are from the Turner &amp; Townsend Data Center Construction Cost Index 2025 (</w:t>
      </w:r>
      <w:bookmarkStart w:id="213" w:name="TurnerTownsend2025txt"/>
      <w:hyperlink w:anchor="TurnerTownsend2025" w:history="1">
        <w:r>
          <w:rPr>
            <w:color w:val="1F3864"/>
            <w:u w:val="single"/>
          </w:rPr>
          <w:t xml:space="preserve">Turner &amp; Townsend 2025</w:t>
        </w:r>
      </w:hyperlink>
      <w:bookmarkEnd w:id="213"/>
      <w:r>
        <w:t xml:space="preserve">), for 37 countries. For the remaining countries, costs are predicted (Appendix E). Since construction is only 3–6% of total per-GPU-hour costs, imputation error has a limited impact on cost rankings.</w:t>
      </w:r>
    </w:p>
    <w:p>
      <w:pPr>
        <w:spacing w:before="0" w:after="160" w:line="360" w:lineRule="auto"/>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4" w:name="WonderNetwork2024txt"/>
      <w:hyperlink w:anchor="WonderNetwork2024" w:history="1">
        <w:r>
          <w:rPr>
            <w:color w:val="1F3864"/>
            <w:u w:val="single"/>
          </w:rPr>
          <w:t xml:space="preserve">WonderNetwork 2024</w:t>
        </w:r>
      </w:hyperlink>
      <w:bookmarkEnd w:id="214"/>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w:t>
      </w:r>
      <w:bookmarkStart w:id="902" w:name="Eq4txt902"/>
      <w:hyperlink w:anchor="Eq4" w:history="1">
        <w:r>
          <w:rPr>
            <w:color w:val="1F3864"/>
            <w:u w:val="single"/>
          </w:rPr>
          <w:t xml:space="preserve">equation (4)</w:t>
        </w:r>
      </w:hyperlink>
      <w:bookmarkEnd w:id="902"/>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5" w:name="Cloudscene2025txt"/>
      <w:hyperlink w:anchor="Cloudscene2025" w:history="1">
        <w:r>
          <w:rPr>
            <w:color w:val="1F3864"/>
            <w:u w:val="single"/>
          </w:rPr>
          <w:t xml:space="preserve">Cloudscene 2025</w:t>
        </w:r>
      </w:hyperlink>
      <w:bookmarkEnd w:id="215"/>
      <w:r>
        <w:t xml:space="preserve">) and regional averages.</w:t>
      </w:r>
    </w:p>
    <w:p>
      <w:pPr>
        <w:spacing w:before="0" w:after="160" w:line="360" w:lineRule="auto"/>
        <w:ind w:firstLine="0"/>
        <w:jc w:val="both"/>
      </w:pPr>
      <w:r>
        <w:t>Because the compute export market is still emerging and bilateral trade-flow data do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6" w:name="Google2024txt"/>
      <w:hyperlink w:anchor="Google2024" w:history="1">
        <w:r>
          <w:rPr>
            <w:color w:val="1F3864"/>
            <w:u w:val="single"/>
          </w:rPr>
          <w:t xml:space="preserve">Google 2024</w:t>
        </w:r>
      </w:hyperlink>
      <w:bookmarkEnd w:id="216"/>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7" w:name="Liu2023txt"/>
      <w:hyperlink w:anchor="Liu2023" w:history="1">
        <w:r>
          <w:rPr>
            <w:color w:val="1F3864"/>
            <w:u w:val="single"/>
          </w:rPr>
          <w:t xml:space="preserve">Liu et al. 2023</w:t>
        </w:r>
      </w:hyperlink>
      <w:bookmarkEnd w:id="217"/>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18" w:name="UptimeInstitute2024txt"/>
      <w:hyperlink w:anchor="UptimeInstitute2024" w:history="1">
        <w:r>
          <w:rPr>
            <w:color w:val="1F3864"/>
            <w:u w:val="single"/>
          </w:rPr>
          <w:t xml:space="preserve">Uptime Institute 2024</w:t>
        </w:r>
      </w:hyperlink>
      <w:bookmarkEnd w:id="218"/>
      <w:r>
        <w:t xml:space="preserve">).</w:t>
      </w:r>
      <w:r>
        <w:rPr>
          <w:rStyle w:val="FootnoteReference"/>
        </w:rPr>
        <w:footnoteReference w:id="13"/>
      </w:r>
    </w:p>
    <w:p>
      <w:pPr>
        <w:spacing w:before="0" w:after="160" w:line="360" w:lineRule="auto"/>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19" w:name="Barroso2018txt"/>
      <w:hyperlink w:anchor="Barroso2018" w:history="1">
        <w:r>
          <w:rPr>
            <w:color w:val="1F3864"/>
            <w:u w:val="single"/>
          </w:rPr>
          <w:t xml:space="preserve">Barroso et al. 2018</w:t>
        </w:r>
      </w:hyperlink>
      <w:bookmarkEnd w:id="219"/>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0" w:name="Barroso2018txt"/>
      <w:hyperlink w:anchor="Barroso2018" w:history="1">
        <w:r>
          <w:rPr>
            <w:color w:val="1F3864"/>
            <w:u w:val="single"/>
          </w:rPr>
          <w:t xml:space="preserve">Barroso et al. 2018</w:t>
        </w:r>
      </w:hyperlink>
      <w:bookmarkEnd w:id="220"/>
      <w:r>
        <w:t xml:space="preserve">). GPU and networking equipment prices are assumed to be uniform across countries.</w:t>
      </w:r>
    </w:p>
    <w:p>
      <w:pPr>
        <w:spacing w:before="0" w:after="160" w:line="360" w:lineRule="auto"/>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1" w:name="Deloitte2020txt"/>
      <w:hyperlink w:anchor="Deloitte2020" w:history="1">
        <w:r>
          <w:rPr>
            <w:color w:val="1F3864"/>
            <w:u w:val="single"/>
          </w:rPr>
          <w:t xml:space="preserve">Deloitte and Google (2020)</w:t>
        </w:r>
      </w:hyperlink>
      <w:bookmarkEnd w:id="221"/>
      <w:r>
        <w:t xml:space="preserve"> for e-commerce. </w:t>
      </w:r>
    </w:p>
    <w:p>
      <w:pPr>
        <w:spacing w:before="0" w:after="160" w:line="360" w:lineRule="auto"/>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w:t>
      </w:r>
      <w:bookmarkStart w:id="903" w:name="Eq2txt903"/>
      <w:hyperlink w:anchor="Eq2" w:history="1">
        <w:r>
          <w:rPr>
            <w:color w:val="1F3864"/>
            <w:u w:val="single"/>
          </w:rPr>
          <w:t xml:space="preserve">eq. (2)</w:t>
        </w:r>
      </w:hyperlink>
      <w:bookmarkEnd w:id="903"/>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0.04–0.07.</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2" w:name="Deloitte2025txt"/>
      <w:hyperlink w:anchor="Deloitte2025" w:history="1">
        <w:r>
          <w:rPr>
            <w:color w:val="1F3864"/>
            <w:u w:val="single"/>
          </w:rPr>
          <w:t xml:space="preserve">Deloitte 2025</w:t>
        </w:r>
      </w:hyperlink>
      <w:bookmarkEnd w:id="222"/>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model structure, from country endowments through production costs and prices to equilibrium regimes. The analysis proceeds by adjusting production costs and applying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But this ranking is misleading. Iran’s headline electricity cost reflects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subsidy-driven advantage. The cost-recovery prices are defined as the long-run marginal cost (LRMC) of the dominant generation technology at opportunity-cost fuel prices (</w:t>
      </w:r>
      <w:bookmarkStart w:id="248" w:name="IMF2025txt"/>
      <w:hyperlink w:anchor="IMF2025" w:history="1">
        <w:r>
          <w:rPr>
            <w:color w:val="1F3864"/>
            <w:u w:val="single"/>
          </w:rPr>
          <w:t xml:space="preserve">IMF 2025</w:t>
        </w:r>
      </w:hyperlink>
      <w:bookmarkEnd w:id="248"/>
      <w:r>
        <w:t xml:space="preserve">, </w:t>
      </w:r>
      <w:bookmarkStart w:id="223" w:name="Lazard2025txt"/>
      <w:hyperlink w:anchor="Lazard2025" w:history="1">
        <w:r>
          <w:rPr>
            <w:color w:val="1F3864"/>
            <w:u w:val="single"/>
          </w:rPr>
          <w:t xml:space="preserve">Lazard 2025</w:t>
        </w:r>
      </w:hyperlink>
      <w:bookmarkEnd w:id="223"/>
      <w:r>
        <w:t xml:space="preserve">). We apply this adjustment to 13 countries whose retail electricity prices fall below the estimated LRMC.</w:t>
      </w:r>
      <w:r>
        <w:rPr>
          <w:rStyle w:val="FootnoteReference"/>
        </w:rPr>
        <w:footnoteReference w:id="16"/>
      </w:r>
      <w:r>
        <w:t xml:space="preserve"> The subsidy gap ranges from $0.019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 xml:space="preserve">Table 3</w:t>
        </w:r>
      </w:hyperlink>
      <w:r>
        <w:t xml:space="preserve">) shifts the top of the ranking toward hydropower-rich countries: Kyrgyzstan, Canada, Ethiopia, Kosovo, and Tajikistan. Iran drops from first to 24th, and Turkmenistan falls 16 places. Forty countries change their trade regimes, but </w:t>
      </w:r>
      <w:r>
        <w:t>the remaining cross-country variation is narrow. Cheap energy is necessary but not sufficient for FLOP exporting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The gap between cost advantage and actual investment is wide. Eight of the twenty cheapest producers have under 100 MW of installed capacity (e.g., Kyrgyzstan: rank 1, 5 MW), while countries outside the top twenty host large clusters (Netherlands: rank 59, 1,800 MW; Ireland: rank 84, 1,260 MW). The cost ranking identifies the feasible set of exporters, not a prediction of realized investment.</w:t>
      </w:r>
    </w:p>
    <w:p>
      <w:pPr>
        <w:spacing w:before="0" w:after="160" w:line="360" w:lineRule="auto"/>
        <w:ind w:firstLine="0"/>
        <w:jc w:val="both"/>
      </w:pPr>
      <w:r>
        <w:t xml:space="preserve">Recent FDI data confirm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bookmarkStart w:id="258" w:name="AykutEtAl2026txt"/>
      <w:hyperlink w:anchor="AykutEtAl2026" w:history="1">
        <w:r>
          <w:rPr>
            <w:color w:val="1F3864"/>
            <w:u w:val="single"/>
          </w:rPr>
          <w:t xml:space="preserve">Aykut et al. 2026</w:t>
        </w:r>
      </w:hyperlink>
      <w:bookmarkEnd w:id="258"/>
      <w:r>
        <w:t xml:space="preserve">). Moreover, most announced investment flows between geopolitical allies, are consistent with the bilateral sovereignty premium rather than cost alone determining where capacity is built (</w:t>
      </w:r>
      <w:bookmarkStart w:id="249" w:name="StraubEtAl2026txt"/>
      <w:hyperlink w:anchor="StraubEtAl2026" w:history="1">
        <w:r>
          <w:rPr>
            <w:color w:val="1F3864"/>
            <w:u w:val="single"/>
          </w:rPr>
          <w:t xml:space="preserve">Straub et al. 2026</w:t>
        </w:r>
      </w:hyperlink>
      <w:bookmarkEnd w:id="249"/>
      <w:r>
        <w:t xml:space="preserve">). Econometric evidence confirms that electricity costs are not a robust predictor of data center location once market size and regulatory environment are controlled for (</w:t>
      </w:r>
      <w:bookmarkStart w:id="224" w:name="CaouiSteck2025txt"/>
      <w:hyperlink w:anchor="CaouiSteck2025" w:history="1">
        <w:r>
          <w:rPr>
            <w:color w:val="1F3864"/>
            <w:u w:val="single"/>
          </w:rPr>
          <w:t xml:space="preserve">Caoui and Steck 2025</w:t>
        </w:r>
      </w:hyperlink>
      <w:bookmarkEnd w:id="224"/>
      <w:r>
        <w:t xml:space="preserve">).</w:t>
      </w:r>
    </w:p>
    <w:p>
      <w:pPr>
        <w:spacing w:before="0" w:after="160" w:line="360" w:lineRule="auto"/>
        <w:ind w:firstLine="0"/>
        <w:jc w:val="both"/>
      </w:pPr>
      <w:r>
        <w:t xml:space="preserve">Cross-country evidence on policy readiness corroborates this pattern. Economies with advanced AI and cloud strategies—such as Singapore, Australia, Japan, and South Korea—record estimated economic impacts from AI and cloud investment of 3–4 percent of GDP, compared with less than 1 percent in Indonesia and Viet Nam (</w:t>
      </w:r>
      <w:bookmarkStart w:id="250" w:name="KatzEtAl2025txt"/>
      <w:hyperlink w:anchor="KatzEtAl2025" w:history="1">
        <w:r>
          <w:rPr>
            <w:color w:val="1F3864"/>
            <w:u w:val="single"/>
          </w:rPr>
          <w:t xml:space="preserve">Katz et al. 2025</w:t>
        </w:r>
      </w:hyperlink>
      <w:bookmarkEnd w:id="250"/>
      <w:r>
        <w:t xml:space="preserve">).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bookmarkStart w:id="225" w:name="AykutEtAl2026txt"/>
      <w:hyperlink w:anchor="AykutEtAl2026" w:history="1">
        <w:r>
          <w:rPr>
            <w:color w:val="1F3864"/>
            <w:u w:val="single"/>
          </w:rPr>
          <w:t xml:space="preserve">Aykut et al. 2026</w:t>
        </w:r>
      </w:hyperlink>
      <w:bookmarkEnd w:id="225"/>
      <w:r>
        <w:t xml:space="preserve">).</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pPr>
        <w:spacing w:before="0" w:after="160" w:line="360" w:lineRule="auto"/>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4" w:name="Eq4txt904"/>
      <w:hyperlink w:anchor="Eq4" w:history="1">
        <w:r>
          <w:rPr>
            <w:color w:val="1F3864"/>
            <w:u w:val="single"/>
          </w:rPr>
          <w:t xml:space="preserve">equation (4)</w:t>
        </w:r>
      </w:hyperlink>
      <w:bookmarkEnd w:id="904"/>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a dominant exporter (HHI = 0.996, with 1 other producer at the margin), leaving the training market close to the unconstrained benchmark of Proposition 2. </w:t>
      </w:r>
      <w:r>
        <w:t xml:space="preserve">The largest shadow values of grid capacity are in Kyrgyzstan ($0.014/hr), indicating modest returns to capacity expansion. </w:t>
      </w:r>
      <w:r>
        <w:t>Under the bilateral sovereignty premium, most training demand shifts to domestic production, and the residual export market is served by a single exporter at $1.58/hr.</w:t>
      </w:r>
    </w:p>
    <w:p>
      <w:pPr>
        <w:spacing w:before="0" w:after="160" w:line="360" w:lineRule="auto"/>
        <w:ind w:firstLine="0"/>
        <w:jc w:val="both"/>
      </w:pPr>
      <w:r>
        <w:t xml:space="preserve">Inference exports are more dispersed, with the top five exporters being Canada (43%), Kyrgyzstan (26%), Kosovo (6%), the United Kingdom (1%), and Indonesia (0.9%), collectively accounting for 77% of cross-border inference demand (HHI = 0.2591). </w:t>
      </w:r>
    </w:p>
    <w:p>
      <w:pPr>
        <w:spacing w:before="0" w:after="160" w:line="360" w:lineRule="auto"/>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17 countries, accounting for 6% of global inference demand. </w:t>
      </w:r>
    </w:p>
    <w:p>
      <w:pPr>
        <w:spacing w:before="0" w:after="160" w:line="360" w:lineRule="auto"/>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domestically. For China, the cheapest foreign source of inference is Kyrgyzstan. Inference supply thus concentrates around latency-bounded regional hubs, each major market sourcing from a distinct nearby producer.</w:t>
      </w:r>
    </w:p>
    <w:p>
      <w:pPr>
        <w:spacing w:before="0" w:after="160" w:line="360" w:lineRule="auto"/>
        <w:ind w:firstLine="0"/>
        <w:jc w:val="both"/>
      </w:pPr>
      <w:r>
        <w:t xml:space="preserve">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bookmarkStart w:id="226" w:name="AykutEtAl2026txt"/>
      <w:hyperlink w:anchor="AykutEtAl2026" w:history="1">
        <w:r>
          <w:rPr>
            <w:color w:val="1F3864"/>
            <w:u w:val="single"/>
          </w:rPr>
          <w:t xml:space="preserve">Aykut et al. 2026</w:t>
        </w:r>
      </w:hyperlink>
      <w:bookmarkEnd w:id="226"/>
      <w:r>
        <w:t xml:space="preserve">).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pPr>
        <w:spacing w:before="0" w:after="160" w:line="360" w:lineRule="auto"/>
        <w:ind w:firstLine="0"/>
        <w:jc w:val="both"/>
      </w:pPr>
      <w:r>
        <w:t>Under cost-recovery pricing, the narrow cost spread means that even a 10% uniform sovereignty premium is sufficient to make domestic training viable for nearly all countries, leaving the share of global training demand available to foreign exporters negligible. Raising the uniform premium to 20% shifts one additional country (Greenland)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pPr>
        <w:spacing w:before="0" w:after="160" w:line="360" w:lineRule="auto"/>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1.5% of average compute spending, in the range of the welfare gains from trade in goods estimated in the quantitative trade literature, which range from roughly 0.2% to 10% depending on country size and specification (</w:t>
      </w:r>
      <w:bookmarkStart w:id="227" w:name="EatonKortum2002txt"/>
      <w:hyperlink w:anchor="EatonKortum2002" w:history="1">
        <w:r>
          <w:rPr>
            <w:color w:val="1F3864"/>
            <w:u w:val="single"/>
          </w:rPr>
          <w:t xml:space="preserve">Eaton and Kortum 2002</w:t>
        </w:r>
      </w:hyperlink>
      <w:bookmarkEnd w:id="227"/>
      <w:r>
        <w:t xml:space="preserve">, </w:t>
      </w:r>
      <w:bookmarkStart w:id="251" w:name="ACR2012txt"/>
      <w:hyperlink w:anchor="ACR2012" w:history="1">
        <w:r>
          <w:rPr>
            <w:color w:val="1F3864"/>
            <w:u w:val="single"/>
          </w:rPr>
          <w:t xml:space="preserve">Arkolakis et al. 2012</w:t>
        </w:r>
      </w:hyperlink>
      <w:bookmarkEnd w:id="251"/>
      <w:r>
        <w:t xml:space="preserve">).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pPr>
        <w:spacing w:before="0" w:after="160" w:line="360" w:lineRule="auto"/>
        <w:ind w:firstLine="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significant in aggregate dollars but modest as a share of compute spending.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228" w:name="WorldBank2025txt"/>
      <w:hyperlink w:anchor="WorldBank2025" w:history="1">
        <w:r>
          <w:rPr>
            <w:color w:val="1F3864"/>
            <w:u w:val="single"/>
          </w:rPr>
          <w:t xml:space="preserve">World Bank (2025)</w:t>
        </w:r>
      </w:hyperlink>
      <w:bookmarkEnd w:id="228"/>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Caveats, and Extensions</w:t>
      </w:r>
    </w:p>
    <w:p>
      <w:pPr>
        <w:pStyle w:val="Heading2"/>
      </w:pPr>
      <w:r>
        <w:rPr>
          <w:rFonts w:ascii="Times New Roman" w:hAnsi="Times New Roman"/>
          <w:b w:val="0"/>
          <w:i/>
          <w:color w:val="2F5496"/>
          <w:sz w:val="24"/>
        </w:rPr>
        <w:t>7.1 Robustness to parameter variation</w:t>
      </w:r>
    </w:p>
    <w:p>
      <w:pPr>
        <w:spacing w:before="0" w:after="160" w:line="360" w:lineRule="auto"/>
        <w:ind w:firstLine="0"/>
        <w:jc w:val="both"/>
      </w:pPr>
      <w:r>
        <w:rPr>
          <w:rFonts w:ascii="Times New Roman" w:hAnsi="Times New Roman"/>
          <w:b w:val="0"/>
          <w:i/>
          <w:sz w:val="24"/>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w:t>
      </w:r>
    </w:p>
    <w:p>
      <w:pPr>
        <w:spacing w:before="0" w:after="160" w:line="360" w:lineRule="auto"/>
        <w:ind w:firstLine="0"/>
        <w:jc w:val="both"/>
      </w:pPr>
      <w:r>
        <w:rPr>
          <w:rFonts w:ascii="Times New Roman" w:hAnsi="Times New Roman"/>
          <w:b w:val="0"/>
          <w:i/>
          <w:sz w:val="24"/>
        </w:rPr>
        <w:t xml:space="preserve">Hardware cost share. </w:t>
      </w:r>
      <w:r>
        <w:t xml:space="preserve">Varying </w:t>
      </w:r>
      <m:oMath>
        <m:r>
          <m:rPr>
            <m:sty m:val="i"/>
          </m:rPr>
          <w:rPr>
            <w:rFonts w:ascii="Cambria Math" w:hAnsi="Cambria Math"/>
          </w:rPr>
          <m:t xml:space="preserve">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facilitating entry by developing countries. Countries combining cheap energy with adequate governance retain their cost advantage regardless of the choice of parameter.</w:t>
      </w:r>
    </w:p>
    <w:p>
      <w:pPr>
        <w:spacing w:before="0" w:after="160" w:line="360" w:lineRule="auto"/>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line="360" w:lineRule="auto"/>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Caveats and omitted frictions</w:t>
      </w:r>
    </w:p>
    <w:p>
      <w:pPr>
        <w:spacing w:before="0" w:after="160" w:line="360" w:lineRule="auto"/>
        <w:ind w:firstLine="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Fiscal sustainability is a concern: regulated tariffs in many developing countries cover operating expenses but not full capital cost, so exporting compute at scale while the domestic energy sector cannot maintain its capital stock may prove politically unsustainable. Finally, logistics costs and local distribution markups can raise effective GPU prices by 5–15% in developing countries that are not subject to export bans, eroding the thin cost advantages. These omitted constraints all work against developing-country competitiveness; the calibration results should therefore be read as upper bounds.</w:t>
      </w:r>
    </w:p>
    <w:p>
      <w:pPr>
        <w:spacing w:before="0" w:after="160" w:line="360" w:lineRule="auto"/>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229" w:name="Chandramowli2024txt"/>
      <w:hyperlink w:anchor="Chandramowli2024" w:history="1">
        <w:r>
          <w:rPr>
            <w:color w:val="1F3864"/>
            <w:u w:val="single"/>
          </w:rPr>
          <w:t xml:space="preserve">Chandramowli et al. 2024</w:t>
        </w:r>
      </w:hyperlink>
      <w:bookmarkEnd w:id="229"/>
      <w:r>
        <w:t xml:space="preserve">), and AI data-center expansion alone could increase retail prices by 8–9 percent by 2030 (</w:t>
      </w:r>
      <w:bookmarkStart w:id="252" w:name="IMF2025txt"/>
      <w:hyperlink w:anchor="IMF2025" w:history="1">
        <w:r>
          <w:rPr>
            <w:color w:val="1F3864"/>
            <w:u w:val="single"/>
          </w:rPr>
          <w:t xml:space="preserve">IMF 2025</w:t>
        </w:r>
      </w:hyperlink>
      <w:bookmarkEnd w:id="252"/>
      <w:r>
        <w:t xml:space="preserve">). For small grids such as Kyrgyzstan’s, the proportional impact would be substantially larger, further eroding the cost advantages documented above.</w:t>
      </w:r>
    </w:p>
    <w:p>
      <w:pPr>
        <w:spacing w:before="0" w:after="160" w:line="360" w:lineRule="auto"/>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pPr>
        <w:spacing w:before="0" w:after="160" w:line="360" w:lineRule="auto"/>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30" w:name="Calcaterra2024txt"/>
      <w:hyperlink w:anchor="Calcaterra2024" w:history="1">
        <w:r>
          <w:rPr>
            <w:color w:val="1F3864"/>
            <w:u w:val="single"/>
          </w:rPr>
          <w:t xml:space="preserve">Calcaterra et al. 2024</w:t>
        </w:r>
      </w:hyperlink>
      <w:bookmarkEnd w:id="230"/>
      <w:r>
        <w:t xml:space="preserve">).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institutional weaknesses raise the cost of capital, and the ranking of cheap-energy developing countries compresses sharply. Since most data-center FDI in practice is financed at the hyperscaler’s home WACC, this channel sets an upper bound on the developing-country discount but does not eliminate it.</w:t>
      </w:r>
    </w:p>
    <w:p>
      <w:pPr>
        <w:pStyle w:val="Heading2"/>
      </w:pPr>
      <w:r>
        <w:rPr>
          <w:rFonts w:ascii="Times New Roman" w:hAnsi="Times New Roman"/>
          <w:b w:val="0"/>
          <w:i/>
          <w:color w:val="2F5496"/>
          <w:sz w:val="24"/>
        </w:rPr>
        <w:t>7.3 Extensions</w:t>
      </w:r>
    </w:p>
    <w:p>
      <w:pPr>
        <w:spacing w:before="0" w:after="160" w:line="360" w:lineRule="auto"/>
        <w:ind w:firstLine="0"/>
        <w:jc w:val="both"/>
      </w:pPr>
      <w:r>
        <w:rPr>
          <w:rFonts w:ascii="Times New Roman" w:hAnsi="Times New Roman"/>
          <w:b w:val="0"/>
          <w:i/>
          <w:sz w:val="24"/>
        </w:rPr>
        <w:t xml:space="preserve">Edge computing. </w:t>
      </w:r>
      <w:r>
        <w:t xml:space="preserve">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present model (</w:t>
      </w:r>
      <w:bookmarkStart w:id="231" w:name="AykutEtAl2026txt"/>
      <w:hyperlink w:anchor="AykutEtAl2026" w:history="1">
        <w:r>
          <w:rPr>
            <w:color w:val="1F3864"/>
            <w:u w:val="single"/>
          </w:rPr>
          <w:t xml:space="preserve">Aykut et al. 2026</w:t>
        </w:r>
      </w:hyperlink>
      <w:bookmarkEnd w:id="231"/>
      <w:r>
        <w:t xml:space="preserve">). Incorporating heterogeneous compute architectures—centralized GPU clusters for training, distributed edge nodes for inference—into the trade framework is a natural direction for future work.</w:t>
      </w:r>
    </w:p>
    <w:p>
      <w:pPr>
        <w:pStyle w:val="Heading1"/>
      </w:pPr>
      <w:r>
        <w:rPr>
          <w:rFonts w:ascii="Times New Roman" w:hAnsi="Times New Roman"/>
          <w:b/>
          <w:color w:val="2F5496"/>
          <w:sz w:val="28"/>
        </w:rPr>
        <w:t>8. Conclusion</w:t>
      </w:r>
    </w:p>
    <w:p>
      <w:pPr>
        <w:spacing w:before="0" w:after="160" w:line="360" w:lineRule="auto"/>
        <w:ind w:firstLine="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pPr>
        <w:spacing w:before="0" w:after="160" w:line="360" w:lineRule="auto"/>
        <w:ind w:firstLine="0"/>
        <w:jc w:val="both"/>
      </w:pPr>
      <w:r>
        <w:t>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even modest frictions, such as a sovereignty premium, a governance penalty, or a higher cost of capital, are sufficient to alter a country’s trade regime. Compute is therefore simultaneously the easiest sector for developing countries to enter on cost grounds and the most vulnerable to small policy-induced distortions.</w:t>
      </w:r>
    </w:p>
    <w:p>
      <w:pPr>
        <w:spacing w:before="0" w:after="160" w:line="360" w:lineRule="auto"/>
        <w:ind w:firstLine="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including non-sanctioned status, credible long-term power contracts, stable network connectivity, and a regulatory environment conducive to capital-intensive investment. The absence of these conditions shifts most countries toward domestic production at a nontrivial welfare cost. The welfare loss, however, is small enough that governments with legitimate data-sovereignty objectives may prefer to rely on domestic supply. </w:t>
      </w:r>
    </w:p>
    <w:p>
      <w:pPr>
        <w:spacing w:before="0" w:after="160" w:line="360" w:lineRule="auto"/>
        <w:ind w:firstLine="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pPr>
        <w:spacing w:before="0" w:after="160" w:line="360" w:lineRule="auto"/>
        <w:ind w:firstLine="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pPr>
        <w:pStyle w:val="Heading1"/>
        <w:pageBreakBefore/>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DB2020"/>
      <w:hyperlink w:anchor="ADB2020txt" w:history="1">
        <w:r>
          <w:rPr>
            <w:color w:val="1F3864"/>
            <w:u w:val="single"/>
          </w:rPr>
          <w:t xml:space="preserve">Asian Development Bank. (2020). </w:t>
        </w:r>
      </w:hyperlink>
      <w:r>
        <w:t>“Toktogul Rehabilitation Project Phase 3: Sector Assessment.” Asian Development Bank. Report No. 49013-002.</w:t>
      </w:r>
      <w:bookmarkEnd w:id="501"/>
    </w:p>
    <w:p>
      <w:pPr>
        <w:spacing w:before="0" w:after="80" w:line="240" w:lineRule="exact"/>
        <w:ind w:hanging="720" w:left="720"/>
        <w:jc w:val="both"/>
      </w:pPr>
      <w:bookmarkStart w:id="502" w:name="AykutEtAl2026"/>
      <w:hyperlink w:anchor="AykutEtAl2026txt" w:history="1">
        <w:r>
          <w:rPr>
            <w:color w:val="1F3864"/>
            <w:u w:val="single"/>
          </w:rPr>
          <w:t xml:space="preserve">Aykut, D., S. Ozyurt, K. Jung, and E. Vergara Cobos. (2026). </w:t>
        </w:r>
      </w:hyperlink>
      <w:r>
        <w:t xml:space="preserve">“Data Center and AI Investment in EMDEs: Risks and Opportunities.” </w:t>
      </w:r>
      <w:r>
        <w:rPr>
          <w:i/>
        </w:rPr>
        <w:t>Watch This Space</w:t>
      </w:r>
      <w:r>
        <w:t xml:space="preserve">. Washington, DC: </w:t>
      </w:r>
      <w:bookmarkStart w:id="232" w:name="WorldBank2024txt"/>
      <w:hyperlink w:anchor="WorldBank2024" w:history="1">
        <w:r>
          <w:rPr>
            <w:color w:val="1F3864"/>
            <w:u w:val="single"/>
          </w:rPr>
          <w:t xml:space="preserve">World Bank</w:t>
        </w:r>
      </w:hyperlink>
      <w:bookmarkEnd w:id="232"/>
      <w:r>
        <w:t xml:space="preserve"> Group.</w:t>
      </w:r>
      <w:bookmarkEnd w:id="502"/>
    </w:p>
    <w:p>
      <w:pPr>
        <w:spacing w:before="0" w:after="80" w:line="240" w:lineRule="exact"/>
        <w:ind w:hanging="720" w:left="720"/>
        <w:jc w:val="both"/>
      </w:pPr>
      <w:bookmarkStart w:id="503"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3"/>
    </w:p>
    <w:p>
      <w:pPr>
        <w:spacing w:before="0" w:after="80" w:line="240" w:lineRule="exact"/>
        <w:ind w:hanging="720" w:left="720"/>
        <w:jc w:val="both"/>
      </w:pPr>
      <w:bookmarkStart w:id="504"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4"/>
    </w:p>
    <w:p>
      <w:pPr>
        <w:spacing w:before="0" w:after="80" w:line="240" w:lineRule="exact"/>
        <w:ind w:hanging="720" w:left="720"/>
        <w:jc w:val="both"/>
      </w:pPr>
      <w:bookmarkStart w:id="505" w:name="BenzJaax2020"/>
      <w:r>
        <w:rPr>
          <w:color w:val="1F3864"/>
          <w:u w:val="single"/>
        </w:rPr>
        <w:t xml:space="preserve">Benz, S. and A. Jaax. (2020). </w:t>
      </w:r>
      <w:r>
        <w:t xml:space="preserve">“The Costs of Regulatory Barriers to Trade in Services: New Estimates of Ad Valorem Tariff Equivalents.” </w:t>
      </w:r>
      <w:r>
        <w:rPr>
          <w:i/>
        </w:rPr>
        <w:t>OECD Trade Policy Papers</w:t>
      </w:r>
      <w:r>
        <w:t>, No. 238. Paris: OECD Publishing.</w:t>
      </w:r>
      <w:bookmarkEnd w:id="505"/>
    </w:p>
    <w:p>
      <w:pPr>
        <w:spacing w:before="0" w:after="80" w:line="240" w:lineRule="exact"/>
        <w:ind w:hanging="720" w:left="720"/>
        <w:jc w:val="both"/>
      </w:pPr>
      <w:bookmarkStart w:id="506"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6"/>
    </w:p>
    <w:p>
      <w:pPr>
        <w:spacing w:before="0" w:after="80" w:line="240" w:lineRule="exact"/>
        <w:ind w:hanging="720" w:left="720"/>
        <w:jc w:val="both"/>
      </w:pPr>
      <w:bookmarkStart w:id="507"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07"/>
    </w:p>
    <w:p>
      <w:pPr>
        <w:spacing w:before="0" w:after="80" w:line="240" w:lineRule="exact"/>
        <w:ind w:hanging="720" w:left="720"/>
        <w:jc w:val="both"/>
      </w:pPr>
      <w:bookmarkStart w:id="508"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8"/>
    </w:p>
    <w:p>
      <w:pPr>
        <w:spacing w:before="0" w:after="80" w:line="240" w:lineRule="exact"/>
        <w:ind w:hanging="720" w:left="720"/>
        <w:jc w:val="both"/>
      </w:pPr>
      <w:bookmarkStart w:id="509"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9"/>
    </w:p>
    <w:p>
      <w:pPr>
        <w:spacing w:before="0" w:after="80" w:line="240" w:lineRule="exact"/>
        <w:ind w:hanging="720" w:left="720"/>
        <w:jc w:val="both"/>
      </w:pPr>
      <w:bookmarkStart w:id="510" w:name="CaouiSteck2025"/>
      <w:hyperlink w:anchor="CaouiSteck2025txt" w:history="1">
        <w:r>
          <w:rPr>
            <w:color w:val="1F3864"/>
            <w:u w:val="single"/>
          </w:rPr>
          <w:t xml:space="preserve">Caoui, E. H., and A. Steck. (2025). </w:t>
        </w:r>
      </w:hyperlink>
      <w:r>
        <w:t xml:space="preserve">“Content Providers and the Deployment of Internet Infrastructure.” </w:t>
      </w:r>
      <w:r>
        <w:rPr>
          <w:i/>
        </w:rPr>
        <w:t>Information Economics and Policy</w:t>
      </w:r>
      <w:r>
        <w:t>. doi:10.1016/j.infoecopol.2025.101134.</w:t>
      </w:r>
      <w:bookmarkEnd w:id="510"/>
    </w:p>
    <w:p>
      <w:pPr>
        <w:spacing w:before="0" w:after="80" w:line="240" w:lineRule="exact"/>
        <w:ind w:hanging="720" w:left="720"/>
        <w:jc w:val="both"/>
      </w:pPr>
      <w:bookmarkStart w:id="511" w:name="Chandramowli2024"/>
      <w:hyperlink w:anchor="Chandramowli2024txt" w:history="1">
        <w:r>
          <w:rPr>
            <w:color w:val="1F3864"/>
            <w:u w:val="single"/>
          </w:rPr>
          <w:t xml:space="preserve">Chandramowli, S., et al. (2024). </w:t>
        </w:r>
      </w:hyperlink>
      <w:r>
        <w:t xml:space="preserve">“Impact of Emerging Technologies on Electricity Demand and Prices.” </w:t>
      </w:r>
      <w:r>
        <w:rPr>
          <w:i/>
        </w:rPr>
        <w:t>Rhodium Group Analysis</w:t>
      </w:r>
      <w:r>
        <w:t>.</w:t>
      </w:r>
      <w:bookmarkEnd w:id="511"/>
    </w:p>
    <w:p>
      <w:pPr>
        <w:spacing w:before="0" w:after="80" w:line="240" w:lineRule="exact"/>
        <w:ind w:hanging="720" w:left="720"/>
        <w:jc w:val="both"/>
      </w:pPr>
      <w:bookmarkStart w:id="512"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2"/>
    </w:p>
    <w:p>
      <w:pPr>
        <w:spacing w:before="0" w:after="80" w:line="240" w:lineRule="exact"/>
        <w:ind w:hanging="720" w:left="720"/>
        <w:jc w:val="both"/>
      </w:pPr>
      <w:bookmarkStart w:id="513" w:name="Deloitte2020"/>
      <w:hyperlink w:anchor="Deloitte2020txt" w:history="1">
        <w:r>
          <w:rPr>
            <w:color w:val="1F3864"/>
            <w:u w:val="single"/>
          </w:rPr>
          <w:t xml:space="preserve">Deloitte and Google. (2020). </w:t>
        </w:r>
      </w:hyperlink>
      <w:r>
        <w:t>“Milliseconds Make Millions.” Deloitte Digital and Google.</w:t>
      </w:r>
      <w:bookmarkEnd w:id="513"/>
    </w:p>
    <w:p>
      <w:pPr>
        <w:spacing w:before="0" w:after="80" w:line="240" w:lineRule="exact"/>
        <w:ind w:hanging="720" w:left="720"/>
        <w:jc w:val="both"/>
      </w:pPr>
      <w:bookmarkStart w:id="514"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4"/>
    </w:p>
    <w:p>
      <w:pPr>
        <w:spacing w:before="0" w:after="80" w:line="240" w:lineRule="exact"/>
        <w:ind w:hanging="720" w:left="720"/>
        <w:jc w:val="both"/>
      </w:pPr>
      <w:bookmarkStart w:id="515"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5"/>
    </w:p>
    <w:p>
      <w:pPr>
        <w:spacing w:before="0" w:after="80" w:line="240" w:lineRule="exact"/>
        <w:ind w:hanging="720" w:left="720"/>
        <w:jc w:val="both"/>
      </w:pPr>
      <w:bookmarkStart w:id="516"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6"/>
    </w:p>
    <w:p>
      <w:pPr>
        <w:spacing w:before="0" w:after="80" w:line="240" w:lineRule="exact"/>
        <w:ind w:hanging="720" w:left="720"/>
        <w:jc w:val="both"/>
      </w:pPr>
      <w:bookmarkStart w:id="517" w:name="EpochAI2024"/>
      <w:hyperlink w:anchor="EpochAI2024txt" w:history="1">
        <w:r>
          <w:rPr>
            <w:color w:val="1F3864"/>
            <w:u w:val="single"/>
          </w:rPr>
          <w:t xml:space="preserve">Epoch AI. (2024). </w:t>
        </w:r>
      </w:hyperlink>
      <w:r>
        <w:t>“The Training Compute of Notable AI Models.” epochai.org.</w:t>
      </w:r>
      <w:bookmarkEnd w:id="517"/>
    </w:p>
    <w:p>
      <w:pPr>
        <w:spacing w:before="0" w:after="80" w:line="240" w:lineRule="exact"/>
        <w:ind w:hanging="720" w:left="720"/>
        <w:jc w:val="both"/>
      </w:pPr>
      <w:bookmarkStart w:id="518"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8"/>
    </w:p>
    <w:p>
      <w:pPr>
        <w:spacing w:before="0" w:after="80" w:line="240" w:lineRule="exact"/>
        <w:ind w:hanging="720" w:left="720"/>
        <w:jc w:val="both"/>
      </w:pPr>
      <w:bookmarkStart w:id="519"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9"/>
    </w:p>
    <w:p>
      <w:pPr>
        <w:spacing w:before="0" w:after="80" w:line="240" w:lineRule="exact"/>
        <w:ind w:hanging="720" w:left="720"/>
        <w:jc w:val="both"/>
      </w:pPr>
      <w:bookmarkStart w:id="520"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20"/>
    </w:p>
    <w:p>
      <w:pPr>
        <w:spacing w:before="0" w:after="80" w:line="240" w:lineRule="exact"/>
        <w:ind w:hanging="720" w:left="720"/>
        <w:jc w:val="both"/>
      </w:pPr>
      <w:bookmarkStart w:id="521"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1"/>
    </w:p>
    <w:p>
      <w:pPr>
        <w:spacing w:before="0" w:after="80" w:line="240" w:lineRule="exact"/>
        <w:ind w:hanging="720" w:left="720"/>
        <w:jc w:val="both"/>
      </w:pPr>
      <w:bookmarkStart w:id="522"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2"/>
    </w:p>
    <w:p>
      <w:pPr>
        <w:spacing w:before="0" w:after="80" w:line="240" w:lineRule="exact"/>
        <w:ind w:hanging="720" w:left="720"/>
        <w:jc w:val="both"/>
      </w:pPr>
      <w:bookmarkStart w:id="523" w:name="Google2024"/>
      <w:hyperlink w:anchor="Google2024txt" w:history="1">
        <w:r>
          <w:rPr>
            <w:color w:val="1F3864"/>
            <w:u w:val="single"/>
          </w:rPr>
          <w:t xml:space="preserve">Google. </w:t>
        </w:r>
      </w:hyperlink>
      <w:r>
        <w:t xml:space="preserve">(2024). </w:t>
      </w:r>
      <w:r>
        <w:rPr>
          <w:i/>
        </w:rPr>
        <w:t>2024 Environmental Report</w:t>
      </w:r>
      <w:r>
        <w:t>. sustainability.google.</w:t>
      </w:r>
      <w:bookmarkEnd w:id="523"/>
    </w:p>
    <w:p>
      <w:pPr>
        <w:spacing w:before="0" w:after="80" w:line="240" w:lineRule="exact"/>
        <w:ind w:hanging="720" w:left="720"/>
        <w:jc w:val="both"/>
      </w:pPr>
      <w:bookmarkStart w:id="524"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4"/>
    </w:p>
    <w:p>
      <w:pPr>
        <w:spacing w:before="0" w:after="80" w:line="240" w:lineRule="exact"/>
        <w:ind w:hanging="720" w:left="720"/>
        <w:jc w:val="both"/>
      </w:pPr>
      <w:bookmarkStart w:id="525" w:name="Heckscher1919"/>
      <w:hyperlink w:anchor="Heckscher1919txt" w:history="1">
        <w:r>
          <w:rPr>
            <w:color w:val="1F3864"/>
            <w:u w:val="single"/>
          </w:rPr>
          <w:t xml:space="preserve">Heckscher, E. (1919). </w:t>
        </w:r>
      </w:hyperlink>
      <w:r>
        <w:t xml:space="preserve">“The Effect of Foreign Trade on the Distribution of Income.” </w:t>
      </w:r>
      <w:r>
        <w:rPr>
          <w:i/>
        </w:rPr>
        <w:t>Ekonomisk Tidskrift</w:t>
      </w:r>
      <w:r>
        <w:t>, 21: 497–512.</w:t>
      </w:r>
      <w:bookmarkEnd w:id="525"/>
    </w:p>
    <w:p>
      <w:pPr>
        <w:spacing w:before="0" w:after="80" w:line="240" w:lineRule="exact"/>
        <w:ind w:hanging="720" w:left="720"/>
        <w:jc w:val="both"/>
      </w:pPr>
      <w:bookmarkStart w:id="526"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6"/>
    </w:p>
    <w:p>
      <w:pPr>
        <w:spacing w:before="0" w:after="80" w:line="240" w:lineRule="exact"/>
        <w:ind w:hanging="720" w:left="720"/>
        <w:jc w:val="both"/>
      </w:pPr>
      <w:bookmarkStart w:id="527"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7"/>
    </w:p>
    <w:p>
      <w:pPr>
        <w:spacing w:before="0" w:after="80" w:line="240" w:lineRule="exact"/>
        <w:ind w:hanging="720" w:left="720"/>
        <w:jc w:val="both"/>
      </w:pPr>
      <w:bookmarkStart w:id="528" w:name="IEA2025"/>
      <w:hyperlink w:anchor="IEA2025txt" w:history="1">
        <w:r>
          <w:rPr>
            <w:color w:val="1F3864"/>
            <w:u w:val="single"/>
          </w:rPr>
          <w:t xml:space="preserve">IEA. (2025). </w:t>
        </w:r>
      </w:hyperlink>
      <w:r>
        <w:t>“Energy Demand from AI.” Published online at iea.org.</w:t>
      </w:r>
      <w:bookmarkEnd w:id="528"/>
    </w:p>
    <w:p>
      <w:pPr>
        <w:spacing w:before="0" w:after="80" w:line="240" w:lineRule="exact"/>
        <w:ind w:hanging="720" w:left="720"/>
        <w:jc w:val="both"/>
      </w:pPr>
      <w:bookmarkStart w:id="529"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9"/>
    </w:p>
    <w:p>
      <w:pPr>
        <w:spacing w:before="0" w:after="80" w:line="240" w:lineRule="exact"/>
        <w:ind w:hanging="720" w:left="720"/>
        <w:jc w:val="both"/>
      </w:pPr>
      <w:bookmarkStart w:id="530" w:name="KatzEtAl2025"/>
      <w:hyperlink w:anchor="KatzEtAl2025txt" w:history="1">
        <w:r>
          <w:rPr>
            <w:color w:val="1F3864"/>
            <w:u w:val="single"/>
          </w:rPr>
          <w:t xml:space="preserve">Katz, R., K. Jung, and F. Callorda. (2025). </w:t>
        </w:r>
      </w:hyperlink>
      <w:r>
        <w:t>“The Economic Impact of AI and Cloud Investment in Asia-Pacific.” Report prepared for the Asian Development Bank.</w:t>
      </w:r>
      <w:bookmarkEnd w:id="530"/>
    </w:p>
    <w:p>
      <w:pPr>
        <w:spacing w:before="0" w:after="80" w:line="240" w:lineRule="exact"/>
        <w:ind w:hanging="720" w:left="720"/>
        <w:jc w:val="both"/>
      </w:pPr>
      <w:bookmarkStart w:id="531"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31"/>
    </w:p>
    <w:p>
      <w:pPr>
        <w:spacing w:before="0" w:after="80" w:line="240" w:lineRule="exact"/>
        <w:ind w:hanging="720" w:left="720"/>
        <w:jc w:val="both"/>
      </w:pPr>
      <w:bookmarkStart w:id="532"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2"/>
    </w:p>
    <w:p>
      <w:pPr>
        <w:spacing w:before="0" w:after="80" w:line="240" w:lineRule="exact"/>
        <w:ind w:hanging="720" w:left="720"/>
        <w:jc w:val="both"/>
      </w:pPr>
      <w:bookmarkStart w:id="533"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3"/>
    </w:p>
    <w:p>
      <w:pPr>
        <w:spacing w:before="0" w:after="80" w:line="240" w:lineRule="exact"/>
        <w:ind w:hanging="720" w:left="720"/>
        <w:jc w:val="both"/>
      </w:pPr>
      <w:bookmarkStart w:id="534"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4"/>
    </w:p>
    <w:p>
      <w:pPr>
        <w:spacing w:before="0" w:after="80" w:line="240" w:lineRule="exact"/>
        <w:ind w:hanging="720" w:left="720"/>
        <w:jc w:val="both"/>
      </w:pPr>
      <w:bookmarkStart w:id="535"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3" w:name="WorldBank2024txt"/>
      <w:hyperlink w:anchor="WorldBank2024" w:history="1">
        <w:r>
          <w:rPr>
            <w:i/>
            <w:color w:val="1F3864"/>
            <w:u w:val="single"/>
          </w:rPr>
          <w:t xml:space="preserve">World Bank</w:t>
        </w:r>
      </w:hyperlink>
      <w:bookmarkEnd w:id="233"/>
      <w:r>
        <w:rPr>
          <w:i/>
        </w:rPr>
        <w:t xml:space="preserve"> Economic Review</w:t>
      </w:r>
      <w:r>
        <w:t>, 15(3): 451–479.</w:t>
      </w:r>
      <w:bookmarkEnd w:id="535"/>
    </w:p>
    <w:p>
      <w:pPr>
        <w:spacing w:before="0" w:after="80" w:line="240" w:lineRule="exact"/>
        <w:ind w:hanging="720" w:left="720"/>
        <w:jc w:val="both"/>
      </w:pPr>
      <w:bookmarkStart w:id="536"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6"/>
    </w:p>
    <w:p>
      <w:pPr>
        <w:spacing w:before="0" w:after="80" w:line="240" w:lineRule="exact"/>
        <w:ind w:hanging="720" w:left="720"/>
        <w:jc w:val="both"/>
      </w:pPr>
      <w:bookmarkStart w:id="537" w:name="NVIDIA2024"/>
      <w:r>
        <w:rPr>
          <w:color w:val="1F3864"/>
          <w:u w:val="single"/>
        </w:rPr>
        <w:t xml:space="preserve">NVIDIA. </w:t>
      </w:r>
      <w:r>
        <w:t xml:space="preserve">(2024). </w:t>
      </w:r>
      <w:r>
        <w:rPr>
          <w:i/>
        </w:rPr>
        <w:t>NVIDIA H100 Tensor Core GPU Datasheet</w:t>
      </w:r>
      <w:r>
        <w:t>. nvidia.com.</w:t>
      </w:r>
      <w:bookmarkEnd w:id="537"/>
    </w:p>
    <w:p>
      <w:pPr>
        <w:spacing w:before="0" w:after="80" w:line="240" w:lineRule="exact"/>
        <w:ind w:hanging="720" w:left="720"/>
        <w:jc w:val="both"/>
      </w:pPr>
      <w:bookmarkStart w:id="538"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8"/>
    </w:p>
    <w:p>
      <w:pPr>
        <w:spacing w:before="0" w:after="80" w:line="240" w:lineRule="exact"/>
        <w:ind w:hanging="720" w:left="720"/>
        <w:jc w:val="both"/>
      </w:pPr>
      <w:bookmarkStart w:id="539"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9"/>
    </w:p>
    <w:p>
      <w:pPr>
        <w:spacing w:before="0" w:after="80" w:line="240" w:lineRule="exact"/>
        <w:ind w:hanging="720" w:left="720"/>
        <w:jc w:val="both"/>
      </w:pPr>
      <w:bookmarkStart w:id="540" w:name="Sastry2024"/>
      <w:hyperlink w:anchor="Sastry2024txt" w:history="1">
        <w:r>
          <w:rPr>
            <w:color w:val="1F3864"/>
            <w:u w:val="single"/>
          </w:rPr>
          <w:t xml:space="preserve">Sastry, G., L. Heim, et al. (2024). </w:t>
        </w:r>
      </w:hyperlink>
      <w:r>
        <w:t>“Computing Power and the Governance of Artificial Intelligence.” arXiv:2402.08797.</w:t>
      </w:r>
      <w:bookmarkEnd w:id="540"/>
    </w:p>
    <w:p>
      <w:pPr>
        <w:spacing w:before="0" w:after="80" w:line="240" w:lineRule="exact"/>
        <w:ind w:hanging="720" w:left="720"/>
        <w:jc w:val="both"/>
      </w:pPr>
      <w:bookmarkStart w:id="541"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41"/>
    </w:p>
    <w:p>
      <w:pPr>
        <w:spacing w:before="0" w:after="80" w:line="240" w:lineRule="exact"/>
        <w:ind w:hanging="720" w:left="720"/>
        <w:jc w:val="both"/>
      </w:pPr>
      <w:bookmarkStart w:id="542" w:name="StraubEtAl2026"/>
      <w:hyperlink w:anchor="StraubEtAl2026txt" w:history="1">
        <w:r>
          <w:rPr>
            <w:color w:val="1F3864"/>
            <w:u w:val="single"/>
          </w:rPr>
          <w:t xml:space="preserve">Straub, S., et al. </w:t>
        </w:r>
      </w:hyperlink>
      <w:r>
        <w:t xml:space="preserve">(2026). </w:t>
      </w:r>
      <w:r>
        <w:rPr>
          <w:i/>
        </w:rPr>
        <w:t>Infrastructure Foundations: From Current Assets to Future Growth</w:t>
      </w:r>
      <w:r>
        <w:t xml:space="preserve">. Sustainable Infrastructure Series. Washington, DC: </w:t>
      </w:r>
      <w:bookmarkStart w:id="234" w:name="WorldBank2024txt"/>
      <w:hyperlink w:anchor="WorldBank2024" w:history="1">
        <w:r>
          <w:rPr>
            <w:color w:val="1F3864"/>
            <w:u w:val="single"/>
          </w:rPr>
          <w:t xml:space="preserve">World Bank</w:t>
        </w:r>
      </w:hyperlink>
      <w:bookmarkEnd w:id="234"/>
      <w:r>
        <w:t xml:space="preserve">.</w:t>
      </w:r>
      <w:bookmarkEnd w:id="542"/>
    </w:p>
    <w:p>
      <w:pPr>
        <w:spacing w:before="0" w:after="80" w:line="240" w:lineRule="exact"/>
        <w:ind w:hanging="720" w:left="720"/>
        <w:jc w:val="both"/>
      </w:pPr>
      <w:bookmarkStart w:id="543"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43"/>
    </w:p>
    <w:p>
      <w:pPr>
        <w:spacing w:before="0" w:after="80" w:line="240" w:lineRule="exact"/>
        <w:ind w:hanging="720" w:left="720"/>
        <w:jc w:val="both"/>
      </w:pPr>
      <w:bookmarkStart w:id="544"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4"/>
    </w:p>
    <w:p>
      <w:pPr>
        <w:spacing w:before="0" w:after="80" w:line="240" w:lineRule="exact"/>
        <w:ind w:hanging="720" w:left="720"/>
        <w:jc w:val="both"/>
      </w:pPr>
      <w:bookmarkStart w:id="545"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5"/>
    </w:p>
    <w:p>
      <w:pPr>
        <w:spacing w:before="0" w:after="80" w:line="240" w:lineRule="exact"/>
        <w:ind w:hanging="720" w:left="720"/>
        <w:jc w:val="both"/>
      </w:pPr>
      <w:bookmarkStart w:id="546"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6"/>
    </w:p>
    <w:p>
      <w:pPr>
        <w:spacing w:before="0" w:after="80" w:line="240" w:lineRule="exact"/>
        <w:ind w:hanging="720" w:left="720"/>
        <w:jc w:val="both"/>
      </w:pPr>
      <w:bookmarkStart w:id="547"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5" w:name="WorldBank2024txt"/>
      <w:hyperlink w:anchor="WorldBank2024" w:history="1">
        <w:r>
          <w:rPr>
            <w:color w:val="1F3864"/>
            <w:u w:val="single"/>
          </w:rPr>
          <w:t xml:space="preserve">World Bank</w:t>
        </w:r>
      </w:hyperlink>
      <w:bookmarkEnd w:id="235"/>
      <w:r>
        <w:t xml:space="preserve">.</w:t>
      </w:r>
      <w:bookmarkEnd w:id="547"/>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Model structure</w:t>
      </w:r>
    </w:p>
    <w:p>
      <w:pPr>
        <w:spacing w:before="80" w:after="80"/>
        <w:jc w:val="center"/>
      </w:pPr>
      <w:r>
        <w:drawing>
          <wp:inline xmlns:a="http://schemas.openxmlformats.org/drawingml/2006/main" xmlns:pic="http://schemas.openxmlformats.org/drawingml/2006/picture">
            <wp:extent cx="5943600" cy="4912211"/>
            <wp:docPr id="1" name="Picture 1"/>
            <wp:cNvGraphicFramePr>
              <a:graphicFrameLocks noChangeAspect="1"/>
            </wp:cNvGraphicFramePr>
            <a:graphic>
              <a:graphicData uri="http://schemas.openxmlformats.org/drawingml/2006/picture">
                <pic:pic>
                  <pic:nvPicPr>
                    <pic:cNvPr id="0" name="figure1_model_structure.png"/>
                    <pic:cNvPicPr/>
                  </pic:nvPicPr>
                  <pic:blipFill>
                    <a:blip r:embed="rId10"/>
                    <a:stretch>
                      <a:fillRect/>
                    </a:stretch>
                  </pic:blipFill>
                  <pic:spPr>
                    <a:xfrm>
                      <a:off x="0" y="0"/>
                      <a:ext cx="5943600" cy="4912211"/>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Country endowments (gray) determine production cost cⱼ, which together with capacity Kⱼ (purple) sets the world training price pₜ* and regional inference price pₗ*(d). Regime conditions sort countries into five equilibrium regimes (coral) from Proposition 1.</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(3) Bilateral</w:t>
            </w:r>
          </w:p>
        </w:tc>
      </w:tr>
      <w:tr>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r>
      <w:tr>
        <w:tc>
          <w:tcPr>
            <w:tcW w:w="1400" w:type="dxa"/>
          </w:tcPr>
          <w:p>
            <w:pPr>
              <w:jc w:val="left"/>
              <w:spacing w:before="10" w:after="10"/>
            </w:pPr>
            <w:r/>
            <w:r>
              <w:rPr>
                <w:rFonts w:ascii="Times New Roman" w:hAnsi="Times New Roman"/>
                <w:sz w:val="16"/>
              </w:rPr>
              <w:t>Iran</w:t>
            </w:r>
          </w:p>
        </w:tc>
        <w:tc>
          <w:tcPr>
            <w:tcW w:w="550" w:type="dxa"/>
          </w:tcPr>
          <w:p>
            <w:pPr>
              <w:jc w:val="center"/>
              <w:spacing w:before="10" w:after="10"/>
            </w:pPr>
            <w:r/>
            <w:r>
              <w:rPr>
                <w:rFonts w:ascii="Times New Roman" w:hAnsi="Times New Roman"/>
                <w:sz w:val="16"/>
              </w:rPr>
              <w:t>$1.56</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r>
      <w:tr>
        <w:tc>
          <w:tcPr>
            <w:tcW w:w="1400" w:type="dxa"/>
          </w:tcPr>
          <w:p>
            <w:pPr>
              <w:jc w:val="left"/>
              <w:spacing w:before="10" w:after="10"/>
            </w:pPr>
            <w:r/>
            <w:r>
              <w:rPr>
                <w:rFonts w:ascii="Times New Roman" w:hAnsi="Times New Roman"/>
                <w:sz w:val="16"/>
              </w:rPr>
              <w:t>Turkmenistan</w:t>
            </w:r>
          </w:p>
        </w:tc>
        <w:tc>
          <w:tcPr>
            <w:tcW w:w="550" w:type="dxa"/>
          </w:tcPr>
          <w:p>
            <w:pPr>
              <w:jc w:val="center"/>
              <w:spacing w:before="10" w:after="10"/>
            </w:pPr>
            <w:r/>
            <w:r>
              <w:rPr>
                <w:rFonts w:ascii="Times New Roman" w:hAnsi="Times New Roman"/>
                <w:sz w:val="16"/>
              </w:rPr>
              <w:t>$1.57</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USA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Australia</w:t>
            </w:r>
          </w:p>
        </w:tc>
        <w:tc>
          <w:tcPr>
            <w:tcW w:w="550" w:type="dxa"/>
          </w:tcPr>
          <w:p>
            <w:pPr>
              <w:jc w:val="center"/>
              <w:spacing w:before="10" w:after="10"/>
            </w:pPr>
            <w:r/>
            <w:r>
              <w:rPr>
                <w:rFonts w:ascii="Times New Roman" w:hAnsi="Times New Roman"/>
                <w:sz w:val="16"/>
              </w:rPr>
              <w:t>$1.65</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$1.65</w:t>
            </w:r>
          </w:p>
        </w:tc>
        <w:tc>
          <w:tcPr>
            <w:tcW w:w="450" w:type="dxa"/>
          </w:tcPr>
          <w:p>
            <w:pPr>
              <w:jc w:val="center"/>
              <w:spacing w:before="10" w:after="10"/>
            </w:pPr>
            <w:r/>
            <w:r>
              <w:rPr>
                <w:rFonts w:ascii="Times New Roman" w:hAnsi="Times New Roman"/>
                <w:sz w:val="16"/>
              </w:rPr>
              <w:t>EE†</w:t>
            </w:r>
          </w:p>
        </w:tc>
      </w:tr>
      <w:tr>
        <w:tc>
          <w:tcPr>
            <w:tcW w:w="1400" w:type="dxa"/>
          </w:tcPr>
          <w:p>
            <w:pPr>
              <w:jc w:val="left"/>
              <w:spacing w:before="10" w:after="10"/>
            </w:pPr>
            <w:r/>
            <w:r>
              <w:rPr>
                <w:rFonts w:ascii="Times New Roman" w:hAnsi="Times New Roman"/>
                <w:sz w:val="16"/>
              </w:rPr>
              <w:t>Egypt</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IE</w:t>
            </w:r>
          </w:p>
        </w:tc>
      </w:tr>
      <w:tr>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China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Sweden</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IE</w:t>
            </w:r>
          </w:p>
        </w:tc>
      </w:tr>
      <w:tr>
        <w:tc>
          <w:tcPr>
            <w:tcW w:w="1400" w:type="dxa"/>
          </w:tcPr>
          <w:p>
            <w:pPr>
              <w:jc w:val="left"/>
              <w:spacing w:before="10" w:after="10"/>
            </w:pPr>
            <w:r/>
            <w:r>
              <w:rPr>
                <w:rFonts w:ascii="Times New Roman" w:hAnsi="Times New Roman"/>
                <w:sz w:val="16"/>
              </w:rPr>
              <w:t>Russia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South Africa</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South Korea</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Nigeria</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Russia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Mexico</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China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Qatar</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Iceland</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Brazil</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Turkmenistan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Egypt</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UK</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Sweden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New Zealand</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Kazakhstan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India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France</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Uzbekistan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Indonesia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Kazakhstan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Philippines</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Iran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Borders>
              <w:bottom w:val="double" w:sz="4" w:space="0" w:color="auto"/>
            </w:tcBorders>
            <w:tcW w:w="1400" w:type="dxa"/>
          </w:tcPr>
          <w:p>
            <w:pPr>
              <w:jc w:val="left"/>
              <w:spacing w:before="10" w:after="10"/>
            </w:pPr>
            <w:r/>
            <w:r>
              <w:rPr>
                <w:rFonts w:ascii="Times New Roman" w:hAnsi="Times New Roman"/>
                <w:sz w:val="16"/>
              </w:rPr>
              <w:t>Saudi Arabia</w:t>
            </w:r>
          </w:p>
        </w:tc>
        <w:tc>
          <w:tcPr>
            <w:tcBorders>
              <w:bottom w:val="double" w:sz="4" w:space="0" w:color="auto"/>
            </w:tcBorders>
            <w:tcW w:w="550" w:type="dxa"/>
          </w:tcPr>
          <w:p>
            <w:pPr>
              <w:jc w:val="center"/>
              <w:spacing w:before="10" w:after="10"/>
            </w:pPr>
            <w:r/>
            <w:r>
              <w:rPr>
                <w:rFonts w:ascii="Times New Roman" w:hAnsi="Times New Roman"/>
                <w:sz w:val="16"/>
              </w:rPr>
              <w:t>$1.62</w:t>
            </w:r>
          </w:p>
        </w:tc>
        <w:tc>
          <w:tcPr>
            <w:tcBorders>
              <w:bottom w:val="double" w:sz="4" w:space="0" w:color="auto"/>
            </w:tcBorders>
            <w:tcW w:w="450" w:type="dxa"/>
          </w:tcPr>
          <w:p>
            <w:pPr>
              <w:jc w:val="center"/>
              <w:spacing w:before="10" w:after="10"/>
            </w:pPr>
            <w:r/>
            <w:r>
              <w:rPr>
                <w:rFonts w:ascii="Times New Roman" w:hAnsi="Times New Roman"/>
                <w:sz w:val="16"/>
              </w:rPr>
              <w:t>II</w:t>
            </w:r>
          </w:p>
        </w:tc>
        <w:tc>
          <w:tcPr>
            <w:tcBorders>
              <w:bottom w:val="double" w:sz="4" w:space="0" w:color="auto"/>
            </w:tcBorders>
            <w:tcW w:w="1400" w:type="dxa"/>
          </w:tcPr>
          <w:p>
            <w:pPr>
              <w:jc w:val="left"/>
              <w:spacing w:before="10" w:after="10"/>
            </w:pPr>
            <w:r/>
            <w:r>
              <w:rPr>
                <w:rFonts w:ascii="Times New Roman" w:hAnsi="Times New Roman"/>
                <w:sz w:val="16"/>
              </w:rPr>
              <w:t>Georgia</w:t>
            </w:r>
          </w:p>
        </w:tc>
        <w:tc>
          <w:tcPr>
            <w:tcBorders>
              <w:bottom w:val="double" w:sz="4" w:space="0" w:color="auto"/>
            </w:tcBorders>
            <w:tcW w:w="550" w:type="dxa"/>
          </w:tcPr>
          <w:p>
            <w:pPr>
              <w:jc w:val="center"/>
              <w:spacing w:before="10" w:after="10"/>
            </w:pPr>
            <w:r/>
            <w:r>
              <w:rPr>
                <w:rFonts w:ascii="Times New Roman" w:hAnsi="Times New Roman"/>
                <w:sz w:val="16"/>
              </w:rPr>
              <w:t>$1.63</w:t>
            </w:r>
          </w:p>
        </w:tc>
        <w:tc>
          <w:tcPr>
            <w:tcBorders>
              <w:bottom w:val="double" w:sz="4" w:space="0" w:color="auto"/>
            </w:tcBorders>
            <w:tcW w:w="450" w:type="dxa"/>
          </w:tcPr>
          <w:p>
            <w:pPr>
              <w:jc w:val="center"/>
              <w:spacing w:before="10" w:after="10"/>
            </w:pPr>
            <w:r/>
            <w:r>
              <w:rPr>
                <w:rFonts w:ascii="Times New Roman" w:hAnsi="Times New Roman"/>
                <w:sz w:val="16"/>
              </w:rPr>
              <w:t>II</w:t>
            </w:r>
          </w:p>
        </w:tc>
        <w:tc>
          <w:tcPr>
            <w:tcBorders>
              <w:bottom w:val="double" w:sz="4" w:space="0" w:color="auto"/>
            </w:tcBorders>
            <w:tcW w:w="1400" w:type="dxa"/>
          </w:tcPr>
          <w:p>
            <w:pPr>
              <w:jc w:val="left"/>
              <w:spacing w:before="10" w:after="10"/>
            </w:pPr>
            <w:r/>
            <w:r>
              <w:rPr>
                <w:rFonts w:ascii="Times New Roman" w:hAnsi="Times New Roman"/>
                <w:sz w:val="16"/>
              </w:rPr>
              <w:t>Poland</w:t>
            </w:r>
          </w:p>
        </w:tc>
        <w:tc>
          <w:tcPr>
            <w:tcBorders>
              <w:bottom w:val="double" w:sz="4" w:space="0" w:color="auto"/>
            </w:tcBorders>
            <w:tcW w:w="550" w:type="dxa"/>
          </w:tcPr>
          <w:p>
            <w:pPr>
              <w:jc w:val="center"/>
              <w:spacing w:before="10" w:after="10"/>
            </w:pPr>
            <w:r/>
            <w:r>
              <w:rPr>
                <w:rFonts w:ascii="Times New Roman" w:hAnsi="Times New Roman"/>
                <w:sz w:val="16"/>
              </w:rPr>
              <w:t>$1.69</w:t>
            </w:r>
          </w:p>
        </w:tc>
        <w:tc>
          <w:tcPr>
            <w:tcBorders>
              <w:bottom w:val="double" w:sz="4" w:space="0" w:color="auto"/>
            </w:tcBorders>
            <w:tcW w:w="45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5" w:name="Eq3txt905"/>
      <w:hyperlink w:anchor="Eq3" w:history="1">
        <w:r>
          <w:rPr>
            <w:rFonts w:ascii="Times New Roman" w:hAnsi="Times New Roman"/>
            <w:sz w:val="20"/>
            <w:color w:val="1F3864"/>
            <w:u w:val="single"/>
          </w:rPr>
          <w:t xml:space="preserve">equation (3)</w:t>
        </w:r>
      </w:hyperlink>
      <w:bookmarkEnd w:id="905"/>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b/>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
              <w:rPr>
                <w:sz w:val="16"/>
              </w:rPr>
              <w:t>$0.128</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
              <w:rPr>
                <w:sz w:val="16"/>
              </w:rPr>
              <w:t>$0.130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4txt906"/>
      <w:hyperlink w:anchor="Eq4" w:history="1">
        <w:r>
          <w:rPr>
            <w:sz w:val="20"/>
            <w:color w:val="1F3864"/>
            <w:u w:val="single"/>
          </w:rPr>
          <w:t xml:space="preserve">equation (4)</w:t>
        </w:r>
      </w:hyperlink>
      <w:bookmarkEnd w:id="906"/>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b/>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4txt908"/>
      <w:hyperlink w:anchor="Eq4" w:history="1">
        <w:r>
          <w:rPr>
            <w:color w:val="1F3864"/>
            <w:u w:val="single"/>
          </w:rPr>
          <w:t xml:space="preserve">equation (4)</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9" w:name="Eq2txt909"/>
      <w:hyperlink w:anchor="Eq2" w:history="1">
        <w:r>
          <w:rPr>
            <w:color w:val="1F3864"/>
            <w:u w:val="single"/>
          </w:rPr>
          <w:t xml:space="preserve">equation (2)</w:t>
        </w:r>
      </w:hyperlink>
      <w:bookmarkEnd w:id="909"/>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Let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denote the GPU-hours country </w:t>
      </w:r>
      <m:oMath>
        <m:r>
          <m:rPr>
            <m:sty m:val="i"/>
          </m:rPr>
          <w:rPr>
            <w:rFonts w:ascii="Cambria Math" w:hAnsi="Cambria Math"/>
          </w:rPr>
          <m:t xml:space="preserve">j</m:t>
        </m:r>
      </m:oMath>
      <w:r>
        <w:t xml:space="preserve"> allocates to training exports and </w:t>
      </w:r>
      <m:oMath>
        <m:sSub>
          <m:sSubPr/>
          <m:e>
            <m:r>
              <m:rPr>
                <m:sty m:val="i"/>
              </m:rPr>
              <w:rPr>
                <w:rFonts w:ascii="Cambria Math" w:hAnsi="Cambria Math"/>
              </w:rPr>
              <m:t xml:space="preserve">K</m:t>
            </m:r>
          </m:e>
          <m:sub>
            <m:r>
              <m:rPr>
                <m:sty m:val="i"/>
              </m:rPr>
              <w:rPr>
                <w:rFonts w:ascii="Cambria Math" w:hAnsi="Cambria Math"/>
              </w:rPr>
              <m:t xml:space="preserve">I,j→k</m:t>
            </m:r>
          </m:sub>
        </m:sSub>
      </m:oMath>
      <w:r>
        <w:t xml:space="preserve"> the GPU-hours it allocates to inference exports to buyer </w:t>
      </w:r>
      <m:oMath>
        <m:r>
          <m:rPr>
            <m:sty m:val="i"/>
          </m:rPr>
          <w:rPr>
            <w:rFonts w:ascii="Cambria Math" w:hAnsi="Cambria Math"/>
          </w:rPr>
          <m:t xml:space="preserve">k</m:t>
        </m:r>
      </m:oMath>
      <w:r>
        <w:t xml:space="preserve">, so that total capacity used by country </w:t>
      </w:r>
      <m:oMath>
        <m:r>
          <m:rPr>
            <m:sty m:val="i"/>
          </m:rPr>
          <w:rPr>
            <w:rFonts w:ascii="Cambria Math" w:hAnsi="Cambria Math"/>
          </w:rPr>
          <m:t xml:space="preserve">j</m:t>
        </m:r>
      </m:oMath>
      <w:r>
        <w:t xml:space="preserve"> is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K</m:t>
                </m:r>
              </m:e>
              <m:sub>
                <m:r>
                  <m:rPr>
                    <m:sty m:val="i"/>
                  </m:rPr>
                  <w:rPr>
                    <w:rFonts w:ascii="Cambria Math" w:hAnsi="Cambria Math"/>
                  </w:rPr>
                  <m:t xml:space="preserve">I,j→k</m:t>
                </m:r>
              </m:sub>
            </m:sSub>
          </m:e>
        </m:nary>
      </m:oMath>
      <w:r>
        <w:t xml:space="preserve">. 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and write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evaluated at </w:t>
      </w:r>
      <m:oMath>
        <m:r>
          <m:rPr>
            <m:sty m:val="i"/>
          </m:rPr>
          <w:rPr>
            <w:rFonts w:ascii="Cambria Math" w:hAnsi="Cambria Math"/>
          </w:rPr>
          <m:t xml:space="preserve">j</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b/>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10</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Canada, Ethiopia, Kosovo,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10</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Canada, Ethiopia, Kosovo,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10</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Canada, Ethiopia, Kosovo,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b/>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36" w:name="ADB2020txt"/>
      <w:hyperlink w:anchor="ADB2020" w:history="1">
        <w:r>
          <w:rPr>
            <w:color w:val="1F3864"/>
            <w:u w:val="single"/>
          </w:rPr>
          <w:t xml:space="preserve">ADB 2020</w:t>
        </w:r>
      </w:hyperlink>
      <w:bookmarkEnd w:id="236"/>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b/>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b/>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Formally, country j has a non-empty latency cone if </w:t>
      </w:r>
      <m:oMath>
        <m:r>
          <m:rPr>
            <m:sty m:val="p"/>
          </m:rPr>
          <w:rPr>
            <w:rFonts w:ascii="Cambria Math" w:hAnsi="Cambria Math"/>
          </w:rPr>
          <m:t xml:space="preserve">∃k</m:t>
        </m:r>
      </m:oMath>
      <w:r>
        <w:t xml:space="preserve"> such that </w:t>
      </w: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&gt; 0</m:t>
        </m:r>
      </m:oMath>
      <w:r>
        <w:t xml:space="preserve"> and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A hypothetical country with the globally lowest production cost but round-trip latency exceeding </w:t>
      </w:r>
      <m:oMath>
        <m:bar>
          <m:barPr>
            <m:pos m:val="top"/>
          </m:barPr>
          <m:e>
            <m:r>
              <m:rPr>
                <m:sty m:val="i"/>
              </m:rPr>
              <w:rPr>
                <w:rFonts w:ascii="Cambria Math" w:hAnsi="Cambria Math"/>
              </w:rPr>
              <m:t xml:space="preserve">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