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t>v33  —  May 14, 2026  14:09</w:t>
      </w:r>
    </w:p>
    <w:p>
      <w:pPr>
        <w:spacing w:before="240" w:after="0" w:line="240" w:lineRule="auto"/>
        <w:ind w:firstLine="0"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of compute at unsubsidized prices, yet bilateral trust deficits between developing-country producers and OECD buyers eliminate nearly all of their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the largest AI models has been doubling every six months since 2010 (</w:t>
      </w:r>
      <w:bookmarkStart w:id="200" w:name="EpochAI2024txt"/>
      <w:hyperlink w:anchor="EpochAI2024" w:history="1">
        <w:r>
          <w:rPr>
            <w:color w:val="1F3864"/>
            <w:u w:val="single"/>
          </w:rPr>
          <w:t xml:space="preserve">Epoch AI 2024</w:t>
        </w:r>
      </w:hyperlink>
      <w:bookmarkEnd w:id="200"/>
      <w:r>
        <w:t xml:space="preserve">). Data centers accounted for approximately 1.5% of global electricity demand in 2024, and that share is projected to more than double by 2030 (</w:t>
      </w:r>
      <w:bookmarkStart w:id="243" w:name="IEA2025txt"/>
      <w:hyperlink w:anchor="IEA2025" w:history="1">
        <w:r>
          <w:rPr>
            <w:color w:val="1F3864"/>
            <w:u w:val="single"/>
          </w:rPr>
          <w:t xml:space="preserve">IEA 2025</w:t>
        </w:r>
      </w:hyperlink>
      <w:bookmarkEnd w:id="243"/>
      <w:r>
        <w:t xml:space="preserve">).</w:t>
      </w:r>
    </w:p>
    <w:p>
      <w:pPr>
        <w:spacing w:before="0" w:after="160" w:line="360" w:lineRule="auto"/>
        <w:ind w:firstLine="0"/>
        <w:jc w:val="both"/>
      </w:pPr>
      <w:r>
        <w:t xml:space="preserve">This surge in demand for compute creates an export opportunity. We refer to the production of compute services in one country for consumption in another as </w:t>
      </w:r>
      <w:r>
        <w:rPr>
          <w:i/>
        </w:rPr>
        <w:t>FLOP exporting</w:t>
      </w:r>
      <w:r>
        <w:t>, where FLOP denotes floating-point operations, the standard unit of computational work. Rather than exporting raw energy resources as primary commodities, countries can use cheap electricity to produce higher-value-added digital services. For resource-rich developing countries, FLOP exporting could offer a route up the value chain.</w:t>
      </w:r>
    </w:p>
    <w:p>
      <w:pPr>
        <w:spacing w:before="0" w:after="160" w:line="360" w:lineRule="auto"/>
        <w:ind w:firstLine="0"/>
        <w:jc w:val="both"/>
      </w:pPr>
      <w:r>
        <w:t xml:space="preserve">Several megaprojects confirm that FLOP exporting is technically and commercially feasible. Armenia is deploying 50,000 GPUs as a part of a $4 billion investment (</w:t>
      </w:r>
      <w:bookmarkStart w:id="244" w:name="Firebird2026txt"/>
      <w:hyperlink w:anchor="Firebird2026" w:history="1">
        <w:r>
          <w:rPr>
            <w:color w:val="1F3864"/>
            <w:u w:val="single"/>
          </w:rPr>
          <w:t xml:space="preserve">Firebird 2026</w:t>
        </w:r>
      </w:hyperlink>
      <w:bookmarkEnd w:id="244"/>
      <w:r>
        <w:t xml:space="preserve">). Kenya, Saudi Arabia, and Malaysia have each attracted billion-dollar data center commitments, Google has committed $15 billion to India,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Announced global data-center FDI reached over $310 billion in 2025, with emerging markets and developing economies (EMDEs) accounting for roughly 40 percent of projects (</w:t>
      </w:r>
      <w:bookmarkStart w:id="245" w:name="AykutEtAl2026txt"/>
      <w:hyperlink w:anchor="AykutEtAl2026" w:history="1">
        <w:r>
          <w:rPr>
            <w:color w:val="1F3864"/>
            <w:u w:val="single"/>
          </w:rPr>
          <w:t xml:space="preserve">Aykut et al. 2026</w:t>
        </w:r>
      </w:hyperlink>
      <w:bookmarkEnd w:id="245"/>
      <w:r>
        <w:t xml:space="preserve">). Cloud computing exports already exceed $9 billion annually (</w:t>
      </w:r>
      <w:bookmarkStart w:id="260" w:name="WorldBank2025txt"/>
      <w:hyperlink w:anchor="WorldBank2025" w:history="1">
        <w:r>
          <w:rPr>
            <w:color w:val="1F3864"/>
            <w:u w:val="single"/>
          </w:rPr>
          <w:t xml:space="preserve">World Bank 2025</w:t>
        </w:r>
      </w:hyperlink>
      <w:bookmarkEnd w:id="260"/>
      <w:r>
        <w:t xml:space="preserve">). If Kyrgyzstan builds a 40 MW AI data center, it could generate annual revenue of $630–950 million at wholesale contract rates, equivalent to over 15% of Kyrgyzstan’s $3.8 billion in goods exports (</w:t>
      </w:r>
      <w:bookmarkStart w:id="267" w:name="WorldBank2024txt"/>
      <w:hyperlink w:anchor="WorldBank2024" w:history="1">
        <w:r>
          <w:rPr>
            <w:color w:val="1F3864"/>
            <w:u w:val="single"/>
          </w:rPr>
          <w:t xml:space="preserve">World Bank 2024</w:t>
        </w:r>
      </w:hyperlink>
      <w:bookmarkEnd w:id="267"/>
      <w:r>
        <w:t xml:space="preserve">).</w:t>
      </w:r>
      <w:r>
        <w:rPr>
          <w:rStyle w:val="FootnoteReference"/>
        </w:rPr>
        <w:footnoteReference w:id="5"/>
      </w:r>
    </w:p>
    <w:p>
      <w:pPr>
        <w:spacing w:before="0" w:after="160" w:line="360" w:lineRule="auto"/>
        <w:ind w:firstLine="0"/>
        <w:jc w:val="both"/>
      </w:pPr>
      <w:r>
        <w:t xml:space="preserve">Recent work examines compute governance and the geography of AI infrastructure (</w:t>
      </w:r>
      <w:bookmarkStart w:id="246" w:name="Sastry2024txt"/>
      <w:hyperlink w:anchor="Sastry2024" w:history="1">
        <w:r>
          <w:rPr>
            <w:color w:val="1F3864"/>
            <w:u w:val="single"/>
          </w:rPr>
          <w:t xml:space="preserve">Sastry et al. 2024</w:t>
        </w:r>
      </w:hyperlink>
      <w:bookmarkEnd w:id="246"/>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7" w:name="Pilz2025txt"/>
      <w:hyperlink w:anchor="Pilz2025" w:history="1">
        <w:r>
          <w:rPr>
            <w:color w:val="1F3864"/>
            <w:u w:val="single"/>
          </w:rPr>
          <w:t xml:space="preserve">Pilz et al. 2025</w:t>
        </w:r>
      </w:hyperlink>
      <w:bookmarkEnd w:id="247"/>
      <w:r>
        <w:t xml:space="preserve">), but no formal trade model of compute has been developed.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pPr>
        <w:spacing w:before="0" w:after="160" w:line="360" w:lineRule="auto"/>
        <w:ind w:firstLine="0"/>
        <w:jc w:val="both"/>
      </w:pPr>
      <w:r>
        <w:t xml:space="preserve">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12–20 percent. Several developing countries rank among the cheapest producers under cost-recovery 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hyperscalers (8%) and locally financed developing-country operators (18%) adds roughly $0.29/GPU-hour to unit cost — about four times the electricity-cost spread across the top 20 countries (</w:t>
      </w:r>
      <w:bookmarkStart w:id="203" w:name="Calcaterra2024txt"/>
      <w:hyperlink w:anchor="Calcaterra2024" w:history="1">
        <w:r>
          <w:rPr>
            <w:color w:val="1F3864"/>
            <w:u w:val="single"/>
          </w:rPr>
          <w:t xml:space="preserve">Calcaterra et al. 2024</w:t>
        </w:r>
      </w:hyperlink>
      <w:bookmarkEnd w:id="203"/>
      <w:r>
        <w:t xml:space="preserve">; see Table 3, column (4)). For energy-rich developing countries, the limiting factor is not electricity cost but the institutional credibility needed to overcome bilateral trust deficits and compress the cost of capital.</w:t>
      </w:r>
    </w:p>
    <w:p>
      <w:pPr>
        <w:pStyle w:val="Heading1"/>
      </w:pPr>
      <w:r>
        <w:rPr>
          <w:rFonts w:ascii="Times New Roman" w:hAnsi="Times New Roman"/>
          <w:b/>
          <w:color w:val="2F5496"/>
          <w:sz w:val="28"/>
        </w:rPr>
        <w:t>2. Related Literature</w:t>
      </w:r>
    </w:p>
    <w:p>
      <w:pPr>
        <w:spacing w:before="0" w:after="160" w:line="360" w:lineRule="auto"/>
        <w:ind w:firstLine="0"/>
        <w:jc w:val="both"/>
      </w:pPr>
      <w:r>
        <w:t xml:space="preserve"/>
      </w:r>
      <w:bookmarkStart w:id="204" w:name="Goldfarb2018txt"/>
      <w:hyperlink w:anchor="Goldfarb2018" w:history="1">
        <w:r>
          <w:rPr>
            <w:color w:val="1F3864"/>
            <w:u w:val="single"/>
          </w:rPr>
          <w:t xml:space="preserve">Goldfarb and Trefler (2018)</w:t>
        </w:r>
      </w:hyperlink>
      <w:bookmarkEnd w:id="204"/>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48" w:name="Korinek2021txt"/>
      <w:hyperlink w:anchor="Korinek2021" w:history="1">
        <w:r>
          <w:rPr>
            <w:color w:val="1F3864"/>
            <w:u w:val="single"/>
          </w:rPr>
          <w:t xml:space="preserve">Korinek and Stiglitz (2021)</w:t>
        </w:r>
      </w:hyperlink>
      <w:bookmarkEnd w:id="248"/>
      <w:r>
        <w:t xml:space="preserve"> warn that developing countries may be left behind in the AI revolution; FLOP exporting offers a route in. The concept relates to </w:t>
      </w:r>
      <w:bookmarkStart w:id="268" w:name="Hausmann2007txt"/>
      <w:hyperlink w:anchor="Hausmann2007" w:history="1">
        <w:r>
          <w:rPr>
            <w:color w:val="1F3864"/>
            <w:u w:val="single"/>
          </w:rPr>
          <w:t xml:space="preserve">Hausmann et al. (2007)</w:t>
        </w:r>
      </w:hyperlink>
      <w:bookmarkEnd w:id="268"/>
      <w:r>
        <w:t xml:space="preserve"> on export composition and growth, and to </w:t>
      </w:r>
      <w:bookmarkStart w:id="261" w:name="Limao2001txt"/>
      <w:hyperlink w:anchor="Limao2001" w:history="1">
        <w:r>
          <w:rPr>
            <w:color w:val="1F3864"/>
            <w:u w:val="single"/>
          </w:rPr>
          <w:t xml:space="preserve">Limão and Venables (2001)</w:t>
        </w:r>
      </w:hyperlink>
      <w:bookmarkEnd w:id="261"/>
      <w:r>
        <w:t xml:space="preserve"> on infrastructure as a determinant of trade costs.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5" w:name="Blinder2006txt"/>
      <w:hyperlink w:anchor="Blinder2006" w:history="1">
        <w:r>
          <w:rPr>
            <w:color w:val="1F3864"/>
            <w:u w:val="single"/>
          </w:rPr>
          <w:t xml:space="preserve">Blinder 2006</w:t>
        </w:r>
      </w:hyperlink>
      <w:bookmarkEnd w:id="205"/>
      <w:r>
        <w:t xml:space="preserve">),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pPr>
        <w:spacing w:before="0" w:after="160" w:line="360" w:lineRule="auto"/>
        <w:ind w:firstLine="0"/>
        <w:jc w:val="both"/>
      </w:pPr>
      <w:r>
        <w:t xml:space="preserve">Several studies examine where firms should build data centers. </w:t>
      </w:r>
      <w:bookmarkStart w:id="206" w:name="Flucker2013txt"/>
      <w:hyperlink w:anchor="Flucker2013" w:history="1">
        <w:r>
          <w:rPr>
            <w:color w:val="1F3864"/>
            <w:u w:val="single"/>
          </w:rPr>
          <w:t xml:space="preserve">Flucker et al. (2013)</w:t>
        </w:r>
      </w:hyperlink>
      <w:bookmarkEnd w:id="206"/>
      <w:r>
        <w:t xml:space="preserve"> show that climate affects data center cooling costs. </w:t>
      </w:r>
      <w:bookmarkStart w:id="262" w:name="Liu2023txt"/>
      <w:hyperlink w:anchor="Liu2023" w:history="1">
        <w:r>
          <w:rPr>
            <w:color w:val="1F3864"/>
            <w:u w:val="single"/>
          </w:rPr>
          <w:t xml:space="preserve">Liu et al. (2023)</w:t>
        </w:r>
      </w:hyperlink>
      <w:bookmarkEnd w:id="262"/>
      <w:r>
        <w:t xml:space="preserve"> study data center placement under renewable energy constraints. In international trade theory, </w:t>
      </w:r>
      <w:bookmarkStart w:id="269" w:name="Brainard1997txt"/>
      <w:hyperlink w:anchor="Brainard1997" w:history="1">
        <w:r>
          <w:rPr>
            <w:color w:val="1F3864"/>
            <w:u w:val="single"/>
          </w:rPr>
          <w:t xml:space="preserve">Brainard (1997)</w:t>
        </w:r>
      </w:hyperlink>
      <w:bookmarkEnd w:id="269"/>
      <w:r>
        <w:t xml:space="preserve"> formalizes the proximity-concentration trade-off between serving a market locally and concentrating production abroad, and </w:t>
      </w:r>
      <w:bookmarkStart w:id="249" w:name="HMY2004txt"/>
      <w:hyperlink w:anchor="HMY2004" w:history="1">
        <w:r>
          <w:rPr>
            <w:color w:val="1F3864"/>
            <w:u w:val="single"/>
          </w:rPr>
          <w:t xml:space="preserve">Helpman et al. (2004)</w:t>
        </w:r>
      </w:hyperlink>
      <w:bookmarkEnd w:id="249"/>
      <w:r>
        <w:t xml:space="preserve"> extend this to heterogeneous firms choosing between exporting and FDI.</w:t>
      </w:r>
    </w:p>
    <w:p>
      <w:pPr>
        <w:spacing w:before="0" w:after="160" w:line="360" w:lineRule="auto"/>
        <w:ind w:firstLine="0"/>
        <w:jc w:val="both"/>
      </w:pPr>
      <w:r>
        <w:t xml:space="preserve">On governance, </w:t>
      </w:r>
      <w:bookmarkStart w:id="250" w:name="Sastry2024txt"/>
      <w:hyperlink w:anchor="Sastry2024" w:history="1">
        <w:r>
          <w:rPr>
            <w:color w:val="1F3864"/>
            <w:u w:val="single"/>
          </w:rPr>
          <w:t xml:space="preserve">Sastry et al. (2024)</w:t>
        </w:r>
      </w:hyperlink>
      <w:bookmarkEnd w:id="250"/>
      <w:r>
        <w:t xml:space="preserve"> argue that compute is well-suited for regulation. </w:t>
      </w:r>
      <w:bookmarkStart w:id="207" w:name="Lehdonvirta2024txt"/>
      <w:hyperlink w:anchor="Lehdonvirta2024" w:history="1">
        <w:r>
          <w:rPr>
            <w:color w:val="1F3864"/>
            <w:u w:val="single"/>
          </w:rPr>
          <w:t xml:space="preserve">Lehdonvirta et al. (2024)</w:t>
        </w:r>
      </w:hyperlink>
      <w:bookmarkEnd w:id="207"/>
      <w:r>
        <w:t xml:space="preserve"> map a “Compute North” with training-capable hardware versus a “Compute South” limited to inference chips. </w:t>
      </w:r>
      <w:bookmarkStart w:id="263" w:name="Pilz2025txt"/>
      <w:hyperlink w:anchor="Pilz2025" w:history="1">
        <w:r>
          <w:rPr>
            <w:color w:val="1F3864"/>
            <w:u w:val="single"/>
          </w:rPr>
          <w:t xml:space="preserve">Pilz et al. (2025)</w:t>
        </w:r>
      </w:hyperlink>
      <w:bookmarkEnd w:id="263"/>
      <w:r>
        <w:t xml:space="preserve"> project that data center power demand could reach 327 GW by 2030. The </w:t>
      </w:r>
      <w:bookmarkStart w:id="270" w:name="WorldBank2025txt"/>
      <w:hyperlink w:anchor="WorldBank2025" w:history="1">
        <w:r>
          <w:rPr>
            <w:color w:val="1F3864"/>
            <w:u w:val="single"/>
          </w:rPr>
          <w:t xml:space="preserve">World Bank (2025)</w:t>
        </w:r>
      </w:hyperlink>
      <w:bookmarkEnd w:id="270"/>
      <w:r>
        <w:t xml:space="preserve"> documents the resulting divide (high-income countries hold 77% of colocation capacity), but does not offer a formal framework linking costs to trade patterns. </w:t>
      </w:r>
      <w:bookmarkStart w:id="251" w:name="Biglaiser2024txt"/>
      <w:hyperlink w:anchor="Biglaiser2024" w:history="1">
        <w:r>
          <w:rPr>
            <w:color w:val="1F3864"/>
            <w:u w:val="single"/>
          </w:rPr>
          <w:t xml:space="preserve">Biglaiser et al. (2024)</w:t>
        </w:r>
      </w:hyperlink>
      <w:bookmarkEnd w:id="251"/>
      <w:r>
        <w:t xml:space="preserve"> survey cloud market IO, and </w:t>
      </w:r>
      <w:bookmarkStart w:id="264" w:name="Stojkoski2024txt"/>
      <w:hyperlink w:anchor="Stojkoski2024" w:history="1">
        <w:r>
          <w:rPr>
            <w:color w:val="1F3864"/>
            <w:u w:val="single"/>
          </w:rPr>
          <w:t xml:space="preserve">Stojkoski et al. (2024)</w:t>
        </w:r>
      </w:hyperlink>
      <w:bookmarkEnd w:id="264"/>
      <w:r>
        <w:t xml:space="preserve"> estimate cloud export geography but treat services as homogeneous. Our model adds supply-side cost structure and a training–inference distinction.</w:t>
      </w:r>
    </w:p>
    <w:p>
      <w:pPr>
        <w:pStyle w:val="Heading1"/>
      </w:pPr>
      <w:r>
        <w:rPr>
          <w:rFonts w:ascii="Times New Roman" w:hAnsi="Times New Roman"/>
          <w:b/>
          <w:color w:val="2F5496"/>
          <w:sz w:val="28"/>
        </w:rPr>
        <w:t>3. Model of Compute Production and Trade</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Although the cost structure above is Ricardian (country-specific production costs driven by technology and input prices), the justification for resource-rich comparative advantage is closer to the Heckscher–Ohlin model: countries export goods intensive in their abundant factors (</w:t>
      </w:r>
      <w:bookmarkStart w:id="208" w:name="Heckscher1919txt"/>
      <w:hyperlink w:anchor="Heckscher1919" w:history="1">
        <w:r>
          <w:rPr>
            <w:color w:val="1F3864"/>
            <w:u w:val="single"/>
          </w:rPr>
          <w:t xml:space="preserve">Heckscher 1919</w:t>
        </w:r>
      </w:hyperlink>
      <w:bookmarkEnd w:id="208"/>
      <w:r>
        <w:t xml:space="preserve">, </w:t>
      </w:r>
      <w:bookmarkStart w:id="252" w:name="Ohlin1933txt"/>
      <w:hyperlink w:anchor="Ohlin1933" w:history="1">
        <w:r>
          <w:rPr>
            <w:color w:val="1F3864"/>
            <w:u w:val="single"/>
          </w:rPr>
          <w:t xml:space="preserve">Ohlin 1933</w:t>
        </w:r>
      </w:hyperlink>
      <w:bookmarkEnd w:id="252"/>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8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UN General Assembly ideal-point distance (</w:t>
      </w:r>
      <w:bookmarkStart w:id="209" w:name="BaileyEtAl2017txt"/>
      <w:hyperlink w:anchor="BaileyEtAl2017" w:history="1">
        <w:r>
          <w:rPr>
            <w:color w:val="1F3864"/>
            <w:u w:val="single"/>
          </w:rPr>
          <w:t xml:space="preserve">Bailey, Strezhnev, and Voeten 2017</w:t>
        </w:r>
      </w:hyperlink>
      <w:bookmarkEnd w:id="209"/>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coded as 1 for country pairs covered by a mutual data-adequacy agreement and 0 otherwise. Pairs under comprehensive trade sanctions (</w:t>
      </w:r>
      <m:oMath>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m:t>
        </m:r>
      </m:oMath>
      <w:r>
        <w:t xml:space="preserve">) are treated separately as a corner case: trade is prohibited by assumption, so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For all other (non-sanctioned) pairs, the bilateral premium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m:t>
              </m:r>
            </m:oMath>
          </w:p>
        </w:tc>
        <w:tc>
          <w:tcPr>
            <w:tcW w:w="720" w:type="dxa"/>
            <w:vAlign w:val="center"/>
          </w:tcPr>
          <w:p>
            <w:pPr>
              <w:jc w:val="right"/>
              <w:spacing w:before="60" w:after="60"/>
            </w:pPr>
            <w:bookmarkStart w:id="802" w:name="Eq2"/>
            <w:r>
              <w:t>(2)</w:t>
            </w:r>
            <w:bookmarkEnd w:id="802"/>
          </w:p>
        </w:tc>
      </w:tr>
    </w:tbl>
    <w:p>
      <w:pPr>
        <w:spacing w:before="80" w:after="160" w:line="360" w:lineRule="auto"/>
        <w:ind w:firstLine="0"/>
        <w:jc w:val="both"/>
      </w:pPr>
      <w:r>
        <w:t xml:space="preserve">Two established bodies of literature motivate this functional form. The multiplicative wedge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xml:space="preserve"> on delivered cost is the standard representation of ad valorem bilateral trade frictions in the gravity literature (</w:t>
      </w:r>
      <w:bookmarkStart w:id="210" w:name="AndersonVanWincoop2003txt"/>
      <w:hyperlink w:anchor="AndersonVanWincoop2003" w:history="1">
        <w:r>
          <w:rPr>
            <w:color w:val="1F3864"/>
            <w:u w:val="single"/>
          </w:rPr>
          <w:t xml:space="preserve">Anderson and van Wincoop 2003</w:t>
        </w:r>
      </w:hyperlink>
      <w:bookmarkEnd w:id="210"/>
      <w:r>
        <w:t xml:space="preserve">), where pair-specific wedges capture border effects, policy barriers, and non-tariff measures that raise the price paid by buyer </w:t>
      </w:r>
      <m:oMath>
        <m:r>
          <m:rPr>
            <m:sty m:val="i"/>
          </m:rPr>
          <w:rPr>
            <w:rFonts w:ascii="Cambria Math" w:hAnsi="Cambria Math"/>
          </w:rPr>
          <m:t xml:space="preserve">j</m:t>
        </m:r>
      </m:oMath>
      <w:r>
        <w:t xml:space="preserve"> for seller </w:t>
      </w:r>
      <m:oMath>
        <m:r>
          <m:rPr>
            <m:sty m:val="i"/>
          </m:rPr>
          <w:rPr>
            <w:rFonts w:ascii="Cambria Math" w:hAnsi="Cambria Math"/>
          </w:rPr>
          <m:t xml:space="preserve">i</m:t>
        </m:r>
      </m:oMath>
      <w:r>
        <w:t xml:space="preserve">’s services above the seller’s own cost. The linear additive structure of the three components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m:t>
        </m:r>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treats geopolitical, regulatory, and sanctions frictions as separable contributions to the wedge, consistent with the iceberg-equivalent decomposition of services trade costs in </w:t>
      </w:r>
      <w:bookmarkStart w:id="211" w:name="BenzJaax2020txt"/>
      <w:hyperlink w:anchor="BenzJaax2020" w:history="1">
        <w:r>
          <w:rPr>
            <w:color w:val="1F3864"/>
            <w:u w:val="single"/>
          </w:rPr>
          <w:t xml:space="preserve">Benz and Jaax (2020)</w:t>
        </w:r>
      </w:hyperlink>
      <w:bookmarkEnd w:id="211"/>
      <w:r>
        <w:t xml:space="preserve">.</w:t>
      </w:r>
    </w:p>
    <w:p>
      <w:pPr>
        <w:spacing w:before="0" w:after="80" w:line="360" w:lineRule="auto"/>
        <w:ind w:firstLine="0"/>
        <w:jc w:val="both"/>
      </w:pPr>
      <w:r>
        <w:t xml:space="preserve">The microfoundation for why the wedge scales with bilateral institutional alignment is the incomplete-contracts and insecure-property-rights view of international trade (</w:t>
      </w:r>
      <w:bookmarkStart w:id="212" w:name="AndersonMarcouiller2002txt"/>
      <w:hyperlink w:anchor="AndersonMarcouiller2002" w:history="1">
        <w:r>
          <w:rPr>
            <w:color w:val="1F3864"/>
            <w:u w:val="single"/>
          </w:rPr>
          <w:t xml:space="preserve">Anderson and Marcouiller 2002</w:t>
        </w:r>
      </w:hyperlink>
      <w:bookmarkEnd w:id="212"/>
      <w:r>
        <w:t xml:space="preserve">, </w:t>
      </w:r>
      <w:bookmarkStart w:id="253" w:name="Antras2003txt"/>
      <w:hyperlink w:anchor="Antras2003" w:history="1">
        <w:r>
          <w:rPr>
            <w:color w:val="1F3864"/>
            <w:u w:val="single"/>
          </w:rPr>
          <w:t xml:space="preserve">Antràs 2003</w:t>
        </w:r>
      </w:hyperlink>
      <w:bookmarkEnd w:id="253"/>
      <w:r>
        <w:t xml:space="preserve">). Compute trade is contract-intensive: the buyer hands sensitive data to a remote seller and relies on the seller’s jurisdiction to enforce confidentiality, service-level obligations, and, in many applications, the buyer’s ability to retrieve or delete its data. Where these contracts are weakly enforceable, the buyer discounts the seller’s effective price, and the size of the discount varies systematically with the pair-specific strength of the enforcement environment: 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proxies dispute-resolution willingness, mutual data adequacy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proxies enforceable contractual floors on data handling, and sanctions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w:t>
      </w: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Governance quality, grid reliability, and other institutional factors that affect the willingness of buyers to source compute from a particular country are captured by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Which countries in this set attract investment also depend on agglomeration economies, hyperscaler market structure, and network connectivity (</w:t>
      </w:r>
      <w:bookmarkStart w:id="213" w:name="Krugman1991txt"/>
      <w:hyperlink w:anchor="Krugman1991" w:history="1">
        <w:r>
          <w:rPr>
            <w:color w:val="1F3864"/>
            <w:u w:val="single"/>
          </w:rPr>
          <w:t xml:space="preserve">Krugman 1991</w:t>
        </w:r>
      </w:hyperlink>
      <w:bookmarkEnd w:id="213"/>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line="360" w:lineRule="auto"/>
        <w:ind w:firstLine="0"/>
        <w:jc w:val="both"/>
      </w:pPr>
      <w:r>
        <w:t>This section derives the formal properties of the capacity-constrained equilibrium defined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line="360" w:lineRule="auto"/>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4" w:name="Eurostat2025txt"/>
      <w:hyperlink w:anchor="Eurostat2025" w:history="1">
        <w:r>
          <w:rPr>
            <w:color w:val="1F3864"/>
            <w:u w:val="single"/>
          </w:rPr>
          <w:t xml:space="preserve">Eurostat 2025</w:t>
        </w:r>
      </w:hyperlink>
      <w:bookmarkEnd w:id="214"/>
      <w:r>
        <w:t xml:space="preserve">). For non-European countries, the prices are obtained from national regulator tariff sheets and secondary sources, including the U.S. Energy Information Administration (</w:t>
      </w:r>
      <w:bookmarkStart w:id="254" w:name="EIA2025txt"/>
      <w:hyperlink w:anchor="EIA2025" w:history="1">
        <w:r>
          <w:rPr>
            <w:color w:val="1F3864"/>
            <w:u w:val="single"/>
          </w:rPr>
          <w:t xml:space="preserve">EIA 2025</w:t>
        </w:r>
      </w:hyperlink>
      <w:bookmarkEnd w:id="254"/>
      <w:r>
        <w:t xml:space="preserve">) for the United States, KEPCO for South Korea,</w:t>
      </w:r>
      <w:r>
        <w:rPr>
          <w:rStyle w:val="FootnoteReference"/>
        </w:rPr>
        <w:footnoteReference w:id="24"/>
      </w:r>
      <w:r>
        <w:t xml:space="preserve"> national utility tariffs for Central Asian countries, and </w:t>
      </w:r>
      <w:bookmarkStart w:id="215" w:name="GlobalPetrolPrices2025txt"/>
      <w:hyperlink w:anchor="GlobalPetrolPrices2025" w:history="1">
        <w:r>
          <w:rPr>
            <w:color w:val="1F3864"/>
            <w:u w:val="single"/>
          </w:rPr>
          <w:t xml:space="preserve">GlobalPetrolPrices (2025)</w:t>
        </w:r>
      </w:hyperlink>
      <w:bookmarkEnd w:id="215"/>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16" w:name="Hersbach2020txt"/>
      <w:hyperlink w:anchor="Hersbach2020" w:history="1">
        <w:r>
          <w:rPr>
            <w:color w:val="1F3864"/>
            <w:u w:val="single"/>
          </w:rPr>
          <w:t xml:space="preserve">Hersbach et al. 2020</w:t>
        </w:r>
      </w:hyperlink>
      <w:bookmarkEnd w:id="216"/>
      <w:r>
        <w:t xml:space="preserve">) as the average monthly maximum in the three warmest months, aggregated across populated grid cells. </w:t>
      </w:r>
      <w:r>
        <w:t xml:space="preserve">Construction costs per watt of IT capacity are from the Turner &amp; Townsend Data Center Construction Cost Index 2025 (</w:t>
      </w:r>
      <w:bookmarkStart w:id="217" w:name="TurnerTownsend2025txt"/>
      <w:hyperlink w:anchor="TurnerTownsend2025" w:history="1">
        <w:r>
          <w:rPr>
            <w:color w:val="1F3864"/>
            <w:u w:val="single"/>
          </w:rPr>
          <w:t xml:space="preserve">Turner &amp; Townsend 2025</w:t>
        </w:r>
      </w:hyperlink>
      <w:bookmarkEnd w:id="217"/>
      <w:r>
        <w:t xml:space="preserve">), for 37 countries. For the remaining countries, costs are predicted (Appendix E). Since construction is only 3–6%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8" w:name="WonderNetwork2024txt"/>
      <w:hyperlink w:anchor="WonderNetwork2024" w:history="1">
        <w:r>
          <w:rPr>
            <w:color w:val="1F3864"/>
            <w:u w:val="single"/>
          </w:rPr>
          <w:t xml:space="preserve">WonderNetwork 2024</w:t>
        </w:r>
      </w:hyperlink>
      <w:bookmarkEnd w:id="218"/>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9" w:name="Cloudscene2025txt"/>
      <w:hyperlink w:anchor="Cloudscene2025" w:history="1">
        <w:r>
          <w:rPr>
            <w:color w:val="1F3864"/>
            <w:u w:val="single"/>
          </w:rPr>
          <w:t xml:space="preserve">Cloudscene 2025</w:t>
        </w:r>
      </w:hyperlink>
      <w:bookmarkEnd w:id="219"/>
      <w:r>
        <w:t xml:space="preserve">) and regional averages.</w:t>
      </w:r>
    </w:p>
    <w:p>
      <w:pPr>
        <w:spacing w:before="0" w:after="160" w:line="360" w:lineRule="auto"/>
        <w:ind w:firstLine="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20" w:name="Google2024txt"/>
      <w:hyperlink w:anchor="Google2024" w:history="1">
        <w:r>
          <w:rPr>
            <w:color w:val="1F3864"/>
            <w:u w:val="single"/>
          </w:rPr>
          <w:t xml:space="preserve">Google 2024</w:t>
        </w:r>
      </w:hyperlink>
      <w:bookmarkEnd w:id="220"/>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1" w:name="Liu2023txt"/>
      <w:hyperlink w:anchor="Liu2023" w:history="1">
        <w:r>
          <w:rPr>
            <w:color w:val="1F3864"/>
            <w:u w:val="single"/>
          </w:rPr>
          <w:t xml:space="preserve">Liu et al. 2023</w:t>
        </w:r>
      </w:hyperlink>
      <w:bookmarkEnd w:id="221"/>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2" w:name="UptimeInstitute2024txt"/>
      <w:hyperlink w:anchor="UptimeInstitute2024" w:history="1">
        <w:r>
          <w:rPr>
            <w:color w:val="1F3864"/>
            <w:u w:val="single"/>
          </w:rPr>
          <w:t xml:space="preserve">Uptime Institute 2024</w:t>
        </w:r>
      </w:hyperlink>
      <w:bookmarkEnd w:id="222"/>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3" w:name="Barroso2018txt"/>
      <w:hyperlink w:anchor="Barroso2018" w:history="1">
        <w:r>
          <w:rPr>
            <w:color w:val="1F3864"/>
            <w:u w:val="single"/>
          </w:rPr>
          <w:t xml:space="preserve">Barroso et al. 2018</w:t>
        </w:r>
      </w:hyperlink>
      <w:bookmarkEnd w:id="223"/>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4" w:name="Barroso2018txt"/>
      <w:hyperlink w:anchor="Barroso2018" w:history="1">
        <w:r>
          <w:rPr>
            <w:color w:val="1F3864"/>
            <w:u w:val="single"/>
          </w:rPr>
          <w:t xml:space="preserve">Barroso et al. 2018</w:t>
        </w:r>
      </w:hyperlink>
      <w:bookmarkEnd w:id="224"/>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5" w:name="Deloitte2020txt"/>
      <w:hyperlink w:anchor="Deloitte2020" w:history="1">
        <w:r>
          <w:rPr>
            <w:color w:val="1F3864"/>
            <w:u w:val="single"/>
          </w:rPr>
          <w:t xml:space="preserve">Deloitte and Google (2020)</w:t>
        </w:r>
      </w:hyperlink>
      <w:bookmarkEnd w:id="225"/>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and regulatory compatibility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and </w:t>
      </w:r>
      <m:oMath>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Sanctioned pairs are excluded by assumption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rather than being assigned a finite weight. The continuous weights are calibrated so that an intra-bloc pair with data-adequacy (for example, two EU member states)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and a typical cross-bloc pair without a regulatory agreement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0.04–0.07</m:t>
        </m:r>
      </m:oMath>
      <w:r>
        <w:t xml:space="preserve">. The implied premium on non-adversarial services trade stays below the 16% upper bound for regulatory barriers to communication services estimated by </w:t>
      </w:r>
      <w:bookmarkStart w:id="226" w:name="BenzJaax2020txt"/>
      <w:hyperlink w:anchor="BenzJaax2020" w:history="1">
        <w:r>
          <w:rPr>
            <w:color w:val="1F3864"/>
            <w:u w:val="single"/>
          </w:rPr>
          <w:t xml:space="preserve">Benz and Jaax (2020)</w:t>
        </w:r>
      </w:hyperlink>
      <w:bookmarkEnd w:id="226"/>
      <w:r>
        <w:t xml:space="preserve">, and the headline results are reported alongside a uniform-premium robustness check in Table 3 to make the sensitivity to these weights transparent.</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7" w:name="Deloitte2025txt"/>
      <w:hyperlink w:anchor="Deloitte2025" w:history="1">
        <w:r>
          <w:rPr>
            <w:color w:val="1F3864"/>
            <w:u w:val="single"/>
          </w:rPr>
          <w:t xml:space="preserve">Deloitte 2025</w:t>
        </w:r>
      </w:hyperlink>
      <w:bookmarkEnd w:id="227"/>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The analysis proceeds by adjusting production costs and applying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But this ranking is misleading. Iran’s headline electricity cost reflects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subsidy-driven advantage. The cost-recovery prices are defined as the long-run marginal cost (LRMC) of the dominant generation technology at opportunity-cost fuel prices (</w:t>
      </w:r>
      <w:bookmarkStart w:id="255" w:name="IMF2025txt"/>
      <w:hyperlink w:anchor="IMF2025" w:history="1">
        <w:r>
          <w:rPr>
            <w:color w:val="1F3864"/>
            <w:u w:val="single"/>
          </w:rPr>
          <w:t xml:space="preserve">IMF 2025</w:t>
        </w:r>
      </w:hyperlink>
      <w:bookmarkEnd w:id="255"/>
      <w:r>
        <w:t xml:space="preserve">, </w:t>
      </w:r>
      <w:bookmarkStart w:id="228" w:name="Lazard2025txt"/>
      <w:hyperlink w:anchor="Lazard2025" w:history="1">
        <w:r>
          <w:rPr>
            <w:color w:val="1F3864"/>
            <w:u w:val="single"/>
          </w:rPr>
          <w:t xml:space="preserve">Lazard 2025</w:t>
        </w:r>
      </w:hyperlink>
      <w:bookmarkEnd w:id="228"/>
      <w:r>
        <w:t xml:space="preserve">). We apply this adjustment to 56 countries whose retail electricity prices fall below the estimated LRMC.</w:t>
      </w:r>
      <w:r>
        <w:rPr>
          <w:rStyle w:val="FootnoteReference"/>
        </w:rPr>
        <w:footnoteReference w:id="16"/>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 xml:space="preserve">Table 3</w:t>
        </w:r>
      </w:hyperlink>
      <w:r>
        <w:t xml:space="preserve">) shifts the top of the ranking toward hydropower-rich countries: Kyrgyzstan, Ethiopia, Kosovo, Canada, and Tajikistan. Iran drops from first to 24th, and Turkmenistan falls 16 places. 35 countries change their trade regimes, but </w:t>
      </w:r>
      <w:r>
        <w:t>the remaining cross-country variation is narrow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gap between cost advantage and actual investment is wide. Eight of the twenty cheapest producers have under 100 MW of installed capacity (e.g., Kyrgyzstan: rank 1, 5 MW), while countries outside the top twenty host large clusters (Netherlands: rank 67, 1,800 MW; Ireland: rank 83, 1,260 MW). The cost ranking identifies the feasible set of exporters, not a prediction of realized investment.</w:t>
      </w:r>
    </w:p>
    <w:p>
      <w:pPr>
        <w:spacing w:before="0" w:after="160" w:line="360" w:lineRule="auto"/>
        <w:ind w:firstLine="0"/>
        <w:jc w:val="both"/>
      </w:pPr>
      <w:r>
        <w:t xml:space="preserve">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bookmarkStart w:id="265" w:name="AykutEtAl2026txt"/>
      <w:hyperlink w:anchor="AykutEtAl2026" w:history="1">
        <w:r>
          <w:rPr>
            <w:color w:val="1F3864"/>
            <w:u w:val="single"/>
          </w:rPr>
          <w:t xml:space="preserve">Aykut et al. 2026</w:t>
        </w:r>
      </w:hyperlink>
      <w:bookmarkEnd w:id="265"/>
      <w:r>
        <w:t xml:space="preserve">). Moreover, most announced investment flows between geopolitical allies, are consistent with the bilateral sovereignty premium rather than cost alone determining where capacity is built (</w:t>
      </w:r>
      <w:bookmarkStart w:id="256" w:name="StraubEtAl2026txt"/>
      <w:hyperlink w:anchor="StraubEtAl2026" w:history="1">
        <w:r>
          <w:rPr>
            <w:color w:val="1F3864"/>
            <w:u w:val="single"/>
          </w:rPr>
          <w:t xml:space="preserve">Straub et al. 2026</w:t>
        </w:r>
      </w:hyperlink>
      <w:bookmarkEnd w:id="256"/>
      <w:r>
        <w:t xml:space="preserve">). Econometric evidence confirms that electricity costs are not a robust predictor of data center location once market size and regulatory environment are controlled for (</w:t>
      </w:r>
      <w:bookmarkStart w:id="229" w:name="CaouiSteck2025txt"/>
      <w:hyperlink w:anchor="CaouiSteck2025" w:history="1">
        <w:r>
          <w:rPr>
            <w:color w:val="1F3864"/>
            <w:u w:val="single"/>
          </w:rPr>
          <w:t xml:space="preserve">Caoui and Steck 2025</w:t>
        </w:r>
      </w:hyperlink>
      <w:bookmarkEnd w:id="229"/>
      <w:r>
        <w:t xml:space="preserve">).</w:t>
      </w:r>
    </w:p>
    <w:p>
      <w:pPr>
        <w:spacing w:before="0" w:after="160" w:line="360" w:lineRule="auto"/>
        <w:ind w:firstLine="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Indonesia and Viet Nam (</w:t>
      </w:r>
      <w:bookmarkStart w:id="257" w:name="KatzEtAl2025txt"/>
      <w:hyperlink w:anchor="KatzEtAl2025" w:history="1">
        <w:r>
          <w:rPr>
            <w:color w:val="1F3864"/>
            <w:u w:val="single"/>
          </w:rPr>
          <w:t xml:space="preserve">Katz et al. 2025</w:t>
        </w:r>
      </w:hyperlink>
      <w:bookmarkEnd w:id="257"/>
      <w:r>
        <w:t xml:space="preserve">).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bookmarkStart w:id="230" w:name="AykutEtAl2026txt"/>
      <w:hyperlink w:anchor="AykutEtAl2026" w:history="1">
        <w:r>
          <w:rPr>
            <w:color w:val="1F3864"/>
            <w:u w:val="single"/>
          </w:rPr>
          <w:t xml:space="preserve">Aykut et al. 2026</w:t>
        </w:r>
      </w:hyperlink>
      <w:bookmarkEnd w:id="230"/>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a dominant exporter (HHI = 0.984, with 3 other producers at the margin), leaving the training market close to the unconstrained benchmark of Proposition 2. </w:t>
      </w:r>
      <w:r>
        <w:t xml:space="preserve">The largest shadow values of grid capacity are in Kyrgyzstan ($0.019/hr), Ethiopia ($0.003/hr), and Kosovo ($0.001/hr), indicating modest returns to capacity expansion. </w:t>
      </w:r>
      <w:r>
        <w:t>Under the bilateral sovereignty premium, most training demand shifts to domestic production, and the residual export market is served by a single exporter at $1.58/hr.</w:t>
      </w:r>
    </w:p>
    <w:p>
      <w:pPr>
        <w:spacing w:before="0" w:after="160" w:line="360" w:lineRule="auto"/>
        <w:ind w:firstLine="0"/>
        <w:jc w:val="both"/>
      </w:pPr>
      <w:r>
        <w:t xml:space="preserve">Inference exports are more dispersed, with the top five exporters being Canada (43%), Kyrgyzstan (26%), Kosovo (10%), Indonesia (0.9%), and Ukraine (0.5%), collectively accounting for 80% of cross-border inference demand (HHI = 0.265). </w:t>
      </w:r>
    </w:p>
    <w:p>
      <w:pPr>
        <w:spacing w:before="0" w:after="160" w:line="360" w:lineRule="auto"/>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21 countries, accounting for 10% of global inference demand. </w:t>
      </w:r>
    </w:p>
    <w:p>
      <w:pPr>
        <w:spacing w:before="0" w:after="160" w:line="360" w:lineRule="auto"/>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from Kosovo. For China, the cheapest foreign source of inference is Kyrgyzstan. Inference supply thus concentrates around latency-bounded regional hubs, each major market sourcing from a distinct nearby producer.</w:t>
      </w:r>
    </w:p>
    <w:p>
      <w:pPr>
        <w:spacing w:before="0" w:after="160" w:line="360" w:lineRule="auto"/>
        <w:ind w:firstLine="0"/>
        <w:jc w:val="both"/>
      </w:pPr>
      <w:r>
        <w:t xml:space="preserve">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bookmarkStart w:id="231" w:name="AykutEtAl2026txt"/>
      <w:hyperlink w:anchor="AykutEtAl2026" w:history="1">
        <w:r>
          <w:rPr>
            <w:color w:val="1F3864"/>
            <w:u w:val="single"/>
          </w:rPr>
          <w:t xml:space="preserve">Aykut et al. 2026</w:t>
        </w:r>
      </w:hyperlink>
      <w:bookmarkEnd w:id="231"/>
      <w:r>
        <w:t xml:space="preserve">).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pPr>
        <w:spacing w:before="0" w:after="160" w:line="360" w:lineRule="auto"/>
        <w:ind w:firstLine="0"/>
        <w:jc w:val="both"/>
      </w:pPr>
      <w:r>
        <w:t>Raising the uniform premium to 20% shifts five additional countries (including Croatia, Cyprus, and Germany) to domestic training production, reducing the share of global training demand available to foreign producers from 3% to 0%. Inference exports are more resilient to sovereignty premia because the latency advantage of proximity partially insulates regional hubs. The ease with which modest premia eliminate trade explains the welfare costs documented below.</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of average compute spending, in the range of the welfare gains from trade in goods estimated in the quantitative trade literature, which range from roughly 0.2% to 10% depending on country size and specification (</w:t>
      </w:r>
      <w:bookmarkStart w:id="232" w:name="EatonKortum2002txt"/>
      <w:hyperlink w:anchor="EatonKortum2002" w:history="1">
        <w:r>
          <w:rPr>
            <w:color w:val="1F3864"/>
            <w:u w:val="single"/>
          </w:rPr>
          <w:t xml:space="preserve">Eaton and Kortum 2002</w:t>
        </w:r>
      </w:hyperlink>
      <w:bookmarkEnd w:id="232"/>
      <w:r>
        <w:t xml:space="preserve">, </w:t>
      </w:r>
      <w:bookmarkStart w:id="258" w:name="ACR2012txt"/>
      <w:hyperlink w:anchor="ACR2012" w:history="1">
        <w:r>
          <w:rPr>
            <w:color w:val="1F3864"/>
            <w:u w:val="single"/>
          </w:rPr>
          <w:t xml:space="preserve">Arkolakis et al. 2012</w:t>
        </w:r>
      </w:hyperlink>
      <w:bookmarkEnd w:id="258"/>
      <w:r>
        <w:t xml:space="preserve">).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pPr>
        <w:spacing w:before="0" w:after="160" w:line="360" w:lineRule="auto"/>
        <w:ind w:firstLine="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high in aggregate dollars but modest as a share of compute spending.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33" w:name="WorldBank2025txt"/>
      <w:hyperlink w:anchor="WorldBank2025" w:history="1">
        <w:r>
          <w:rPr>
            <w:color w:val="1F3864"/>
            <w:u w:val="single"/>
          </w:rPr>
          <w:t xml:space="preserve">World Bank (2025)</w:t>
        </w:r>
      </w:hyperlink>
      <w:bookmarkEnd w:id="233"/>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entry by developing countries. Countries combining cheap energy with adequate governance retain their cost advantage regardless of the choice of parameter.</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line="360" w:lineRule="auto"/>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234" w:name="Chandramowli2024txt"/>
      <w:hyperlink w:anchor="Chandramowli2024" w:history="1">
        <w:r>
          <w:rPr>
            <w:color w:val="1F3864"/>
            <w:u w:val="single"/>
          </w:rPr>
          <w:t xml:space="preserve">Chandramowli et al. 2024</w:t>
        </w:r>
      </w:hyperlink>
      <w:bookmarkEnd w:id="234"/>
      <w:r>
        <w:t xml:space="preserve">), and AI data-center expansion alone could increase retail prices by 8–9 percent by 2030 (</w:t>
      </w:r>
      <w:bookmarkStart w:id="266" w:name="IMF2025txt"/>
      <w:hyperlink w:anchor="IMF2025" w:history="1">
        <w:r>
          <w:rPr>
            <w:color w:val="1F3864"/>
            <w:u w:val="single"/>
          </w:rPr>
          <w:t xml:space="preserve">IMF 2025</w:t>
        </w:r>
      </w:hyperlink>
      <w:bookmarkEnd w:id="266"/>
      <w:r>
        <w:t xml:space="preserve">). </w:t>
      </w:r>
      <w:bookmarkStart w:id="259" w:name="AlvarezEtAl2026txt"/>
      <w:hyperlink w:anchor="AlvarezEtAl2026" w:history="1">
        <w:r>
          <w:rPr>
            <w:color w:val="1F3864"/>
            <w:u w:val="single"/>
          </w:rPr>
          <w:t xml:space="preserve">Alvarez et al. (2026)</w:t>
        </w:r>
      </w:hyperlink>
      <w:bookmarkEnd w:id="259"/>
      <w:r>
        <w:t xml:space="preserve"> find that in the US, a one-unit increase in log cumulative data-center revenue raises local electricity prices by roughly 0.9 percent, significant at the 1 percent level in every horizon; counties that ever host a data center exhibit a 3.9 percent level effect on retail prices. For small grids such as Kyrgyzstan’s, the proportional impact would be substantially larger, further eroding the cost advantages documented above.</w:t>
      </w:r>
    </w:p>
    <w:p>
      <w:pPr>
        <w:spacing w:before="0" w:after="160" w:line="360" w:lineRule="auto"/>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pPr>
        <w:spacing w:before="0" w:after="160" w:line="360" w:lineRule="auto"/>
        <w:ind w:firstLine="0"/>
        <w:jc w:val="both"/>
      </w:pPr>
      <w:r>
        <w:rPr>
          <w:rFonts w:ascii="Times New Roman" w:hAnsi="Times New Roman"/>
          <w:b w:val="0"/>
          <w:i/>
          <w:sz w:val="24"/>
        </w:rPr>
        <w:t xml:space="preserve">Form of the sovereignty wedge.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modeled as an ad valorem markup on the cost of compute. While standard in services trade, this functional form is a simplification. Government cloud security certifications (e.g., SecNumCloud, IRAP), sanctions and export-control screening, and bilateral digital-services agreements impose mostly fixed costs that add an entry margin on top of the cost-comparison margin, and thus raise the entry threshold for developing-country exporters. Our model also treats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and fixed costs. We expect our main finding to hold — both modifications cut against developing-country entrants — and leave the formal version to future work.</w:t>
      </w:r>
    </w:p>
    <w:p>
      <w:pPr>
        <w:spacing w:before="0" w:after="160" w:line="360" w:lineRule="auto"/>
        <w:ind w:firstLine="0"/>
        <w:jc w:val="both"/>
      </w:pPr>
      <w:r>
        <w:rPr>
          <w:rFonts w:ascii="Times New Roman" w:hAnsi="Times New Roman"/>
          <w:b w:val="0"/>
          <w:i/>
          <w:sz w:val="24"/>
        </w:rPr>
        <w:t xml:space="preserve">Cost of capital. </w:t>
      </w:r>
      <w:r>
        <w:t xml:space="preserve">Because hardware dominates the compute cost stack, the single largest determinant of the ranking is the cost at which capital can be financed. An OECD hyperscaler at an 8% weighted average cost of capital faces hardware costs of $1.58/GPU-hour; a locally financed developing-country operator at 18% pays $1.87 — a $0.29 gap on hardware alone, roughly four times the electricity cost spread across the top twenty countries (</w:t>
      </w:r>
      <w:bookmarkStart w:id="235" w:name="Calcaterra2024txt"/>
      <w:hyperlink w:anchor="Calcaterra2024" w:history="1">
        <w:r>
          <w:rPr>
            <w:color w:val="1F3864"/>
            <w:u w:val="single"/>
          </w:rPr>
          <w:t xml:space="preserve">Calcaterra et al. 2024</w:t>
        </w:r>
      </w:hyperlink>
      <w:bookmarkEnd w:id="235"/>
      <w:r>
        <w:t xml:space="preserve">). Column (4) of </w:t>
      </w:r>
      <w:hyperlink w:anchor="Table3" w:history="1">
        <w:r>
          <w:rPr>
            <w:color w:val="1F3864"/>
            <w:u w:val="single"/>
          </w:rPr>
          <w:t xml:space="preserve">Table 3</w:t>
        </w:r>
      </w:hyperlink>
      <w:r>
        <w:t xml:space="preserve"> reports the cost-recovery ranking with hardware amortized at each country’s income-group WACC (HIC 8%, UMIC 12%, LMIC 15%, LIC 18%). Under this specification, the advantage of cheap-energy developing countries compresses, and the regime classifications shift accordingly.</w:t>
      </w:r>
    </w:p>
    <w:p>
      <w:pPr>
        <w:spacing w:before="0" w:after="160" w:line="360" w:lineRule="auto"/>
        <w:ind w:firstLine="0"/>
        <w:jc w:val="both"/>
      </w:pPr>
      <w:r>
        <w:t xml:space="preserve">This is the mechanism that links the cost-recovery and bilateral sovereignty specifications: institutional credibility matters for compute trade through two channels, the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pure-hyperscaler case is therefore a boundary, not a baseline. The paper treats spec (4) as the more realistic benchmark for questions about whether a developing country can capture compute-export rents with domestic capital.</w:t>
      </w:r>
    </w:p>
    <w:p>
      <w:pPr>
        <w:pStyle w:val="Heading2"/>
      </w:pPr>
      <w:r>
        <w:rPr>
          <w:rFonts w:ascii="Times New Roman" w:hAnsi="Times New Roman"/>
          <w:b w:val="0"/>
          <w:i/>
          <w:color w:val="2F5496"/>
          <w:sz w:val="24"/>
        </w:rPr>
        <w:t>7.3 Extensions</w:t>
      </w:r>
    </w:p>
    <w:p>
      <w:pPr>
        <w:spacing w:before="0" w:after="160" w:line="360" w:lineRule="auto"/>
        <w:ind w:firstLine="0"/>
        <w:jc w:val="both"/>
      </w:pPr>
      <w:r>
        <w:rPr>
          <w:rFonts w:ascii="Times New Roman" w:hAnsi="Times New Roman"/>
          <w:b w:val="0"/>
          <w:i/>
          <w:sz w:val="24"/>
        </w:rPr>
        <w:t xml:space="preserve">Edge computing. </w:t>
      </w:r>
      <w:r>
        <w:t xml:space="preserve">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model (</w:t>
      </w:r>
      <w:bookmarkStart w:id="236" w:name="AykutEtAl2026txt"/>
      <w:hyperlink w:anchor="AykutEtAl2026" w:history="1">
        <w:r>
          <w:rPr>
            <w:color w:val="1F3864"/>
            <w:u w:val="single"/>
          </w:rPr>
          <w:t xml:space="preserve">Aykut et al. 2026</w:t>
        </w:r>
      </w:hyperlink>
      <w:bookmarkEnd w:id="236"/>
      <w:r>
        <w:t xml:space="preserve">). Incorporating heterogeneous compute architectures—centralized GPU clusters for training, distributed edge nodes for inference—into the trade framework is a natural direction for future work.</w:t>
      </w:r>
    </w:p>
    <w:p>
      <w:pPr>
        <w:pStyle w:val="Heading1"/>
      </w:pPr>
      <w:r>
        <w:rPr>
          <w:rFonts w:ascii="Times New Roman" w:hAnsi="Times New Roman"/>
          <w:b/>
          <w:color w:val="2F5496"/>
          <w:sz w:val="28"/>
        </w:rPr>
        <w:t>8. Conclusion</w:t>
      </w:r>
    </w:p>
    <w:p>
      <w:pPr>
        <w:spacing w:before="0" w:after="160" w:line="360" w:lineRule="auto"/>
        <w:ind w:firstLine="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pPr>
        <w:spacing w:before="0" w:after="160" w:line="360" w:lineRule="auto"/>
        <w:ind w:firstLine="0"/>
        <w:jc w:val="both"/>
      </w:pPr>
      <w:r>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even modest frictions, such as a sovereignty premium, a governance penalty, or a higher cost of capital, are sufficient to alter a country’s trade regime. Compute is therefore simultaneously the easiest sector for developing countries to enter on cost grounds and the most vulnerable to small policy-induced distortions.</w:t>
      </w:r>
    </w:p>
    <w:p>
      <w:pPr>
        <w:spacing w:before="0" w:after="160" w:line="360" w:lineRule="auto"/>
        <w:ind w:firstLine="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conducive to capital-intensive investment. The absence of these conditions shifts most countries toward domestic production at a nontrivial welfare cost. The welfare loss, however, is small enough that governments with legitimate data-sovereignty objectives may prefer to rely on domestic supply. </w:t>
      </w:r>
    </w:p>
    <w:p>
      <w:pPr>
        <w:spacing w:before="0" w:after="160" w:line="360" w:lineRule="auto"/>
        <w:ind w:firstLine="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pPr>
        <w:spacing w:before="0" w:after="160" w:line="360" w:lineRule="auto"/>
        <w:ind w:firstLine="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pPr>
        <w:pStyle w:val="Heading1"/>
        <w:pageBreakBefore/>
      </w:pPr>
      <w:r>
        <w:rPr>
          <w:rFonts w:ascii="Times New Roman" w:hAnsi="Times New Roman"/>
          <w:b/>
          <w:color w:val="2F5496"/>
          <w:sz w:val="28"/>
        </w:rPr>
        <w:t>References</w:t>
      </w:r>
    </w:p>
    <w:p>
      <w:pPr>
        <w:spacing w:before="0" w:after="80" w:line="240" w:lineRule="exact"/>
        <w:ind w:hanging="720" w:left="720"/>
        <w:jc w:val="both"/>
      </w:pPr>
      <w:bookmarkStart w:id="500" w:name="AlvarezEtAl2026"/>
      <w:hyperlink w:anchor="AlvarezEtAl2026txt" w:history="1">
        <w:r>
          <w:rPr>
            <w:color w:val="1F3864"/>
            <w:u w:val="single"/>
          </w:rPr>
          <w:t xml:space="preserve">Alvarez, F., Argente, D., Chow, J., and D. Van Patten. (2026). </w:t>
        </w:r>
      </w:hyperlink>
      <w:r>
        <w:t xml:space="preserve">“Data Centers and Local Economies in the Age of AI: A Shift-Share Approach.” </w:t>
      </w:r>
      <w:r>
        <w:rPr>
          <w:i/>
        </w:rPr>
        <w:t>NBER Working Paper</w:t>
      </w:r>
      <w:r>
        <w:t xml:space="preserve"> No. 35194.</w:t>
      </w:r>
      <w:bookmarkEnd w:id="500"/>
    </w:p>
    <w:p>
      <w:pPr>
        <w:spacing w:before="0" w:after="80" w:line="240" w:lineRule="exact"/>
        <w:ind w:hanging="720" w:left="720"/>
        <w:jc w:val="both"/>
      </w:pPr>
      <w:bookmarkStart w:id="501" w:name="AndersonVanWincoop2003"/>
      <w:hyperlink w:anchor="AndersonVanWincoop2003txt" w:history="1">
        <w:r>
          <w:rPr>
            <w:color w:val="1F3864"/>
            <w:u w:val="single"/>
          </w:rPr>
          <w:t xml:space="preserve">Anderson, J.E. and D. Marcouiller. (2002). </w:t>
        </w:r>
      </w:hyperlink>
      <w:r>
        <w:t xml:space="preserve">“Insecure Trade: Reduced-Form Evidence.” </w:t>
      </w:r>
      <w:r>
        <w:rPr>
          <w:i/>
        </w:rPr>
        <w:t>Review of Economics and Statistics</w:t>
      </w:r>
      <w:r>
        <w:t>, 84(2): 342–352.</w:t>
      </w:r>
      <w:bookmarkEnd w:id="501"/>
    </w:p>
    <w:p>
      <w:pPr>
        <w:spacing w:before="0" w:after="80" w:line="240" w:lineRule="exact"/>
        <w:ind w:hanging="720" w:left="720"/>
        <w:jc w:val="both"/>
      </w:pPr>
      <w:bookmarkStart w:id="502" w:name="AndersonVanWincoop2003"/>
      <w:hyperlink w:anchor="AndersonVanWincoop2003txt" w:history="1">
        <w:r>
          <w:rPr>
            <w:color w:val="1F3864"/>
            <w:u w:val="single"/>
          </w:rPr>
          <w:t xml:space="preserve">Anderson, J.E. and E. van Wincoop. (2003). </w:t>
        </w:r>
      </w:hyperlink>
      <w:r>
        <w:t xml:space="preserve">“Gravity with Gravitas: A Solution to the Border Puzzle.” </w:t>
      </w:r>
      <w:r>
        <w:rPr>
          <w:i/>
        </w:rPr>
        <w:t>American Economic Review</w:t>
      </w:r>
      <w:r>
        <w:t>, 93(1): 170–192.</w:t>
      </w:r>
      <w:bookmarkEnd w:id="502"/>
    </w:p>
    <w:p>
      <w:pPr>
        <w:spacing w:before="0" w:after="80" w:line="240" w:lineRule="exact"/>
        <w:ind w:hanging="720" w:left="720"/>
        <w:jc w:val="both"/>
      </w:pPr>
      <w:bookmarkStart w:id="503" w:name="Antras2003"/>
      <w:hyperlink w:anchor="Antras2003txt" w:history="1">
        <w:r>
          <w:rPr>
            <w:color w:val="1F3864"/>
            <w:u w:val="single"/>
          </w:rPr>
          <w:t xml:space="preserve">Antràs, P. (2003). </w:t>
        </w:r>
      </w:hyperlink>
      <w:r>
        <w:t xml:space="preserve">“Firms, Contracts, and Trade Structure.” </w:t>
      </w:r>
      <w:r>
        <w:rPr>
          <w:i/>
        </w:rPr>
        <w:t>Quarterly Journal of Economics</w:t>
      </w:r>
      <w:r>
        <w:t>, 118(4): 1375–1418.</w:t>
      </w:r>
      <w:bookmarkEnd w:id="503"/>
    </w:p>
    <w:p>
      <w:pPr>
        <w:spacing w:before="0" w:after="80" w:line="240" w:lineRule="exact"/>
        <w:ind w:hanging="720" w:left="720"/>
        <w:jc w:val="both"/>
      </w:pPr>
      <w:bookmarkStart w:id="504"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4"/>
    </w:p>
    <w:p>
      <w:pPr>
        <w:spacing w:before="0" w:after="80" w:line="240" w:lineRule="exact"/>
        <w:ind w:hanging="720" w:left="720"/>
        <w:jc w:val="both"/>
      </w:pPr>
      <w:bookmarkStart w:id="505"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5"/>
    </w:p>
    <w:p>
      <w:pPr>
        <w:spacing w:before="0" w:after="80" w:line="240" w:lineRule="exact"/>
        <w:ind w:hanging="720" w:left="720"/>
        <w:jc w:val="both"/>
      </w:pPr>
      <w:bookmarkStart w:id="506" w:name="AykutEtAl2026"/>
      <w:hyperlink w:anchor="AykutEtAl2026txt" w:history="1">
        <w:r>
          <w:rPr>
            <w:color w:val="1F3864"/>
            <w:u w:val="single"/>
          </w:rPr>
          <w:t xml:space="preserve">Aykut, D., S. Ozyurt, K. Jung, and E. Vergara Cobos. (2026). </w:t>
        </w:r>
      </w:hyperlink>
      <w:r>
        <w:t xml:space="preserve">“Data Center and AI Investment in EMDEs: Risks and Opportunities.” </w:t>
      </w:r>
      <w:r>
        <w:rPr>
          <w:i/>
        </w:rPr>
        <w:t>Watch This Space</w:t>
      </w:r>
      <w:r>
        <w:t xml:space="preserve">. Washington, DC: </w:t>
      </w:r>
      <w:bookmarkStart w:id="237" w:name="WorldBank2024txt"/>
      <w:hyperlink w:anchor="WorldBank2024" w:history="1">
        <w:r>
          <w:rPr>
            <w:color w:val="1F3864"/>
            <w:u w:val="single"/>
          </w:rPr>
          <w:t xml:space="preserve">World Bank</w:t>
        </w:r>
      </w:hyperlink>
      <w:bookmarkEnd w:id="237"/>
      <w:r>
        <w:t xml:space="preserve"> Group.</w:t>
      </w:r>
      <w:bookmarkEnd w:id="506"/>
    </w:p>
    <w:p>
      <w:pPr>
        <w:spacing w:before="0" w:after="80" w:line="240" w:lineRule="exact"/>
        <w:ind w:hanging="720" w:left="720"/>
        <w:jc w:val="both"/>
      </w:pPr>
      <w:bookmarkStart w:id="507"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7"/>
    </w:p>
    <w:p>
      <w:pPr>
        <w:spacing w:before="0" w:after="80" w:line="240" w:lineRule="exact"/>
        <w:ind w:hanging="720" w:left="720"/>
        <w:jc w:val="both"/>
      </w:pPr>
      <w:bookmarkStart w:id="508"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8"/>
    </w:p>
    <w:p>
      <w:pPr>
        <w:spacing w:before="0" w:after="80" w:line="240" w:lineRule="exact"/>
        <w:ind w:hanging="720" w:left="720"/>
        <w:jc w:val="both"/>
      </w:pPr>
      <w:bookmarkStart w:id="509" w:name="BenzJaax2020"/>
      <w:hyperlink w:anchor="BenzJaax2020txt" w:history="1">
        <w:r>
          <w:rPr>
            <w:color w:val="1F3864"/>
            <w:u w:val="single"/>
          </w:rPr>
          <w:t xml:space="preserve">Benz, S. and A. Jaax. (2020). </w:t>
        </w:r>
      </w:hyperlink>
      <w:r>
        <w:t xml:space="preserve">“The Costs of Regulatory Barriers to Trade in Services: New Estimates of Ad Valorem Tariff Equivalents.” </w:t>
      </w:r>
      <w:r>
        <w:rPr>
          <w:i/>
        </w:rPr>
        <w:t>OECD Trade Policy Papers</w:t>
      </w:r>
      <w:r>
        <w:t>, No. 238. Paris: OECD Publishing.</w:t>
      </w:r>
      <w:bookmarkEnd w:id="509"/>
    </w:p>
    <w:p>
      <w:pPr>
        <w:spacing w:before="0" w:after="80" w:line="240" w:lineRule="exact"/>
        <w:ind w:hanging="720" w:left="720"/>
        <w:jc w:val="both"/>
      </w:pPr>
      <w:bookmarkStart w:id="510"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10"/>
    </w:p>
    <w:p>
      <w:pPr>
        <w:spacing w:before="0" w:after="80" w:line="240" w:lineRule="exact"/>
        <w:ind w:hanging="720" w:left="720"/>
        <w:jc w:val="both"/>
      </w:pPr>
      <w:bookmarkStart w:id="511"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11"/>
    </w:p>
    <w:p>
      <w:pPr>
        <w:spacing w:before="0" w:after="80" w:line="240" w:lineRule="exact"/>
        <w:ind w:hanging="720" w:left="720"/>
        <w:jc w:val="both"/>
      </w:pPr>
      <w:bookmarkStart w:id="512"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12"/>
    </w:p>
    <w:p>
      <w:pPr>
        <w:spacing w:before="0" w:after="80" w:line="240" w:lineRule="exact"/>
        <w:ind w:hanging="720" w:left="720"/>
        <w:jc w:val="both"/>
      </w:pPr>
      <w:bookmarkStart w:id="513"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13"/>
    </w:p>
    <w:p>
      <w:pPr>
        <w:spacing w:before="0" w:after="80" w:line="240" w:lineRule="exact"/>
        <w:ind w:hanging="720" w:left="720"/>
        <w:jc w:val="both"/>
      </w:pPr>
      <w:bookmarkStart w:id="514" w:name="CaouiSteck2025"/>
      <w:hyperlink w:anchor="CaouiSteck2025txt" w:history="1">
        <w:r>
          <w:rPr>
            <w:color w:val="1F3864"/>
            <w:u w:val="single"/>
          </w:rPr>
          <w:t xml:space="preserve">Caoui, E. H., and A. Steck. (2025). </w:t>
        </w:r>
      </w:hyperlink>
      <w:r>
        <w:t xml:space="preserve">“Content Providers and the Deployment of Internet Infrastructure.” </w:t>
      </w:r>
      <w:r>
        <w:rPr>
          <w:i/>
        </w:rPr>
        <w:t>Information Economics and Policy</w:t>
      </w:r>
      <w:r>
        <w:t>. doi:10.1016/j.infoecopol.2025.101134.</w:t>
      </w:r>
      <w:bookmarkEnd w:id="514"/>
    </w:p>
    <w:p>
      <w:pPr>
        <w:spacing w:before="0" w:after="80" w:line="240" w:lineRule="exact"/>
        <w:ind w:hanging="720" w:left="720"/>
        <w:jc w:val="both"/>
      </w:pPr>
      <w:bookmarkStart w:id="515" w:name="Chandramowli2024"/>
      <w:hyperlink w:anchor="Chandramowli2024txt" w:history="1">
        <w:r>
          <w:rPr>
            <w:color w:val="1F3864"/>
            <w:u w:val="single"/>
          </w:rPr>
          <w:t xml:space="preserve">Chandramowli, S., et al. (2024). </w:t>
        </w:r>
      </w:hyperlink>
      <w:r>
        <w:t xml:space="preserve">“Impact of Emerging Technologies on Electricity Demand and Prices.” </w:t>
      </w:r>
      <w:r>
        <w:rPr>
          <w:i/>
        </w:rPr>
        <w:t>Rhodium Group Analysis</w:t>
      </w:r>
      <w:r>
        <w:t>.</w:t>
      </w:r>
      <w:bookmarkEnd w:id="515"/>
    </w:p>
    <w:p>
      <w:pPr>
        <w:spacing w:before="0" w:after="80" w:line="240" w:lineRule="exact"/>
        <w:ind w:hanging="720" w:left="720"/>
        <w:jc w:val="both"/>
      </w:pPr>
      <w:bookmarkStart w:id="516"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6"/>
    </w:p>
    <w:p>
      <w:pPr>
        <w:spacing w:before="0" w:after="80" w:line="240" w:lineRule="exact"/>
        <w:ind w:hanging="720" w:left="720"/>
        <w:jc w:val="both"/>
      </w:pPr>
      <w:bookmarkStart w:id="517" w:name="Deloitte2020"/>
      <w:hyperlink w:anchor="Deloitte2020txt" w:history="1">
        <w:r>
          <w:rPr>
            <w:color w:val="1F3864"/>
            <w:u w:val="single"/>
          </w:rPr>
          <w:t xml:space="preserve">Deloitte and Google. (2020). </w:t>
        </w:r>
      </w:hyperlink>
      <w:r>
        <w:t>“Milliseconds Make Millions.” Deloitte Digital and Google.</w:t>
      </w:r>
      <w:bookmarkEnd w:id="517"/>
    </w:p>
    <w:p>
      <w:pPr>
        <w:spacing w:before="0" w:after="80" w:line="240" w:lineRule="exact"/>
        <w:ind w:hanging="720" w:left="720"/>
        <w:jc w:val="both"/>
      </w:pPr>
      <w:bookmarkStart w:id="518"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8"/>
    </w:p>
    <w:p>
      <w:pPr>
        <w:spacing w:before="0" w:after="80" w:line="240" w:lineRule="exact"/>
        <w:ind w:hanging="720" w:left="720"/>
        <w:jc w:val="both"/>
      </w:pPr>
      <w:bookmarkStart w:id="519"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9"/>
    </w:p>
    <w:p>
      <w:pPr>
        <w:spacing w:before="0" w:after="80" w:line="240" w:lineRule="exact"/>
        <w:ind w:hanging="720" w:left="720"/>
        <w:jc w:val="both"/>
      </w:pPr>
      <w:bookmarkStart w:id="520"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20"/>
    </w:p>
    <w:p>
      <w:pPr>
        <w:spacing w:before="0" w:after="80" w:line="240" w:lineRule="exact"/>
        <w:ind w:hanging="720" w:left="720"/>
        <w:jc w:val="both"/>
      </w:pPr>
      <w:bookmarkStart w:id="521" w:name="EpochAI2024"/>
      <w:hyperlink w:anchor="EpochAI2024txt" w:history="1">
        <w:r>
          <w:rPr>
            <w:color w:val="1F3864"/>
            <w:u w:val="single"/>
          </w:rPr>
          <w:t xml:space="preserve">Epoch AI. (2024). </w:t>
        </w:r>
      </w:hyperlink>
      <w:r>
        <w:t>“The Training Compute of Notable AI Models.” epochai.org.</w:t>
      </w:r>
      <w:bookmarkEnd w:id="521"/>
    </w:p>
    <w:p>
      <w:pPr>
        <w:spacing w:before="0" w:after="80" w:line="240" w:lineRule="exact"/>
        <w:ind w:hanging="720" w:left="720"/>
        <w:jc w:val="both"/>
      </w:pPr>
      <w:bookmarkStart w:id="522"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22"/>
    </w:p>
    <w:p>
      <w:pPr>
        <w:spacing w:before="0" w:after="80" w:line="240" w:lineRule="exact"/>
        <w:ind w:hanging="720" w:left="720"/>
        <w:jc w:val="both"/>
      </w:pPr>
      <w:bookmarkStart w:id="523"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23"/>
    </w:p>
    <w:p>
      <w:pPr>
        <w:spacing w:before="0" w:after="80" w:line="240" w:lineRule="exact"/>
        <w:ind w:hanging="720" w:left="720"/>
        <w:jc w:val="both"/>
      </w:pPr>
      <w:bookmarkStart w:id="524"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24"/>
    </w:p>
    <w:p>
      <w:pPr>
        <w:spacing w:before="0" w:after="80" w:line="240" w:lineRule="exact"/>
        <w:ind w:hanging="720" w:left="720"/>
        <w:jc w:val="both"/>
      </w:pPr>
      <w:bookmarkStart w:id="525"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5"/>
    </w:p>
    <w:p>
      <w:pPr>
        <w:spacing w:before="0" w:after="80" w:line="240" w:lineRule="exact"/>
        <w:ind w:hanging="720" w:left="720"/>
        <w:jc w:val="both"/>
      </w:pPr>
      <w:bookmarkStart w:id="526"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6"/>
    </w:p>
    <w:p>
      <w:pPr>
        <w:spacing w:before="0" w:after="80" w:line="240" w:lineRule="exact"/>
        <w:ind w:hanging="720" w:left="720"/>
        <w:jc w:val="both"/>
      </w:pPr>
      <w:bookmarkStart w:id="527" w:name="Google2024"/>
      <w:hyperlink w:anchor="Google2024txt" w:history="1">
        <w:r>
          <w:rPr>
            <w:color w:val="1F3864"/>
            <w:u w:val="single"/>
          </w:rPr>
          <w:t xml:space="preserve">Google. </w:t>
        </w:r>
      </w:hyperlink>
      <w:r>
        <w:t xml:space="preserve">(2024). </w:t>
      </w:r>
      <w:r>
        <w:rPr>
          <w:i/>
        </w:rPr>
        <w:t>2024 Environmental Report</w:t>
      </w:r>
      <w:r>
        <w:t>. sustainability.google.</w:t>
      </w:r>
      <w:bookmarkEnd w:id="527"/>
    </w:p>
    <w:p>
      <w:pPr>
        <w:spacing w:before="0" w:after="80" w:line="240" w:lineRule="exact"/>
        <w:ind w:hanging="720" w:left="720"/>
        <w:jc w:val="both"/>
      </w:pPr>
      <w:bookmarkStart w:id="528"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8"/>
    </w:p>
    <w:p>
      <w:pPr>
        <w:spacing w:before="0" w:after="80" w:line="240" w:lineRule="exact"/>
        <w:ind w:hanging="720" w:left="720"/>
        <w:jc w:val="both"/>
      </w:pPr>
      <w:bookmarkStart w:id="529"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29"/>
    </w:p>
    <w:p>
      <w:pPr>
        <w:spacing w:before="0" w:after="80" w:line="240" w:lineRule="exact"/>
        <w:ind w:hanging="720" w:left="720"/>
        <w:jc w:val="both"/>
      </w:pPr>
      <w:bookmarkStart w:id="530"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30"/>
    </w:p>
    <w:p>
      <w:pPr>
        <w:spacing w:before="0" w:after="80" w:line="240" w:lineRule="exact"/>
        <w:ind w:hanging="720" w:left="720"/>
        <w:jc w:val="both"/>
      </w:pPr>
      <w:bookmarkStart w:id="531"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31"/>
    </w:p>
    <w:p>
      <w:pPr>
        <w:spacing w:before="0" w:after="80" w:line="240" w:lineRule="exact"/>
        <w:ind w:hanging="720" w:left="720"/>
        <w:jc w:val="both"/>
      </w:pPr>
      <w:bookmarkStart w:id="532" w:name="IEA2025"/>
      <w:hyperlink w:anchor="IEA2025txt" w:history="1">
        <w:r>
          <w:rPr>
            <w:color w:val="1F3864"/>
            <w:u w:val="single"/>
          </w:rPr>
          <w:t xml:space="preserve">IEA. (2025). </w:t>
        </w:r>
      </w:hyperlink>
      <w:r>
        <w:t>“Energy Demand from AI.” Published online at iea.org.</w:t>
      </w:r>
      <w:bookmarkEnd w:id="532"/>
    </w:p>
    <w:p>
      <w:pPr>
        <w:spacing w:before="0" w:after="80" w:line="240" w:lineRule="exact"/>
        <w:ind w:hanging="720" w:left="720"/>
        <w:jc w:val="both"/>
      </w:pPr>
      <w:bookmarkStart w:id="533"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33"/>
    </w:p>
    <w:p>
      <w:pPr>
        <w:spacing w:before="0" w:after="80" w:line="240" w:lineRule="exact"/>
        <w:ind w:hanging="720" w:left="720"/>
        <w:jc w:val="both"/>
      </w:pPr>
      <w:bookmarkStart w:id="534" w:name="KatzEtAl2025"/>
      <w:hyperlink w:anchor="KatzEtAl2025txt" w:history="1">
        <w:r>
          <w:rPr>
            <w:color w:val="1F3864"/>
            <w:u w:val="single"/>
          </w:rPr>
          <w:t xml:space="preserve">Katz, R., K. Jung, and F. Callorda. (2025). </w:t>
        </w:r>
      </w:hyperlink>
      <w:r>
        <w:t>“The Economic Impact of AI and Cloud Investment in Asia-Pacific.” Report prepared for the Asian Development Bank.</w:t>
      </w:r>
      <w:bookmarkEnd w:id="534"/>
    </w:p>
    <w:p>
      <w:pPr>
        <w:spacing w:before="0" w:after="80" w:line="240" w:lineRule="exact"/>
        <w:ind w:hanging="720" w:left="720"/>
        <w:jc w:val="both"/>
      </w:pPr>
      <w:bookmarkStart w:id="535"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35"/>
    </w:p>
    <w:p>
      <w:pPr>
        <w:spacing w:before="0" w:after="80" w:line="240" w:lineRule="exact"/>
        <w:ind w:hanging="720" w:left="720"/>
        <w:jc w:val="both"/>
      </w:pPr>
      <w:bookmarkStart w:id="536"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6"/>
    </w:p>
    <w:p>
      <w:pPr>
        <w:spacing w:before="0" w:after="80" w:line="240" w:lineRule="exact"/>
        <w:ind w:hanging="720" w:left="720"/>
        <w:jc w:val="both"/>
      </w:pPr>
      <w:bookmarkStart w:id="537"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7"/>
    </w:p>
    <w:p>
      <w:pPr>
        <w:spacing w:before="0" w:after="80" w:line="240" w:lineRule="exact"/>
        <w:ind w:hanging="720" w:left="720"/>
        <w:jc w:val="both"/>
      </w:pPr>
      <w:bookmarkStart w:id="538"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8"/>
    </w:p>
    <w:p>
      <w:pPr>
        <w:spacing w:before="0" w:after="80" w:line="240" w:lineRule="exact"/>
        <w:ind w:hanging="720" w:left="720"/>
        <w:jc w:val="both"/>
      </w:pPr>
      <w:bookmarkStart w:id="539"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8" w:name="WorldBank2024txt"/>
      <w:hyperlink w:anchor="WorldBank2024" w:history="1">
        <w:r>
          <w:rPr>
            <w:i/>
            <w:color w:val="1F3864"/>
            <w:u w:val="single"/>
          </w:rPr>
          <w:t xml:space="preserve">World Bank</w:t>
        </w:r>
      </w:hyperlink>
      <w:bookmarkEnd w:id="238"/>
      <w:r>
        <w:rPr>
          <w:i/>
        </w:rPr>
        <w:t xml:space="preserve"> Economic Review</w:t>
      </w:r>
      <w:r>
        <w:t>, 15(3): 451–479.</w:t>
      </w:r>
      <w:bookmarkEnd w:id="539"/>
    </w:p>
    <w:p>
      <w:pPr>
        <w:spacing w:before="0" w:after="80" w:line="240" w:lineRule="exact"/>
        <w:ind w:hanging="720" w:left="720"/>
        <w:jc w:val="both"/>
      </w:pPr>
      <w:bookmarkStart w:id="540"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40"/>
    </w:p>
    <w:p>
      <w:pPr>
        <w:spacing w:before="0" w:after="80" w:line="240" w:lineRule="exact"/>
        <w:ind w:hanging="720" w:left="720"/>
        <w:jc w:val="both"/>
      </w:pPr>
      <w:bookmarkStart w:id="541" w:name="NVIDIA2024"/>
      <w:r>
        <w:rPr>
          <w:color w:val="1F3864"/>
          <w:u w:val="single"/>
        </w:rPr>
        <w:t xml:space="preserve">NVIDIA. </w:t>
      </w:r>
      <w:r>
        <w:t xml:space="preserve">(2024). </w:t>
      </w:r>
      <w:r>
        <w:rPr>
          <w:i/>
        </w:rPr>
        <w:t>NVIDIA H100 Tensor Core GPU Datasheet</w:t>
      </w:r>
      <w:r>
        <w:t>. nvidia.com.</w:t>
      </w:r>
      <w:bookmarkEnd w:id="541"/>
    </w:p>
    <w:p>
      <w:pPr>
        <w:spacing w:before="0" w:after="80" w:line="240" w:lineRule="exact"/>
        <w:ind w:hanging="720" w:left="720"/>
        <w:jc w:val="both"/>
      </w:pPr>
      <w:bookmarkStart w:id="542"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42"/>
    </w:p>
    <w:p>
      <w:pPr>
        <w:spacing w:before="0" w:after="80" w:line="240" w:lineRule="exact"/>
        <w:ind w:hanging="720" w:left="720"/>
        <w:jc w:val="both"/>
      </w:pPr>
      <w:bookmarkStart w:id="543"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43"/>
    </w:p>
    <w:p>
      <w:pPr>
        <w:spacing w:before="0" w:after="80" w:line="240" w:lineRule="exact"/>
        <w:ind w:hanging="720" w:left="720"/>
        <w:jc w:val="both"/>
      </w:pPr>
      <w:bookmarkStart w:id="544" w:name="Sastry2024"/>
      <w:hyperlink w:anchor="Sastry2024txt" w:history="1">
        <w:r>
          <w:rPr>
            <w:color w:val="1F3864"/>
            <w:u w:val="single"/>
          </w:rPr>
          <w:t xml:space="preserve">Sastry, G., L. Heim, et al. (2024). </w:t>
        </w:r>
      </w:hyperlink>
      <w:r>
        <w:t>“Computing Power and the Governance of Artificial Intelligence.” arXiv:2402.08797.</w:t>
      </w:r>
      <w:bookmarkEnd w:id="544"/>
    </w:p>
    <w:p>
      <w:pPr>
        <w:spacing w:before="0" w:after="80" w:line="240" w:lineRule="exact"/>
        <w:ind w:hanging="720" w:left="720"/>
        <w:jc w:val="both"/>
      </w:pPr>
      <w:bookmarkStart w:id="545"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45"/>
    </w:p>
    <w:p>
      <w:pPr>
        <w:spacing w:before="0" w:after="80" w:line="240" w:lineRule="exact"/>
        <w:ind w:hanging="720" w:left="720"/>
        <w:jc w:val="both"/>
      </w:pPr>
      <w:bookmarkStart w:id="546" w:name="StraubEtAl2026"/>
      <w:hyperlink w:anchor="StraubEtAl2026txt" w:history="1">
        <w:r>
          <w:rPr>
            <w:color w:val="1F3864"/>
            <w:u w:val="single"/>
          </w:rPr>
          <w:t xml:space="preserve">Straub, S., et al. </w:t>
        </w:r>
      </w:hyperlink>
      <w:r>
        <w:t xml:space="preserve">(2026). </w:t>
      </w:r>
      <w:r>
        <w:rPr>
          <w:i/>
        </w:rPr>
        <w:t>Infrastructure Foundations: From Current Assets to Future Growth</w:t>
      </w:r>
      <w:r>
        <w:t xml:space="preserve">. Sustainable Infrastructure Series. Washington, DC: </w:t>
      </w:r>
      <w:bookmarkStart w:id="239" w:name="WorldBank2024txt"/>
      <w:hyperlink w:anchor="WorldBank2024" w:history="1">
        <w:r>
          <w:rPr>
            <w:color w:val="1F3864"/>
            <w:u w:val="single"/>
          </w:rPr>
          <w:t xml:space="preserve">World Bank</w:t>
        </w:r>
      </w:hyperlink>
      <w:bookmarkEnd w:id="239"/>
      <w:r>
        <w:t xml:space="preserve">.</w:t>
      </w:r>
      <w:bookmarkEnd w:id="546"/>
    </w:p>
    <w:p>
      <w:pPr>
        <w:spacing w:before="0" w:after="80" w:line="240" w:lineRule="exact"/>
        <w:ind w:hanging="720" w:left="720"/>
        <w:jc w:val="both"/>
      </w:pPr>
      <w:bookmarkStart w:id="547"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47"/>
    </w:p>
    <w:p>
      <w:pPr>
        <w:spacing w:before="0" w:after="80" w:line="240" w:lineRule="exact"/>
        <w:ind w:hanging="720" w:left="720"/>
        <w:jc w:val="both"/>
      </w:pPr>
      <w:bookmarkStart w:id="548"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8"/>
    </w:p>
    <w:p>
      <w:pPr>
        <w:spacing w:before="0" w:after="80" w:line="240" w:lineRule="exact"/>
        <w:ind w:hanging="720" w:left="720"/>
        <w:jc w:val="both"/>
      </w:pPr>
      <w:bookmarkStart w:id="549"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9"/>
    </w:p>
    <w:p>
      <w:pPr>
        <w:spacing w:before="0" w:after="80" w:line="240" w:lineRule="exact"/>
        <w:ind w:hanging="720" w:left="720"/>
        <w:jc w:val="both"/>
      </w:pPr>
      <w:bookmarkStart w:id="550"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50"/>
    </w:p>
    <w:p>
      <w:pPr>
        <w:spacing w:before="0" w:after="80" w:line="240" w:lineRule="exact"/>
        <w:ind w:hanging="720" w:left="720"/>
        <w:jc w:val="both"/>
      </w:pPr>
      <w:bookmarkStart w:id="551"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40" w:name="WorldBank2024txt"/>
      <w:hyperlink w:anchor="WorldBank2024" w:history="1">
        <w:r>
          <w:rPr>
            <w:color w:val="1F3864"/>
            <w:u w:val="single"/>
          </w:rPr>
          <w:t xml:space="preserve">World Bank</w:t>
        </w:r>
      </w:hyperlink>
      <w:bookmarkEnd w:id="240"/>
      <w:r>
        <w:t xml:space="preserve">.</w:t>
      </w:r>
      <w:bookmarkEnd w:id="551"/>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15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15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pᵢ*(k).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
        <w:gridCol w:w="720"/>
        <w:gridCol w:w="720"/>
        <w:gridCol w:w="720"/>
        <w:gridCol w:w="720"/>
        <w:gridCol w:w="720"/>
        <w:gridCol w:w="720"/>
        <w:gridCol w:w="720"/>
        <w:gridCol w:w="720"/>
        <w:gridCol w:w="720"/>
        <w:gridCol w:w="720"/>
        <w:gridCol w:w="72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(3) Bilateral</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(4) CR + host WACC</w:t>
            </w:r>
          </w:p>
        </w:tc>
      </w:tr>
      <w:tr>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r>
      <w:tr>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$1.56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$1.82</w:t>
            </w:r>
          </w:p>
        </w:tc>
        <w:tc>
          <w:tcPr>
            <w:tcW w:w="400" w:type="dxa"/>
          </w:tcPr>
          <w:p>
            <w:pPr>
              <w:jc w:val="center"/>
              <w:spacing w:before="10" w:after="10"/>
            </w:pPr>
            <w:r/>
            <w:r>
              <w:rPr>
                <w:rFonts w:ascii="Times New Roman" w:hAnsi="Times New Roman"/>
                <w:sz w:val="16"/>
              </w:rPr>
              <w:t>EE</w:t>
            </w:r>
          </w:p>
        </w:tc>
      </w:tr>
      <w:tr>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$1.57</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$1.85</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South Africa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UAE</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Chile</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Nigeria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Mexico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Israel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Portugal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France</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Latvia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Saudi Arabia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Luxembourg</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Spain</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India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Philippines</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Belgium</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Indonesia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Malta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Uzbekistan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Denmark</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Lithuania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$1.91</w:t>
            </w:r>
          </w:p>
        </w:tc>
        <w:tc>
          <w:tcPr>
            <w:tcW w:w="400" w:type="dxa"/>
          </w:tcPr>
          <w:p>
            <w:pPr>
              <w:jc w:val="center"/>
              <w:spacing w:before="10" w:after="10"/>
            </w:pPr>
            <w:r/>
            <w:r>
              <w:rPr>
                <w:rFonts w:ascii="Times New Roman" w:hAnsi="Times New Roman"/>
                <w:sz w:val="16"/>
              </w:rPr>
              <w:t>II</w:t>
            </w:r>
          </w:p>
        </w:tc>
      </w:tr>
      <w:tr>
        <w:tc>
          <w:tcPr>
            <w:tcBorders>
              <w:bottom w:val="double" w:sz="4" w:space="0" w:color="auto"/>
            </w:tcBorders>
            <w:tcW w:w="1100" w:type="dxa"/>
          </w:tcPr>
          <w:p>
            <w:pPr>
              <w:jc w:val="left"/>
              <w:spacing w:before="10" w:after="10"/>
            </w:pPr>
            <w:r/>
            <w:r>
              <w:rPr>
                <w:rFonts w:ascii="Times New Roman" w:hAnsi="Times New Roman"/>
                <w:sz w:val="16"/>
              </w:rPr>
              <w:t>Saudi Arabia</w:t>
            </w:r>
          </w:p>
        </w:tc>
        <w:tc>
          <w:tcPr>
            <w:tcBorders>
              <w:bottom w:val="double" w:sz="4" w:space="0" w:color="auto"/>
            </w:tcBorders>
            <w:tcW w:w="500" w:type="dxa"/>
          </w:tcPr>
          <w:p>
            <w:pPr>
              <w:jc w:val="center"/>
              <w:spacing w:before="10" w:after="10"/>
            </w:pPr>
            <w:r/>
            <w:r>
              <w:rPr>
                <w:rFonts w:ascii="Times New Roman" w:hAnsi="Times New Roman"/>
                <w:sz w:val="16"/>
              </w:rPr>
              <w:t>$1.62</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Georgia</w:t>
            </w:r>
          </w:p>
        </w:tc>
        <w:tc>
          <w:tcPr>
            <w:tcBorders>
              <w:bottom w:val="double" w:sz="4" w:space="0" w:color="auto"/>
            </w:tcBorders>
            <w:tcW w:w="500" w:type="dxa"/>
          </w:tcPr>
          <w:p>
            <w:pPr>
              <w:jc w:val="center"/>
              <w:spacing w:before="10" w:after="10"/>
            </w:pPr>
            <w:r/>
            <w:r>
              <w:rPr>
                <w:rFonts w:ascii="Times New Roman" w:hAnsi="Times New Roman"/>
                <w:sz w:val="16"/>
              </w:rPr>
              <w:t>$1.63</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Egypt</w:t>
            </w:r>
          </w:p>
        </w:tc>
        <w:tc>
          <w:tcPr>
            <w:tcBorders>
              <w:bottom w:val="double" w:sz="4" w:space="0" w:color="auto"/>
            </w:tcBorders>
            <w:tcW w:w="500" w:type="dxa"/>
          </w:tcPr>
          <w:p>
            <w:pPr>
              <w:jc w:val="center"/>
              <w:spacing w:before="10" w:after="10"/>
            </w:pPr>
            <w:r/>
            <w:r>
              <w:rPr>
                <w:rFonts w:ascii="Times New Roman" w:hAnsi="Times New Roman"/>
                <w:sz w:val="16"/>
              </w:rPr>
              <w:t>$1.70</w:t>
            </w:r>
          </w:p>
        </w:tc>
        <w:tc>
          <w:tcPr>
            <w:tcBorders>
              <w:bottom w:val="double" w:sz="4" w:space="0" w:color="auto"/>
            </w:tcBorders>
            <w:tcW w:w="400" w:type="dxa"/>
          </w:tcPr>
          <w:p>
            <w:pPr>
              <w:jc w:val="center"/>
              <w:spacing w:before="10" w:after="10"/>
            </w:pPr>
            <w:r/>
            <w:r>
              <w:rPr>
                <w:rFonts w:ascii="Times New Roman" w:hAnsi="Times New Roman"/>
                <w:sz w:val="16"/>
              </w:rPr>
              <w:t>DD</w:t>
            </w:r>
          </w:p>
        </w:tc>
        <w:tc>
          <w:tcPr>
            <w:tcBorders>
              <w:bottom w:val="double" w:sz="4" w:space="0" w:color="auto"/>
            </w:tcBorders>
            <w:tcW w:w="1100" w:type="dxa"/>
          </w:tcPr>
          <w:p>
            <w:pPr>
              <w:jc w:val="left"/>
              <w:spacing w:before="10" w:after="10"/>
            </w:pPr>
            <w:r/>
            <w:r>
              <w:rPr>
                <w:rFonts w:ascii="Times New Roman" w:hAnsi="Times New Roman"/>
                <w:sz w:val="16"/>
              </w:rPr>
              <w:t>Poland</w:t>
            </w:r>
          </w:p>
        </w:tc>
        <w:tc>
          <w:tcPr>
            <w:tcBorders>
              <w:bottom w:val="double" w:sz="4" w:space="0" w:color="auto"/>
            </w:tcBorders>
            <w:tcW w:w="500" w:type="dxa"/>
          </w:tcPr>
          <w:p>
            <w:pPr>
              <w:jc w:val="center"/>
              <w:spacing w:before="10" w:after="10"/>
            </w:pPr>
            <w:r/>
            <w:r>
              <w:rPr>
                <w:rFonts w:ascii="Times New Roman" w:hAnsi="Times New Roman"/>
                <w:sz w:val="16"/>
              </w:rPr>
              <w:t>$1.91</w:t>
            </w:r>
          </w:p>
        </w:tc>
        <w:tc>
          <w:tcPr>
            <w:tcBorders>
              <w:bottom w:val="double" w:sz="4" w:space="0" w:color="auto"/>
            </w:tcBorders>
            <w:tcW w:w="40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WACC: cost-recovery prices with hardware amortization computed at the host country’s weighted average cost of capital (HIC 8%, UMIC 12%, LMIC 15%, LIC 18%; annuity formula applied over a three-year GPU life). This column isolates the cost-of-capital channel that is otherwise absorbed by the uniform ρ in columns (1)–(3).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$0.053</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$0.056</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$0.062</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$0.071</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$0.092</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$0.098</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$0.099</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$0.130</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$0.107</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$0.108</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$0.117</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$0.121</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$0.124</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$0.133</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$0.134</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$0.147</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$0.137</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$0.166</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Pr>
                <w:b/>
              </w:rPr>
            </w:r>
            <w:r>
              <w:rPr>
                <w:sz w:val="16"/>
                <w:b/>
              </w:rPr>
              <w:t>$0.161</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$0.164</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$0.169</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$0.174</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$0.135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$0.173</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$0.167</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$0.163</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$0.191</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$0.182</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$0.190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Pr>
                <w:b/>
              </w:rPr>
            </w:r>
            <w:r>
              <w:rPr>
                <w:sz w:val="16"/>
                <w:b/>
              </w:rPr>
              <w:t>$0.152</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$0.192</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$0.203</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$0.218</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$0.220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$0.249</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b/>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b/>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11</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11</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11</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Ethiopia, Kosovo, Canada,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b/>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41" w:name="ADB2020txt"/>
      <w:hyperlink w:anchor="ADB2020" w:history="1">
        <w:r>
          <w:rPr>
            <w:color w:val="1F3864"/>
            <w:u w:val="single"/>
          </w:rPr>
          <w:t xml:space="preserve">ADB 2020</w:t>
        </w:r>
      </w:hyperlink>
      <w:bookmarkEnd w:id="241"/>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b/>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b/>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pPr>
        <w:pStyle w:val="Heading1"/>
      </w:pPr>
      <w:r>
        <w:rPr>
          <w:rFonts w:ascii="Times New Roman" w:hAnsi="Times New Roman"/>
          <w:b/>
          <w:color w:val="2F5496"/>
          <w:sz w:val="28"/>
        </w:rPr>
        <w:t>Appendix G: Symmetric LRMC Construction</w:t>
      </w:r>
    </w:p>
    <w:p>
      <w:pPr>
        <w:spacing w:before="0" w:after="160" w:line="360" w:lineRule="auto"/>
        <w:ind w:firstLine="0"/>
        <w:jc w:val="both"/>
      </w:pPr>
      <w:r>
        <w:t xml:space="preserve">The cost-recovery specification in earlier versions of this paper adjusted electricity prices downward for thirteen developing countries whose observed industrial tariffs reflect explicit fossil-fuel subsidies (</w:t>
      </w:r>
      <w:bookmarkStart w:id="242" w:name="IMF2025txt"/>
      <w:hyperlink w:anchor="IMF2025" w:history="1">
        <w:r>
          <w:rPr>
            <w:color w:val="1F3864"/>
            <w:u w:val="single"/>
          </w:rPr>
          <w:t xml:space="preserve">IMF 2025</w:t>
        </w:r>
      </w:hyperlink>
      <w:bookmarkEnd w:id="242"/>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of OECD economies. This appendix constructs a symmetric LRMC specification that corrects distortions on both sides.</w:t>
      </w:r>
    </w:p>
    <w:p>
      <w:pPr>
        <w:spacing w:before="0" w:after="160" w:line="360" w:lineRule="auto"/>
        <w:ind w:firstLine="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countries (Qatar, Saudi Arabia, United Arab Emirates) appear in both the developing-country subsidy set and the high-income non-OECD set; the IMF-based treatment dominates and no layering is applied.</w:t>
      </w:r>
    </w:p>
    <w:p>
      <w:pPr>
        <w:spacing w:before="0" w:after="160" w:line="360" w:lineRule="auto"/>
        <w:ind w:firstLine="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tonne (Korea K-ETS, Japanese carbon tax, Australian safeguard mechanism, Israel, Chile, Mexico, Turkey, Colombia) are set to zero.</w:t>
      </w:r>
    </w:p>
    <w:p>
      <w:pPr>
        <w:spacing w:before="0" w:after="160" w:line="360" w:lineRule="auto"/>
        <w:ind w:firstLine="0"/>
        <w:jc w:val="both"/>
      </w:pPr>
      <w:r>
        <w:t>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 receives $0.015/kWh reflecting the industrial–residential rate differential in excess of cost-of-service documented by Borenstein (2012) and Davis and Hausman (2016). Korea receives $0.020/kWh reflecting KEPCO industrial tariffs below cost-of-service (OECD Energy Policy Review). All other countries receive zero.</w:t>
      </w:r>
    </w:p>
    <w:p>
      <w:pPr>
        <w:spacing w:before="0" w:after="160" w:line="360" w:lineRule="auto"/>
        <w:ind w:firstLine="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pPr>
        <w:spacing w:before="0" w:after="160" w:line="360" w:lineRule="auto"/>
        <w:ind w:firstLine="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distortion are corrected.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Artuc for their constructive comments.</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