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v33  —  May 14, 2026  14:20</w:t>
      </w:r>
    </w:p>
    <w:p>
      <w:pPr>
        <w:spacing w:before="240" w:after="0" w:line="240" w:lineRule="auto"/>
        <w:ind w:firstLine="0"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of compute at unsubsidized prices, yet bilateral trust deficits between developing-country producers and OECD buyers eliminate nearly all of their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machine learning models (ML) has been doubling every six months since 2010 (</w:t>
      </w:r>
      <w:bookmarkStart w:id="200" w:name="SevillaEtAl2022txt"/>
      <w:hyperlink w:anchor="SevillaEtAl2022" w:history="1">
        <w:r>
          <w:rPr>
            <w:color w:val="1F3864"/>
            <w:u w:val="single"/>
          </w:rPr>
          <w:t xml:space="preserve">Sevilla et al. 2022</w:t>
        </w:r>
      </w:hyperlink>
      <w:bookmarkEnd w:id="200"/>
      <w:r>
        <w:t xml:space="preserve">). In 2024, data centers accounted for approximately 1.5% of global electricity demand, and that share is projected to exceed 3% by 2030 (</w:t>
      </w:r>
      <w:bookmarkStart w:id="243" w:name="IEA2025txt"/>
      <w:hyperlink w:anchor="IEA2025" w:history="1">
        <w:r>
          <w:rPr>
            <w:color w:val="1F3864"/>
            <w:u w:val="single"/>
          </w:rPr>
          <w:t xml:space="preserve">IEA 2025</w:t>
        </w:r>
      </w:hyperlink>
      <w:bookmarkEnd w:id="243"/>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as a part of a $4 billion investment (</w:t>
      </w:r>
      <w:bookmarkStart w:id="244" w:name="Firebird2026txt"/>
      <w:hyperlink w:anchor="Firebird2026" w:history="1">
        <w:r>
          <w:rPr>
            <w:color w:val="1F3864"/>
            <w:u w:val="single"/>
          </w:rPr>
          <w:t xml:space="preserve">Firebird 2026</w:t>
        </w:r>
      </w:hyperlink>
      <w:bookmarkEnd w:id="244"/>
      <w:r>
        <w:t xml:space="preserve">). Kenya, Saudi Arabia, and Malaysia have attracted billion-dollar investments in data centers.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Global data-center FDI reached over $310 billion in 2025 (</w:t>
      </w:r>
      <w:bookmarkStart w:id="245" w:name="AykutEtAl2026txt"/>
      <w:hyperlink w:anchor="AykutEtAl2026" w:history="1">
        <w:r>
          <w:rPr>
            <w:color w:val="1F3864"/>
            <w:u w:val="single"/>
          </w:rPr>
          <w:t xml:space="preserve">Aykut et al. 2026</w:t>
        </w:r>
      </w:hyperlink>
      <w:bookmarkEnd w:id="245"/>
      <w:r>
        <w:t xml:space="preserve">) and annual cloud computing exports exceed $9 billion (</w:t>
      </w:r>
      <w:bookmarkStart w:id="260" w:name="WorldBank2025txt"/>
      <w:hyperlink w:anchor="WorldBank2025" w:history="1">
        <w:r>
          <w:rPr>
            <w:color w:val="1F3864"/>
            <w:u w:val="single"/>
          </w:rPr>
          <w:t xml:space="preserve">World Bank 2025</w:t>
        </w:r>
      </w:hyperlink>
      <w:bookmarkEnd w:id="260"/>
      <w:r>
        <w:t xml:space="preserve">).</w:t>
      </w:r>
    </w:p>
    <w:p>
      <w:pPr>
        <w:spacing w:before="0" w:after="160" w:line="360" w:lineRule="auto"/>
        <w:ind w:firstLine="0"/>
        <w:jc w:val="both"/>
      </w:pPr>
      <w:r>
        <w:t xml:space="preserve">Recent work examines compute governance and the geography of AI infrastructure (</w:t>
      </w:r>
      <w:bookmarkStart w:id="246" w:name="Sastry2024txt"/>
      <w:hyperlink w:anchor="Sastry2024" w:history="1">
        <w:r>
          <w:rPr>
            <w:color w:val="1F3864"/>
            <w:u w:val="single"/>
          </w:rPr>
          <w:t xml:space="preserve">Sastry et al. 2024</w:t>
        </w:r>
      </w:hyperlink>
      <w:bookmarkEnd w:id="246"/>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7" w:name="Pilz2025txt"/>
      <w:hyperlink w:anchor="Pilz2025" w:history="1">
        <w:r>
          <w:rPr>
            <w:color w:val="1F3864"/>
            <w:u w:val="single"/>
          </w:rPr>
          <w:t xml:space="preserve">Pilz et al. 2025</w:t>
        </w:r>
      </w:hyperlink>
      <w:bookmarkEnd w:id="247"/>
      <w:r>
        <w:t xml:space="preserve">),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bookmarkStart w:id="203" w:name="Calcaterra2024txt"/>
      <w:hyperlink w:anchor="Calcaterra2024" w:history="1">
        <w:r>
          <w:rPr>
            <w:color w:val="1F3864"/>
            <w:u w:val="single"/>
          </w:rPr>
          <w:t xml:space="preserve">Calcaterra et al. 2024</w:t>
        </w:r>
      </w:hyperlink>
      <w:bookmarkEnd w:id="203"/>
      <w:r>
        <w:t xml:space="preserve">). For energy-rich developing countries, the limiting factor is not electricity cost but the institutional credibility needed to overcome bilateral trust deficits and compress the cost of capital.</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4" w:name="Goldfarb2018txt"/>
      <w:hyperlink w:anchor="Goldfarb2018" w:history="1">
        <w:r>
          <w:rPr>
            <w:color w:val="1F3864"/>
            <w:u w:val="single"/>
          </w:rPr>
          <w:t xml:space="preserve">Goldfarb and Trefler (2018)</w:t>
        </w:r>
      </w:hyperlink>
      <w:bookmarkEnd w:id="204"/>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8" w:name="Korinek2021txt"/>
      <w:hyperlink w:anchor="Korinek2021" w:history="1">
        <w:r>
          <w:rPr>
            <w:color w:val="1F3864"/>
            <w:u w:val="single"/>
          </w:rPr>
          <w:t xml:space="preserve">Korinek and Stiglitz (2021)</w:t>
        </w:r>
      </w:hyperlink>
      <w:bookmarkEnd w:id="248"/>
      <w:r>
        <w:t xml:space="preserve"> warn that developing countries may be left behind in the AI revolution; FLOP exporting offers a route in. The concept relates to </w:t>
      </w:r>
      <w:bookmarkStart w:id="267" w:name="Hausmann2007txt"/>
      <w:hyperlink w:anchor="Hausmann2007" w:history="1">
        <w:r>
          <w:rPr>
            <w:color w:val="1F3864"/>
            <w:u w:val="single"/>
          </w:rPr>
          <w:t xml:space="preserve">Hausmann et al. (2007)</w:t>
        </w:r>
      </w:hyperlink>
      <w:bookmarkEnd w:id="267"/>
      <w:r>
        <w:t xml:space="preserve"> on export composition and growth, and to </w:t>
      </w:r>
      <w:bookmarkStart w:id="261" w:name="Limao2001txt"/>
      <w:hyperlink w:anchor="Limao2001" w:history="1">
        <w:r>
          <w:rPr>
            <w:color w:val="1F3864"/>
            <w:u w:val="single"/>
          </w:rPr>
          <w:t xml:space="preserve">Limão and Venables (2001)</w:t>
        </w:r>
      </w:hyperlink>
      <w:bookmarkEnd w:id="261"/>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62" w:name="Liu2023txt"/>
      <w:hyperlink w:anchor="Liu2023" w:history="1">
        <w:r>
          <w:rPr>
            <w:color w:val="1F3864"/>
            <w:u w:val="single"/>
          </w:rPr>
          <w:t xml:space="preserve">Liu et al. (2023)</w:t>
        </w:r>
      </w:hyperlink>
      <w:bookmarkEnd w:id="262"/>
      <w:r>
        <w:t xml:space="preserve"> study data center placement under renewable energy constraints. In international trade theory, </w:t>
      </w:r>
      <w:bookmarkStart w:id="268" w:name="Brainard1997txt"/>
      <w:hyperlink w:anchor="Brainard1997" w:history="1">
        <w:r>
          <w:rPr>
            <w:color w:val="1F3864"/>
            <w:u w:val="single"/>
          </w:rPr>
          <w:t xml:space="preserve">Brainard (1997)</w:t>
        </w:r>
      </w:hyperlink>
      <w:bookmarkEnd w:id="268"/>
      <w:r>
        <w:t xml:space="preserve"> formalizes the proximity-concentration trade-off between serving a market locally and concentrating production abroad. </w:t>
      </w:r>
      <w:bookmarkStart w:id="249" w:name="HMY2004txt"/>
      <w:hyperlink w:anchor="HMY2004" w:history="1">
        <w:r>
          <w:rPr>
            <w:color w:val="1F3864"/>
            <w:u w:val="single"/>
          </w:rPr>
          <w:t xml:space="preserve">Helpman et al. (2004)</w:t>
        </w:r>
      </w:hyperlink>
      <w:bookmarkEnd w:id="249"/>
      <w:r>
        <w:t xml:space="preserve"> extend this to heterogeneous firms choosing between exporting and FDI.</w:t>
      </w:r>
    </w:p>
    <w:p>
      <w:pPr>
        <w:spacing w:before="0" w:after="160" w:line="360" w:lineRule="auto"/>
        <w:ind w:firstLine="0"/>
        <w:jc w:val="both"/>
      </w:pPr>
      <w:r>
        <w:t xml:space="preserve">On governance, </w:t>
      </w:r>
      <w:bookmarkStart w:id="250" w:name="Sastry2024txt"/>
      <w:hyperlink w:anchor="Sastry2024" w:history="1">
        <w:r>
          <w:rPr>
            <w:color w:val="1F3864"/>
            <w:u w:val="single"/>
          </w:rPr>
          <w:t xml:space="preserve">Sastry et al. (2024)</w:t>
        </w:r>
      </w:hyperlink>
      <w:bookmarkEnd w:id="250"/>
      <w:r>
        <w:t xml:space="preserve"> argue that compute is well-suited for regulation. </w:t>
      </w:r>
      <w:bookmarkStart w:id="207" w:name="Lehdonvirta2024txt"/>
      <w:hyperlink w:anchor="Lehdonvirta2024" w:history="1">
        <w:r>
          <w:rPr>
            <w:color w:val="1F3864"/>
            <w:u w:val="single"/>
          </w:rPr>
          <w:t xml:space="preserve">Lehdonvirta et al. (2024)</w:t>
        </w:r>
      </w:hyperlink>
      <w:bookmarkEnd w:id="207"/>
      <w:r>
        <w:t xml:space="preserve"> map a “Compute North” with training-capable hardware versus a “Compute South” limited to inference chips. </w:t>
      </w:r>
      <w:bookmarkStart w:id="263" w:name="Pilz2025txt"/>
      <w:hyperlink w:anchor="Pilz2025" w:history="1">
        <w:r>
          <w:rPr>
            <w:color w:val="1F3864"/>
            <w:u w:val="single"/>
          </w:rPr>
          <w:t xml:space="preserve">Pilz et al. (2025)</w:t>
        </w:r>
      </w:hyperlink>
      <w:bookmarkEnd w:id="263"/>
      <w:r>
        <w:t xml:space="preserve"> project that data center power demand could reach 327 GW by 2030. The </w:t>
      </w:r>
      <w:bookmarkStart w:id="269" w:name="WorldBank2025txt"/>
      <w:hyperlink w:anchor="WorldBank2025" w:history="1">
        <w:r>
          <w:rPr>
            <w:color w:val="1F3864"/>
            <w:u w:val="single"/>
          </w:rPr>
          <w:t xml:space="preserve">World Bank (2025)</w:t>
        </w:r>
      </w:hyperlink>
      <w:bookmarkEnd w:id="269"/>
      <w:r>
        <w:t xml:space="preserve"> documents the resulting divide (high-income countries hold 77% of colocation capacity), but does not offer a formal framework linking costs to trade patterns. </w:t>
      </w:r>
      <w:bookmarkStart w:id="251" w:name="Biglaiser2024txt"/>
      <w:hyperlink w:anchor="Biglaiser2024" w:history="1">
        <w:r>
          <w:rPr>
            <w:color w:val="1F3864"/>
            <w:u w:val="single"/>
          </w:rPr>
          <w:t xml:space="preserve">Biglaiser et al. (2024)</w:t>
        </w:r>
      </w:hyperlink>
      <w:bookmarkEnd w:id="251"/>
      <w:r>
        <w:t xml:space="preserve"> survey cloud market IO, and </w:t>
      </w:r>
      <w:bookmarkStart w:id="264" w:name="Stojkoski2024txt"/>
      <w:hyperlink w:anchor="Stojkoski2024" w:history="1">
        <w:r>
          <w:rPr>
            <w:color w:val="1F3864"/>
            <w:u w:val="single"/>
          </w:rPr>
          <w:t xml:space="preserve">Stojkoski et al. (2024)</w:t>
        </w:r>
      </w:hyperlink>
      <w:bookmarkEnd w:id="264"/>
      <w:r>
        <w:t xml:space="preserve"> estimate cloud export geography but treat services as homogeneous. Our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 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8" w:name="Heckscher1919txt"/>
      <w:hyperlink w:anchor="Heckscher1919" w:history="1">
        <w:r>
          <w:rPr>
            <w:color w:val="1F3864"/>
            <w:u w:val="single"/>
          </w:rPr>
          <w:t xml:space="preserve">Heckscher 1919</w:t>
        </w:r>
      </w:hyperlink>
      <w:bookmarkEnd w:id="208"/>
      <w:r>
        <w:t xml:space="preserve">, </w:t>
      </w:r>
      <w:bookmarkStart w:id="252" w:name="Ohlin1933txt"/>
      <w:hyperlink w:anchor="Ohlin1933" w:history="1">
        <w:r>
          <w:rPr>
            <w:color w:val="1F3864"/>
            <w:u w:val="single"/>
          </w:rPr>
          <w:t xml:space="preserve">Ohlin 1933</w:t>
        </w:r>
      </w:hyperlink>
      <w:bookmarkEnd w:id="252"/>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0" w:name="AndersonVanWincoop2003txt"/>
      <w:hyperlink w:anchor="AndersonVanWincoop2003" w:history="1">
        <w:r>
          <w:rPr>
            <w:color w:val="1F3864"/>
            <w:u w:val="single"/>
          </w:rPr>
          <w:t xml:space="preserve">Anderson and van Wincoop 2003</w:t>
        </w:r>
      </w:hyperlink>
      <w:bookmarkEnd w:id="210"/>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two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and </m:t>
        </m:r>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1" w:name="BenzJaax2020txt"/>
      <w:hyperlink w:anchor="BenzJaax2020" w:history="1">
        <w:r>
          <w:rPr>
            <w:color w:val="1F3864"/>
            <w:u w:val="single"/>
          </w:rPr>
          <w:t xml:space="preserve">Benz and Jaax (2020)</w:t>
        </w:r>
      </w:hyperlink>
      <w:bookmarkEnd w:id="211"/>
      <w:r>
        <w:t xml:space="preserve">.</w:t>
      </w:r>
    </w:p>
    <w:p>
      <w:pPr>
        <w:spacing w:before="0" w:after="80" w:line="360" w:lineRule="auto"/>
        <w:ind w:firstLine="0"/>
        <w:jc w:val="both"/>
      </w:pPr>
      <w:r>
        <w:t xml:space="preserve">The wedge dependence on bilateral institutional alignment follows from the incomplete-contracts theory (</w:t>
      </w:r>
      <w:bookmarkStart w:id="212" w:name="AndersonMarcouiller2002txt"/>
      <w:hyperlink w:anchor="AndersonMarcouiller2002" w:history="1">
        <w:r>
          <w:rPr>
            <w:color w:val="1F3864"/>
            <w:u w:val="single"/>
          </w:rPr>
          <w:t xml:space="preserve">Anderson and Marcouiller 2002</w:t>
        </w:r>
      </w:hyperlink>
      <w:bookmarkEnd w:id="212"/>
      <w:r>
        <w:t xml:space="preserve">, </w:t>
      </w:r>
      <w:bookmarkStart w:id="253" w:name="Antras2003txt"/>
      <w:hyperlink w:anchor="Antras2003" w:history="1">
        <w:r>
          <w:rPr>
            <w:color w:val="1F3864"/>
            <w:u w:val="single"/>
          </w:rPr>
          <w:t xml:space="preserve">Antràs 2003</w:t>
        </w:r>
      </w:hyperlink>
      <w:bookmarkEnd w:id="25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13" w:name="Krugman1991txt"/>
      <w:hyperlink w:anchor="Krugman1991" w:history="1">
        <w:r>
          <w:rPr>
            <w:color w:val="1F3864"/>
            <w:u w:val="single"/>
          </w:rPr>
          <w:t xml:space="preserve">Krugman 1991</w:t>
        </w:r>
      </w:hyperlink>
      <w:bookmarkEnd w:id="213"/>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4" w:name="Eurostat2025txt"/>
      <w:hyperlink w:anchor="Eurostat2025" w:history="1">
        <w:r>
          <w:rPr>
            <w:color w:val="1F3864"/>
            <w:u w:val="single"/>
          </w:rPr>
          <w:t xml:space="preserve">Eurostat 2025</w:t>
        </w:r>
      </w:hyperlink>
      <w:bookmarkEnd w:id="214"/>
      <w:r>
        <w:t xml:space="preserve">). For non-European countries, the prices are obtained from national regulator tariff sheets and secondary sources, including the U.S. Energy Information Administration (</w:t>
      </w:r>
      <w:bookmarkStart w:id="254" w:name="EIA2025txt"/>
      <w:hyperlink w:anchor="EIA2025" w:history="1">
        <w:r>
          <w:rPr>
            <w:color w:val="1F3864"/>
            <w:u w:val="single"/>
          </w:rPr>
          <w:t xml:space="preserve">EIA 2025</w:t>
        </w:r>
      </w:hyperlink>
      <w:bookmarkEnd w:id="254"/>
      <w:r>
        <w:t xml:space="preserve">) for the United States, KEPCO for South Korea,</w:t>
      </w:r>
      <w:r>
        <w:rPr>
          <w:rStyle w:val="FootnoteReference"/>
        </w:rPr>
        <w:footnoteReference w:id="24"/>
      </w:r>
      <w:r>
        <w:t xml:space="preserve"> national utility tariffs for Central Asian countries, and </w:t>
      </w:r>
      <w:bookmarkStart w:id="215" w:name="GlobalPetrolPrices2025txt"/>
      <w:hyperlink w:anchor="GlobalPetrolPrices2025" w:history="1">
        <w:r>
          <w:rPr>
            <w:color w:val="1F3864"/>
            <w:u w:val="single"/>
          </w:rPr>
          <w:t xml:space="preserve">GlobalPetrolPrices (2025)</w:t>
        </w:r>
      </w:hyperlink>
      <w:bookmarkEnd w:id="215"/>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6" w:name="Hersbach2020txt"/>
      <w:hyperlink w:anchor="Hersbach2020" w:history="1">
        <w:r>
          <w:rPr>
            <w:color w:val="1F3864"/>
            <w:u w:val="single"/>
          </w:rPr>
          <w:t xml:space="preserve">Hersbach et al. 2020</w:t>
        </w:r>
      </w:hyperlink>
      <w:bookmarkEnd w:id="216"/>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7" w:name="TurnerTownsend2025txt"/>
      <w:hyperlink w:anchor="TurnerTownsend2025" w:history="1">
        <w:r>
          <w:rPr>
            <w:color w:val="1F3864"/>
            <w:u w:val="single"/>
          </w:rPr>
          <w:t xml:space="preserve">Turner &amp; Townsend 2025</w:t>
        </w:r>
      </w:hyperlink>
      <w:bookmarkEnd w:id="217"/>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8" w:name="WonderNetwork2024txt"/>
      <w:hyperlink w:anchor="WonderNetwork2024" w:history="1">
        <w:r>
          <w:rPr>
            <w:color w:val="1F3864"/>
            <w:u w:val="single"/>
          </w:rPr>
          <w:t xml:space="preserve">WonderNetwork 2024</w:t>
        </w:r>
      </w:hyperlink>
      <w:bookmarkEnd w:id="218"/>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9" w:name="Cloudscene2025txt"/>
      <w:hyperlink w:anchor="Cloudscene2025" w:history="1">
        <w:r>
          <w:rPr>
            <w:color w:val="1F3864"/>
            <w:u w:val="single"/>
          </w:rPr>
          <w:t xml:space="preserve">Cloudscene 2025</w:t>
        </w:r>
      </w:hyperlink>
      <w:bookmarkEnd w:id="219"/>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0" w:name="Google2024txt"/>
      <w:hyperlink w:anchor="Google2024" w:history="1">
        <w:r>
          <w:rPr>
            <w:color w:val="1F3864"/>
            <w:u w:val="single"/>
          </w:rPr>
          <w:t xml:space="preserve">Google 2024</w:t>
        </w:r>
      </w:hyperlink>
      <w:bookmarkEnd w:id="220"/>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1" w:name="Liu2023txt"/>
      <w:hyperlink w:anchor="Liu2023" w:history="1">
        <w:r>
          <w:rPr>
            <w:color w:val="1F3864"/>
            <w:u w:val="single"/>
          </w:rPr>
          <w:t xml:space="preserve">Liu et al. 2023</w:t>
        </w:r>
      </w:hyperlink>
      <w:bookmarkEnd w:id="221"/>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2" w:name="UptimeInstitute2024txt"/>
      <w:hyperlink w:anchor="UptimeInstitute2024" w:history="1">
        <w:r>
          <w:rPr>
            <w:color w:val="1F3864"/>
            <w:u w:val="single"/>
          </w:rPr>
          <w:t xml:space="preserve">Uptime Institute 2024</w:t>
        </w:r>
      </w:hyperlink>
      <w:bookmarkEnd w:id="222"/>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3" w:name="Barroso2018txt"/>
      <w:hyperlink w:anchor="Barroso2018" w:history="1">
        <w:r>
          <w:rPr>
            <w:color w:val="1F3864"/>
            <w:u w:val="single"/>
          </w:rPr>
          <w:t xml:space="preserve">Barroso et al. 2018</w:t>
        </w:r>
      </w:hyperlink>
      <w:bookmarkEnd w:id="223"/>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4" w:name="Barroso2018txt"/>
      <w:hyperlink w:anchor="Barroso2018" w:history="1">
        <w:r>
          <w:rPr>
            <w:color w:val="1F3864"/>
            <w:u w:val="single"/>
          </w:rPr>
          <w:t xml:space="preserve">Barroso et al. 2018</w:t>
        </w:r>
      </w:hyperlink>
      <w:bookmarkEnd w:id="224"/>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5" w:name="Deloitte2020txt"/>
      <w:hyperlink w:anchor="Deloitte2020" w:history="1">
        <w:r>
          <w:rPr>
            <w:color w:val="1F3864"/>
            <w:u w:val="single"/>
          </w:rPr>
          <w:t xml:space="preserve">Deloitte and Google (2020)</w:t>
        </w:r>
      </w:hyperlink>
      <w:bookmarkEnd w:id="225"/>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226" w:name="BenzJaax2020txt"/>
      <w:hyperlink w:anchor="BenzJaax2020" w:history="1">
        <w:r>
          <w:rPr>
            <w:color w:val="1F3864"/>
            <w:u w:val="single"/>
          </w:rPr>
          <w:t xml:space="preserve">Benz and Jaax (2020)</w:t>
        </w:r>
      </w:hyperlink>
      <w:bookmarkEnd w:id="226"/>
      <w:r>
        <w:t xml:space="preserve">, and the headline results are reported alongside a uniform-premium robustness check in Table 3 to make the sensitivity to these weights transparent.</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7" w:name="Deloitte2025txt"/>
      <w:hyperlink w:anchor="Deloitte2025" w:history="1">
        <w:r>
          <w:rPr>
            <w:color w:val="1F3864"/>
            <w:u w:val="single"/>
          </w:rPr>
          <w:t xml:space="preserve">Deloitte 2025</w:t>
        </w:r>
      </w:hyperlink>
      <w:bookmarkEnd w:id="227"/>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55" w:name="IMF2025txt"/>
      <w:hyperlink w:anchor="IMF2025" w:history="1">
        <w:r>
          <w:rPr>
            <w:color w:val="1F3864"/>
            <w:u w:val="single"/>
          </w:rPr>
          <w:t xml:space="preserve">IMF 2025</w:t>
        </w:r>
      </w:hyperlink>
      <w:bookmarkEnd w:id="255"/>
      <w:r>
        <w:t xml:space="preserve">, </w:t>
      </w:r>
      <w:bookmarkStart w:id="228" w:name="Lazard2025txt"/>
      <w:hyperlink w:anchor="Lazard2025" w:history="1">
        <w:r>
          <w:rPr>
            <w:color w:val="1F3864"/>
            <w:u w:val="single"/>
          </w:rPr>
          <w:t xml:space="preserve">Lazard 2025</w:t>
        </w:r>
      </w:hyperlink>
      <w:bookmarkEnd w:id="228"/>
      <w:r>
        <w:t xml:space="preserve">). We apply this adjustment to 56 countries whose retail electricity prices fall below the estimated LRMC.</w:t>
      </w:r>
      <w:r>
        <w:rPr>
          <w:rStyle w:val="FootnoteReference"/>
        </w:rPr>
        <w:footnoteReference w:id="16"/>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67, 1,800 MW; Ireland: rank 83,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65" w:name="AykutEtAl2026txt"/>
      <w:hyperlink w:anchor="AykutEtAl2026" w:history="1">
        <w:r>
          <w:rPr>
            <w:color w:val="1F3864"/>
            <w:u w:val="single"/>
          </w:rPr>
          <w:t xml:space="preserve">Aykut et al. 2026</w:t>
        </w:r>
      </w:hyperlink>
      <w:bookmarkEnd w:id="265"/>
      <w:r>
        <w:t xml:space="preserve">). Moreover, most announced investment flows between geopolitical allies, are consistent with the bilateral sovereignty premium rather than cost alone determining where capacity is built (</w:t>
      </w:r>
      <w:bookmarkStart w:id="256" w:name="StraubEtAl2026txt"/>
      <w:hyperlink w:anchor="StraubEtAl2026" w:history="1">
        <w:r>
          <w:rPr>
            <w:color w:val="1F3864"/>
            <w:u w:val="single"/>
          </w:rPr>
          <w:t xml:space="preserve">Straub et al. 2026</w:t>
        </w:r>
      </w:hyperlink>
      <w:bookmarkEnd w:id="256"/>
      <w:r>
        <w:t xml:space="preserve">). Econometric evidence confirms that electricity costs are not a robust predictor of data center location once market size and regulatory environment are controlled for (</w:t>
      </w:r>
      <w:bookmarkStart w:id="229" w:name="CaouiSteck2025txt"/>
      <w:hyperlink w:anchor="CaouiSteck2025" w:history="1">
        <w:r>
          <w:rPr>
            <w:color w:val="1F3864"/>
            <w:u w:val="single"/>
          </w:rPr>
          <w:t xml:space="preserve">Caoui and Steck 2025</w:t>
        </w:r>
      </w:hyperlink>
      <w:bookmarkEnd w:id="229"/>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7" w:name="KatzEtAl2025txt"/>
      <w:hyperlink w:anchor="KatzEtAl2025" w:history="1">
        <w:r>
          <w:rPr>
            <w:color w:val="1F3864"/>
            <w:u w:val="single"/>
          </w:rPr>
          <w:t xml:space="preserve">Katz et al. 2025</w:t>
        </w:r>
      </w:hyperlink>
      <w:bookmarkEnd w:id="257"/>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30" w:name="AykutEtAl2026txt"/>
      <w:hyperlink w:anchor="AykutEtAl2026" w:history="1">
        <w:r>
          <w:rPr>
            <w:color w:val="1F3864"/>
            <w:u w:val="single"/>
          </w:rPr>
          <w:t xml:space="preserve">Aykut et al. 2026</w:t>
        </w:r>
      </w:hyperlink>
      <w:bookmarkEnd w:id="230"/>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(10%), Indonesia (0.9%), and Ukraine (0.5%), collectively accounting for 80% of cross-border inference demand (HHI = 0.265).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21 countries, accounting for 10%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31" w:name="AykutEtAl2026txt"/>
      <w:hyperlink w:anchor="AykutEtAl2026" w:history="1">
        <w:r>
          <w:rPr>
            <w:color w:val="1F3864"/>
            <w:u w:val="single"/>
          </w:rPr>
          <w:t xml:space="preserve">Aykut et al. 2026</w:t>
        </w:r>
      </w:hyperlink>
      <w:bookmarkEnd w:id="231"/>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Raising the uniform premium to 20% shifts five additional countries (including Croatia, Cyprus, and Germany) to domestic training production, reducing the share of global training demand available to foreign producers from 3% to 0%.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which range from roughly 0.2% to 10% depending on country size and specification (</w:t>
      </w:r>
      <w:bookmarkStart w:id="232" w:name="EatonKortum2002txt"/>
      <w:hyperlink w:anchor="EatonKortum2002" w:history="1">
        <w:r>
          <w:rPr>
            <w:color w:val="1F3864"/>
            <w:u w:val="single"/>
          </w:rPr>
          <w:t xml:space="preserve">Eaton and Kortum 2002</w:t>
        </w:r>
      </w:hyperlink>
      <w:bookmarkEnd w:id="232"/>
      <w:r>
        <w:t xml:space="preserve">, </w:t>
      </w:r>
      <w:bookmarkStart w:id="258" w:name="ACR2012txt"/>
      <w:hyperlink w:anchor="ACR2012" w:history="1">
        <w:r>
          <w:rPr>
            <w:color w:val="1F3864"/>
            <w:u w:val="single"/>
          </w:rPr>
          <w:t xml:space="preserve">Arkolakis et al. 2012</w:t>
        </w:r>
      </w:hyperlink>
      <w:bookmarkEnd w:id="258"/>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3" w:name="WorldBank2025txt"/>
      <w:hyperlink w:anchor="WorldBank2025" w:history="1">
        <w:r>
          <w:rPr>
            <w:color w:val="1F3864"/>
            <w:u w:val="single"/>
          </w:rPr>
          <w:t xml:space="preserve">World Bank (2025)</w:t>
        </w:r>
      </w:hyperlink>
      <w:bookmarkEnd w:id="233"/>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34" w:name="Chandramowli2024txt"/>
      <w:hyperlink w:anchor="Chandramowli2024" w:history="1">
        <w:r>
          <w:rPr>
            <w:color w:val="1F3864"/>
            <w:u w:val="single"/>
          </w:rPr>
          <w:t xml:space="preserve">Chandramowli et al. 2024</w:t>
        </w:r>
      </w:hyperlink>
      <w:bookmarkEnd w:id="234"/>
      <w:r>
        <w:t xml:space="preserve">), and AI data-center expansion alone could increase retail prices by 8–9 percent by 2030 (</w:t>
      </w:r>
      <w:bookmarkStart w:id="266" w:name="IMF2025txt"/>
      <w:hyperlink w:anchor="IMF2025" w:history="1">
        <w:r>
          <w:rPr>
            <w:color w:val="1F3864"/>
            <w:u w:val="single"/>
          </w:rPr>
          <w:t xml:space="preserve">IMF 2025</w:t>
        </w:r>
      </w:hyperlink>
      <w:bookmarkEnd w:id="266"/>
      <w:r>
        <w:t xml:space="preserve">). </w:t>
      </w:r>
      <w:bookmarkStart w:id="259" w:name="AlvarezEtAl2026txt"/>
      <w:hyperlink w:anchor="AlvarezEtAl2026" w:history="1">
        <w:r>
          <w:rPr>
            <w:color w:val="1F3864"/>
            <w:u w:val="single"/>
          </w:rPr>
          <w:t xml:space="preserve">Alvarez et al. (2026)</w:t>
        </w:r>
      </w:hyperlink>
      <w:bookmarkEnd w:id="259"/>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We expect our main finding to hold — both modifications cut against developing-country entrants — and leave the formal version to future work.</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235" w:name="Calcaterra2024txt"/>
      <w:hyperlink w:anchor="Calcaterra2024" w:history="1">
        <w:r>
          <w:rPr>
            <w:color w:val="1F3864"/>
            <w:u w:val="single"/>
          </w:rPr>
          <w:t xml:space="preserve">Calcaterra et al. 2024</w:t>
        </w:r>
      </w:hyperlink>
      <w:bookmarkEnd w:id="235"/>
      <w:r>
        <w:t xml:space="preserve">). Column (4) of </w:t>
      </w:r>
      <w:hyperlink w:anchor="Table3" w:history="1">
        <w:r>
          <w:rPr>
            <w:color w:val="1F3864"/>
            <w:u w:val="single"/>
          </w:rPr>
          <w:t xml:space="preserve">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pPr>
        <w:spacing w:before="0" w:after="160" w:line="360" w:lineRule="auto"/>
        <w:ind w:firstLine="0"/>
        <w:jc w:val="both"/>
      </w:pPr>
      <w:r>
        <w:t xml:space="preserve">This is the mechanism that links the cost-recovery and bilateral sovereignty specifications: institutional credibility matters for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paper treats spec (4) as the more realistic benchmark for questions about whether a developing country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236" w:name="AykutEtAl2026txt"/>
      <w:hyperlink w:anchor="AykutEtAl2026" w:history="1">
        <w:r>
          <w:rPr>
            <w:color w:val="1F3864"/>
            <w:u w:val="single"/>
          </w:rPr>
          <w:t xml:space="preserve">Aykut et al. 2026</w:t>
        </w:r>
      </w:hyperlink>
      <w:bookmarkEnd w:id="236"/>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VanWincoop2003"/>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J.E.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7" w:name="WorldBank2024txt"/>
      <w:hyperlink w:anchor="WorldBank2024" w:history="1">
        <w:r>
          <w:rPr>
            <w:color w:val="1F3864"/>
            <w:u w:val="single"/>
          </w:rPr>
          <w:t xml:space="preserve">World Bank</w:t>
        </w:r>
      </w:hyperlink>
      <w:bookmarkEnd w:id="237"/>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2"/>
    </w:p>
    <w:p>
      <w:pPr>
        <w:spacing w:before="0" w:after="80" w:line="240" w:lineRule="exact"/>
        <w:ind w:hanging="720" w:left="720"/>
        <w:jc w:val="both"/>
      </w:pPr>
      <w:bookmarkStart w:id="513"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13"/>
    </w:p>
    <w:p>
      <w:pPr>
        <w:spacing w:before="0" w:after="80" w:line="240" w:lineRule="exact"/>
        <w:ind w:hanging="720" w:left="720"/>
        <w:jc w:val="both"/>
      </w:pPr>
      <w:bookmarkStart w:id="514"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4"/>
    </w:p>
    <w:p>
      <w:pPr>
        <w:spacing w:before="0" w:after="80" w:line="240" w:lineRule="exact"/>
        <w:ind w:hanging="720" w:left="720"/>
        <w:jc w:val="both"/>
      </w:pPr>
      <w:bookmarkStart w:id="515"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5"/>
    </w:p>
    <w:p>
      <w:pPr>
        <w:spacing w:before="0" w:after="80" w:line="240" w:lineRule="exact"/>
        <w:ind w:hanging="720" w:left="720"/>
        <w:jc w:val="both"/>
      </w:pPr>
      <w:bookmarkStart w:id="516"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6"/>
    </w:p>
    <w:p>
      <w:pPr>
        <w:spacing w:before="0" w:after="80" w:line="240" w:lineRule="exact"/>
        <w:ind w:hanging="720" w:left="720"/>
        <w:jc w:val="both"/>
      </w:pPr>
      <w:bookmarkStart w:id="517" w:name="Deloitte2020"/>
      <w:hyperlink w:anchor="Deloitte2020txt" w:history="1">
        <w:r>
          <w:rPr>
            <w:color w:val="1F3864"/>
            <w:u w:val="single"/>
          </w:rPr>
          <w:t xml:space="preserve">Deloitte and Google. (2020). </w:t>
        </w:r>
      </w:hyperlink>
      <w:r>
        <w:t>“Milliseconds Make Millions.” Deloitte Digital and Google.</w:t>
      </w:r>
      <w:bookmarkEnd w:id="517"/>
    </w:p>
    <w:p>
      <w:pPr>
        <w:spacing w:before="0" w:after="80" w:line="240" w:lineRule="exact"/>
        <w:ind w:hanging="720" w:left="720"/>
        <w:jc w:val="both"/>
      </w:pPr>
      <w:bookmarkStart w:id="518"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8"/>
    </w:p>
    <w:p>
      <w:pPr>
        <w:spacing w:before="0" w:after="80" w:line="240" w:lineRule="exact"/>
        <w:ind w:hanging="720" w:left="720"/>
        <w:jc w:val="both"/>
      </w:pPr>
      <w:bookmarkStart w:id="519"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9"/>
    </w:p>
    <w:p>
      <w:pPr>
        <w:spacing w:before="0" w:after="80" w:line="240" w:lineRule="exact"/>
        <w:ind w:hanging="720" w:left="720"/>
        <w:jc w:val="both"/>
      </w:pPr>
      <w:bookmarkStart w:id="520"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0"/>
    </w:p>
    <w:p>
      <w:pPr>
        <w:spacing w:before="0" w:after="80" w:line="240" w:lineRule="exact"/>
        <w:ind w:hanging="720" w:left="720"/>
        <w:jc w:val="both"/>
      </w:pPr>
      <w:bookmarkStart w:id="521" w:name="EpochAI2024"/>
      <w:r>
        <w:rPr>
          <w:color w:val="1F3864"/>
          <w:u w:val="single"/>
        </w:rPr>
        <w:t xml:space="preserve">Epoch AI. (2024). </w:t>
      </w:r>
      <w:r>
        <w:t>“The Training Compute of Notable AI Models.” epochai.org.</w:t>
      </w:r>
      <w:bookmarkEnd w:id="521"/>
    </w:p>
    <w:p>
      <w:pPr>
        <w:spacing w:before="0" w:after="80" w:line="240" w:lineRule="exact"/>
        <w:ind w:hanging="720" w:left="720"/>
        <w:jc w:val="both"/>
      </w:pPr>
      <w:bookmarkStart w:id="522"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2"/>
    </w:p>
    <w:p>
      <w:pPr>
        <w:spacing w:before="0" w:after="80" w:line="240" w:lineRule="exact"/>
        <w:ind w:hanging="720" w:left="720"/>
        <w:jc w:val="both"/>
      </w:pPr>
      <w:bookmarkStart w:id="523"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3"/>
    </w:p>
    <w:p>
      <w:pPr>
        <w:spacing w:before="0" w:after="80" w:line="240" w:lineRule="exact"/>
        <w:ind w:hanging="720" w:left="720"/>
        <w:jc w:val="both"/>
      </w:pPr>
      <w:bookmarkStart w:id="524"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4"/>
    </w:p>
    <w:p>
      <w:pPr>
        <w:spacing w:before="0" w:after="80" w:line="240" w:lineRule="exact"/>
        <w:ind w:hanging="720" w:left="720"/>
        <w:jc w:val="both"/>
      </w:pPr>
      <w:bookmarkStart w:id="525"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5"/>
    </w:p>
    <w:p>
      <w:pPr>
        <w:spacing w:before="0" w:after="80" w:line="240" w:lineRule="exact"/>
        <w:ind w:hanging="720" w:left="720"/>
        <w:jc w:val="both"/>
      </w:pPr>
      <w:bookmarkStart w:id="526"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6"/>
    </w:p>
    <w:p>
      <w:pPr>
        <w:spacing w:before="0" w:after="80" w:line="240" w:lineRule="exact"/>
        <w:ind w:hanging="720" w:left="720"/>
        <w:jc w:val="both"/>
      </w:pPr>
      <w:bookmarkStart w:id="527" w:name="Google2024"/>
      <w:hyperlink w:anchor="Google2024txt" w:history="1">
        <w:r>
          <w:rPr>
            <w:color w:val="1F3864"/>
            <w:u w:val="single"/>
          </w:rPr>
          <w:t xml:space="preserve">Google. </w:t>
        </w:r>
      </w:hyperlink>
      <w:r>
        <w:t xml:space="preserve">(2024). </w:t>
      </w:r>
      <w:r>
        <w:rPr>
          <w:i/>
        </w:rPr>
        <w:t>2024 Environmental Report</w:t>
      </w:r>
      <w:r>
        <w:t>. sustainability.google.</w:t>
      </w:r>
      <w:bookmarkEnd w:id="527"/>
    </w:p>
    <w:p>
      <w:pPr>
        <w:spacing w:before="0" w:after="80" w:line="240" w:lineRule="exact"/>
        <w:ind w:hanging="720" w:left="720"/>
        <w:jc w:val="both"/>
      </w:pPr>
      <w:bookmarkStart w:id="528"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8"/>
    </w:p>
    <w:p>
      <w:pPr>
        <w:spacing w:before="0" w:after="80" w:line="240" w:lineRule="exact"/>
        <w:ind w:hanging="720" w:left="720"/>
        <w:jc w:val="both"/>
      </w:pPr>
      <w:bookmarkStart w:id="529"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9"/>
    </w:p>
    <w:p>
      <w:pPr>
        <w:spacing w:before="0" w:after="80" w:line="240" w:lineRule="exact"/>
        <w:ind w:hanging="720" w:left="720"/>
        <w:jc w:val="both"/>
      </w:pPr>
      <w:bookmarkStart w:id="530"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30"/>
    </w:p>
    <w:p>
      <w:pPr>
        <w:spacing w:before="0" w:after="80" w:line="240" w:lineRule="exact"/>
        <w:ind w:hanging="720" w:left="720"/>
        <w:jc w:val="both"/>
      </w:pPr>
      <w:bookmarkStart w:id="531"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1"/>
    </w:p>
    <w:p>
      <w:pPr>
        <w:spacing w:before="0" w:after="80" w:line="240" w:lineRule="exact"/>
        <w:ind w:hanging="720" w:left="720"/>
        <w:jc w:val="both"/>
      </w:pPr>
      <w:bookmarkStart w:id="532" w:name="IEA2025"/>
      <w:hyperlink w:anchor="IEA2025txt" w:history="1">
        <w:r>
          <w:rPr>
            <w:color w:val="1F3864"/>
            <w:u w:val="single"/>
          </w:rPr>
          <w:t xml:space="preserve">IEA. (2025). </w:t>
        </w:r>
      </w:hyperlink>
      <w:r>
        <w:t>“Energy Demand from AI.” Published online at iea.org.</w:t>
      </w:r>
      <w:bookmarkEnd w:id="532"/>
    </w:p>
    <w:p>
      <w:pPr>
        <w:spacing w:before="0" w:after="80" w:line="240" w:lineRule="exact"/>
        <w:ind w:hanging="720" w:left="720"/>
        <w:jc w:val="both"/>
      </w:pPr>
      <w:bookmarkStart w:id="53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3"/>
    </w:p>
    <w:p>
      <w:pPr>
        <w:spacing w:before="0" w:after="80" w:line="240" w:lineRule="exact"/>
        <w:ind w:hanging="720" w:left="720"/>
        <w:jc w:val="both"/>
      </w:pPr>
      <w:bookmarkStart w:id="534"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4"/>
    </w:p>
    <w:p>
      <w:pPr>
        <w:spacing w:before="0" w:after="80" w:line="240" w:lineRule="exact"/>
        <w:ind w:hanging="720" w:left="720"/>
        <w:jc w:val="both"/>
      </w:pPr>
      <w:bookmarkStart w:id="535"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5"/>
    </w:p>
    <w:p>
      <w:pPr>
        <w:spacing w:before="0" w:after="80" w:line="240" w:lineRule="exact"/>
        <w:ind w:hanging="720" w:left="720"/>
        <w:jc w:val="both"/>
      </w:pPr>
      <w:bookmarkStart w:id="536"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6"/>
    </w:p>
    <w:p>
      <w:pPr>
        <w:spacing w:before="0" w:after="80" w:line="240" w:lineRule="exact"/>
        <w:ind w:hanging="720" w:left="720"/>
        <w:jc w:val="both"/>
      </w:pPr>
      <w:bookmarkStart w:id="537"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7"/>
    </w:p>
    <w:p>
      <w:pPr>
        <w:spacing w:before="0" w:after="80" w:line="240" w:lineRule="exact"/>
        <w:ind w:hanging="720" w:left="720"/>
        <w:jc w:val="both"/>
      </w:pPr>
      <w:bookmarkStart w:id="538"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8"/>
    </w:p>
    <w:p>
      <w:pPr>
        <w:spacing w:before="0" w:after="80" w:line="240" w:lineRule="exact"/>
        <w:ind w:hanging="720" w:left="720"/>
        <w:jc w:val="both"/>
      </w:pPr>
      <w:bookmarkStart w:id="539"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8" w:name="WorldBank2024txt"/>
      <w:hyperlink w:anchor="WorldBank2024" w:history="1">
        <w:r>
          <w:rPr>
            <w:i/>
            <w:color w:val="1F3864"/>
            <w:u w:val="single"/>
          </w:rPr>
          <w:t xml:space="preserve">World Bank</w:t>
        </w:r>
      </w:hyperlink>
      <w:bookmarkEnd w:id="238"/>
      <w:r>
        <w:rPr>
          <w:i/>
        </w:rPr>
        <w:t xml:space="preserve"> Economic Review</w:t>
      </w:r>
      <w:r>
        <w:t>, 15(3): 451–479.</w:t>
      </w:r>
      <w:bookmarkEnd w:id="539"/>
    </w:p>
    <w:p>
      <w:pPr>
        <w:spacing w:before="0" w:after="80" w:line="240" w:lineRule="exact"/>
        <w:ind w:hanging="720" w:left="720"/>
        <w:jc w:val="both"/>
      </w:pPr>
      <w:bookmarkStart w:id="540"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40"/>
    </w:p>
    <w:p>
      <w:pPr>
        <w:spacing w:before="0" w:after="80" w:line="240" w:lineRule="exact"/>
        <w:ind w:hanging="720" w:left="720"/>
        <w:jc w:val="both"/>
      </w:pPr>
      <w:bookmarkStart w:id="541" w:name="NVIDIA2024"/>
      <w:r>
        <w:rPr>
          <w:color w:val="1F3864"/>
          <w:u w:val="single"/>
        </w:rPr>
        <w:t xml:space="preserve">NVIDIA. </w:t>
      </w:r>
      <w:r>
        <w:t xml:space="preserve">(2024). </w:t>
      </w:r>
      <w:r>
        <w:rPr>
          <w:i/>
        </w:rPr>
        <w:t>NVIDIA H100 Tensor Core GPU Datasheet</w:t>
      </w:r>
      <w:r>
        <w:t>. nvidia.com.</w:t>
      </w:r>
      <w:bookmarkEnd w:id="541"/>
    </w:p>
    <w:p>
      <w:pPr>
        <w:spacing w:before="0" w:after="80" w:line="240" w:lineRule="exact"/>
        <w:ind w:hanging="720" w:left="720"/>
        <w:jc w:val="both"/>
      </w:pPr>
      <w:bookmarkStart w:id="542"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2"/>
    </w:p>
    <w:p>
      <w:pPr>
        <w:spacing w:before="0" w:after="80" w:line="240" w:lineRule="exact"/>
        <w:ind w:hanging="720" w:left="720"/>
        <w:jc w:val="both"/>
      </w:pPr>
      <w:bookmarkStart w:id="543"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43"/>
    </w:p>
    <w:p>
      <w:pPr>
        <w:spacing w:before="0" w:after="80" w:line="240" w:lineRule="exact"/>
        <w:ind w:hanging="720" w:left="720"/>
        <w:jc w:val="both"/>
      </w:pPr>
      <w:bookmarkStart w:id="544" w:name="Sastry2024"/>
      <w:hyperlink w:anchor="Sastry2024txt" w:history="1">
        <w:r>
          <w:rPr>
            <w:color w:val="1F3864"/>
            <w:u w:val="single"/>
          </w:rPr>
          <w:t xml:space="preserve">Sastry, G., L. Heim, et al. (2024). </w:t>
        </w:r>
      </w:hyperlink>
      <w:r>
        <w:t>“Computing Power and the Governance of Artificial Intelligence.” arXiv:2402.08797.</w:t>
      </w:r>
      <w:bookmarkEnd w:id="544"/>
    </w:p>
    <w:p>
      <w:pPr>
        <w:spacing w:before="0" w:after="80" w:line="240" w:lineRule="exact"/>
        <w:ind w:hanging="720" w:left="720"/>
        <w:jc w:val="both"/>
      </w:pPr>
      <w:bookmarkStart w:id="545" w:name="SevillaEtAl2022"/>
      <w:hyperlink w:anchor="SevillaEtAl2022txt" w:history="1">
        <w:r>
          <w:rPr>
            <w:color w:val="1F3864"/>
            <w:u w:val="single"/>
          </w:rPr>
          <w:t xml:space="preserve">Sevilla, J., L. Heim, A. Ho, T. Besiroglu, M. Hobbhahn, and P. Villalobos. (2022). </w:t>
        </w:r>
      </w:hyperlink>
      <w:r>
        <w:t>“Compute Trends across Three Eras of Machine Learning.” arXiv Working Paper No. 2202.05924. https://doi.org/10.48550/arXiv.2202.05924.</w:t>
      </w:r>
      <w:bookmarkEnd w:id="545"/>
    </w:p>
    <w:p>
      <w:pPr>
        <w:spacing w:before="0" w:after="80" w:line="240" w:lineRule="exact"/>
        <w:ind w:hanging="720" w:left="720"/>
        <w:jc w:val="both"/>
      </w:pPr>
      <w:bookmarkStart w:id="546"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6"/>
    </w:p>
    <w:p>
      <w:pPr>
        <w:spacing w:before="0" w:after="80" w:line="240" w:lineRule="exact"/>
        <w:ind w:hanging="720" w:left="720"/>
        <w:jc w:val="both"/>
      </w:pPr>
      <w:bookmarkStart w:id="547"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9" w:name="WorldBank2024txt"/>
      <w:hyperlink w:anchor="WorldBank2024" w:history="1">
        <w:r>
          <w:rPr>
            <w:color w:val="1F3864"/>
            <w:u w:val="single"/>
          </w:rPr>
          <w:t xml:space="preserve">World Bank</w:t>
        </w:r>
      </w:hyperlink>
      <w:bookmarkEnd w:id="239"/>
      <w:r>
        <w:t xml:space="preserve">.</w:t>
      </w:r>
      <w:bookmarkEnd w:id="547"/>
    </w:p>
    <w:p>
      <w:pPr>
        <w:spacing w:before="0" w:after="80" w:line="240" w:lineRule="exact"/>
        <w:ind w:hanging="720" w:left="720"/>
        <w:jc w:val="both"/>
      </w:pPr>
      <w:bookmarkStart w:id="54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8"/>
    </w:p>
    <w:p>
      <w:pPr>
        <w:spacing w:before="0" w:after="80" w:line="240" w:lineRule="exact"/>
        <w:ind w:hanging="720" w:left="720"/>
        <w:jc w:val="both"/>
      </w:pPr>
      <w:bookmarkStart w:id="549"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9"/>
    </w:p>
    <w:p>
      <w:pPr>
        <w:spacing w:before="0" w:after="80" w:line="240" w:lineRule="exact"/>
        <w:ind w:hanging="720" w:left="720"/>
        <w:jc w:val="both"/>
      </w:pPr>
      <w:bookmarkStart w:id="550"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50"/>
    </w:p>
    <w:p>
      <w:pPr>
        <w:spacing w:before="0" w:after="80" w:line="240" w:lineRule="exact"/>
        <w:ind w:hanging="720" w:left="720"/>
        <w:jc w:val="both"/>
      </w:pPr>
      <w:bookmarkStart w:id="551"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1"/>
    </w:p>
    <w:p>
      <w:pPr>
        <w:spacing w:before="0" w:after="80" w:line="240" w:lineRule="exact"/>
        <w:ind w:hanging="720" w:left="720"/>
        <w:jc w:val="both"/>
      </w:pPr>
      <w:bookmarkStart w:id="552"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40" w:name="WorldBank2024txt"/>
      <w:hyperlink w:anchor="WorldBank2024" w:history="1">
        <w:r>
          <w:rPr>
            <w:color w:val="1F3864"/>
            <w:u w:val="single"/>
          </w:rPr>
          <w:t xml:space="preserve">World Bank</w:t>
        </w:r>
      </w:hyperlink>
      <w:bookmarkEnd w:id="240"/>
      <w:r>
        <w:t xml:space="preserve">.</w:t>
      </w:r>
      <w:bookmarkEnd w:id="552"/>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is otherwise absorbed by the uniform ρ in columns (1)–(3).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1" w:name="ADB2020txt"/>
      <w:hyperlink w:anchor="ADB2020" w:history="1">
        <w:r>
          <w:rPr>
            <w:color w:val="1F3864"/>
            <w:u w:val="single"/>
          </w:rPr>
          <w:t xml:space="preserve">ADB 2020</w:t>
        </w:r>
      </w:hyperlink>
      <w:bookmarkEnd w:id="241"/>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pPr>
        <w:pStyle w:val="Heading1"/>
      </w:pPr>
      <w:r>
        <w:rPr>
          <w:rFonts w:ascii="Times New Roman" w:hAnsi="Times New Roman"/>
          <w:b/>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2" w:name="IMF2025txt"/>
      <w:hyperlink w:anchor="IMF2025" w:history="1">
        <w:r>
          <w:rPr>
            <w:color w:val="1F3864"/>
            <w:u w:val="single"/>
          </w:rPr>
          <w:t xml:space="preserve">IMF 2025</w:t>
        </w:r>
      </w:hyperlink>
      <w:bookmarkEnd w:id="242"/>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Hausman (2016). Korea receives $0.020/kWh reflecting KEPCO industrial tariffs below cost-of-service (OECD Energy Policy Review). All other countries receive zero.</w:t>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