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21, 2026  23:36</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both"/>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1584"/>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3168"/>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1584"/>
          </w:tcPr>
          <w:p>
            <w:pPr>
              <w:jc w:val="center"/>
              <w:spacing w:before="10" w:after="10"/>
            </w:pPr>
            <w:r/>
            <w:r>
              <w:rPr>
                <w:rFonts w:ascii="Times New Roman" w:hAnsi="Times New Roman"/>
                <w:sz w:val="20"/>
              </w:rPr>
              <w:t>0.700 kW</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1584"/>
          </w:tcPr>
          <w:p>
            <w:pPr>
              <w:jc w:val="center"/>
              <w:spacing w:before="10" w:after="10"/>
            </w:pPr>
            <w:r/>
            <w:r>
              <w:rPr>
                <w:rFonts w:ascii="Times New Roman" w:hAnsi="Times New Roman"/>
                <w:sz w:val="20"/>
              </w:rPr>
              <w:t>$25,000</w:t>
            </w:r>
          </w:p>
        </w:tc>
        <w:tc>
          <w:tcPr>
            <w:tcW w:type="dxa" w:w="3168"/>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1584"/>
          </w:tcPr>
          <w:p>
            <w:pPr>
              <w:jc w:val="center"/>
              <w:spacing w:before="10" w:after="10"/>
            </w:pPr>
            <w:r/>
            <w:r>
              <w:rPr>
                <w:rFonts w:ascii="Times New Roman" w:hAnsi="Times New Roman"/>
                <w:sz w:val="20"/>
              </w:rPr>
              <w:t>3 years</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1584"/>
          </w:tcPr>
          <w:p>
            <w:pPr>
              <w:jc w:val="center"/>
              <w:spacing w:before="10" w:after="10"/>
            </w:pPr>
            <w:r/>
            <w:r>
              <w:rPr>
                <w:rFonts w:ascii="Times New Roman" w:hAnsi="Times New Roman"/>
                <w:sz w:val="20"/>
              </w:rPr>
              <w:t>0.70</w:t>
            </w:r>
          </w:p>
        </w:tc>
        <w:tc>
          <w:tcPr>
            <w:tcW w:type="dxa" w:w="3168"/>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1584"/>
          </w:tcPr>
          <w:p>
            <w:pPr>
              <w:jc w:val="center"/>
              <w:spacing w:before="10" w:after="10"/>
            </w:pPr>
            <w:r/>
            <w:r>
              <w:rPr>
                <w:rFonts w:ascii="Times New Roman" w:hAnsi="Times New Roman"/>
                <w:sz w:val="20"/>
              </w:rPr>
              <w:t>8766 hr/yr</w:t>
            </w:r>
          </w:p>
        </w:tc>
        <w:tc>
          <w:tcPr>
            <w:tcW w:type="dxa" w:w="3168"/>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1584"/>
          </w:tcPr>
          <w:p>
            <w:pPr>
              <w:jc w:val="center"/>
              <w:spacing w:before="10" w:after="10"/>
            </w:pPr>
            <w:r/>
            <w:r>
              <w:rPr>
                <w:rFonts w:ascii="Times New Roman" w:hAnsi="Times New Roman"/>
                <w:sz w:val="20"/>
              </w:rPr>
              <w:t>$1.36/hr</w:t>
            </w:r>
          </w:p>
        </w:tc>
        <w:tc>
          <w:tcPr>
            <w:tcW w:type="dxa" w:w="3168"/>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1584"/>
          </w:tcPr>
          <w:p>
            <w:pPr>
              <w:jc w:val="center"/>
              <w:spacing w:before="10" w:after="10"/>
            </w:pPr>
            <w:r/>
            <w:r>
              <w:rPr>
                <w:rFonts w:ascii="Times New Roman" w:hAnsi="Times New Roman"/>
                <w:sz w:val="20"/>
              </w:rPr>
              <w:t>$0.15/hr</w:t>
            </w:r>
          </w:p>
        </w:tc>
        <w:tc>
          <w:tcPr>
            <w:tcW w:type="dxa" w:w="3168"/>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1584"/>
          </w:tcPr>
          <w:p>
            <w:pPr>
              <w:jc w:val="center"/>
              <w:spacing w:before="10" w:after="10"/>
            </w:pPr>
            <w:r/>
            <w:r>
              <w:rPr>
                <w:rFonts w:ascii="Times New Roman" w:hAnsi="Times New Roman"/>
                <w:sz w:val="20"/>
              </w:rPr>
              <w:t>1.08</w:t>
            </w:r>
          </w:p>
        </w:tc>
        <w:tc>
          <w:tcPr>
            <w:tcW w:type="dxa" w:w="3168"/>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1584"/>
          </w:tcPr>
          <w:p>
            <w:pPr>
              <w:jc w:val="center"/>
              <w:spacing w:before="10" w:after="10"/>
            </w:pPr>
            <w:r/>
            <w:r>
              <w:rPr>
                <w:rFonts w:ascii="Times New Roman" w:hAnsi="Times New Roman"/>
                <w:sz w:val="20"/>
              </w:rPr>
              <w:t>0.015 per C</w:t>
            </w:r>
          </w:p>
        </w:tc>
        <w:tc>
          <w:tcPr>
            <w:tcW w:type="dxa" w:w="3168"/>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1584"/>
          </w:tcPr>
          <w:p>
            <w:pPr>
              <w:jc w:val="center"/>
              <w:spacing w:before="10" w:after="10"/>
            </w:pPr>
            <w:r/>
            <w:r>
              <w:rPr>
                <w:rFonts w:ascii="Times New Roman" w:hAnsi="Times New Roman"/>
                <w:sz w:val="20"/>
              </w:rPr>
              <w:t>15 C</w:t>
            </w:r>
          </w:p>
        </w:tc>
        <w:tc>
          <w:tcPr>
            <w:tcW w:type="dxa" w:w="3168"/>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1584"/>
          </w:tcPr>
          <w:p>
            <w:pPr>
              <w:jc w:val="center"/>
              <w:spacing w:before="10" w:after="10"/>
            </w:pPr>
            <w:r/>
            <w:r>
              <w:rPr>
                <w:rFonts w:ascii="Times New Roman" w:hAnsi="Times New Roman"/>
                <w:sz w:val="20"/>
              </w:rPr>
              <w:t>15 years</w:t>
            </w:r>
          </w:p>
        </w:tc>
        <w:tc>
          <w:tcPr>
            <w:tcW w:type="dxa" w:w="3168"/>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1584"/>
          </w:tcPr>
          <w:p>
            <w:pPr>
              <w:jc w:val="center"/>
              <w:spacing w:before="10" w:after="10"/>
            </w:pPr>
            <w:r/>
            <w:r>
              <w:rPr>
                <w:rFonts w:ascii="Times New Roman" w:hAnsi="Times New Roman"/>
                <w:sz w:val="20"/>
              </w:rPr>
              <w:t>0.0008 per ms</w:t>
            </w:r>
          </w:p>
        </w:tc>
        <w:tc>
          <w:tcPr>
            <w:tcW w:type="dxa" w:w="3168"/>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1584"/>
          </w:tcPr>
          <w:p>
            <w:pPr>
              <w:jc w:val="center"/>
              <w:spacing w:before="10" w:after="10"/>
            </w:pPr>
            <w:r/>
            <w:r>
              <w:rPr>
                <w:rFonts w:ascii="Times New Roman" w:hAnsi="Times New Roman"/>
                <w:sz w:val="20"/>
              </w:rPr>
              <w:t>0.10</w:t>
            </w:r>
          </w:p>
        </w:tc>
        <w:tc>
          <w:tcPr>
            <w:tcW w:type="dxa" w:w="3168"/>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1584"/>
          </w:tcPr>
          <w:p>
            <w:pPr>
              <w:jc w:val="center"/>
              <w:spacing w:before="10" w:after="10"/>
            </w:pPr>
            <w:r/>
            <w:r>
              <w:rPr>
                <w:rFonts w:ascii="Times New Roman" w:hAnsi="Times New Roman"/>
                <w:sz w:val="20"/>
              </w:rPr>
              <w:t>0.50</w:t>
            </w:r>
          </w:p>
        </w:tc>
        <w:tc>
          <w:tcPr>
            <w:tcW w:type="dxa" w:w="3168"/>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1584"/>
          </w:tcPr>
          <w:p>
            <w:pPr>
              <w:jc w:val="center"/>
              <w:spacing w:before="10" w:after="10"/>
            </w:pPr>
            <w:r/>
            <w:r>
              <w:rPr>
                <w:rFonts w:ascii="Times New Roman" w:hAnsi="Times New Roman"/>
                <w:sz w:val="20"/>
              </w:rPr>
              <w:t>6×10¹⁰ GPU-hr/yr</w:t>
            </w:r>
          </w:p>
        </w:tc>
        <w:tc>
          <w:tcPr>
            <w:tcW w:type="dxa" w:w="3168"/>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1584"/>
            <w:tcBorders>
              <w:bottom w:val="double" w:sz="4" w:space="0" w:color="auto"/>
            </w:tcBorders>
          </w:tcPr>
          <w:p>
            <w:pPr>
              <w:jc w:val="center"/>
              <w:spacing w:before="10" w:after="10"/>
            </w:pPr>
            <w:r/>
            <w:r>
              <w:rPr>
                <w:rFonts w:ascii="Times New Roman" w:hAnsi="Times New Roman"/>
                <w:sz w:val="20"/>
              </w:rPr>
              <w:t>1.00</w:t>
            </w:r>
          </w:p>
        </w:tc>
        <w:tc>
          <w:tcPr>
            <w:tcW w:type="dxa" w:w="3168"/>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both"/>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United States of 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Chile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Switzerland</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Malaysia</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Singapore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both"/>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20 countries shown by specification (3);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both"/>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both"/>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both"/>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both"/>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