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April 09, 2026  21:40</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Heckscher–Ohlin: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0" w:name="KatzEtAl2025txt"/>
      <w:hyperlink w:anchor="KatzEtAl2025" w:history="1">
        <w:r>
          <w:rPr>
            <w:color w:val="1F3864"/>
            <w:u w:val="single"/>
          </w:rPr>
          <w:t xml:space="preserve">Katz et al. 2025</w:t>
        </w:r>
      </w:hyperlink>
      <w:bookmarkEnd w:id="250"/>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5" w:name="AykutEtAl2026txt"/>
      <w:hyperlink w:anchor="AykutEtAl2026" w:history="1">
        <w:r>
          <w:rPr>
            <w:color w:val="1F3864"/>
            <w:u w:val="single"/>
          </w:rPr>
          <w:t xml:space="preserve">Aykut et al. 2026</w:t>
        </w:r>
      </w:hyperlink>
      <w:bookmarkEnd w:id="225"/>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6" w:name="AykutEtAl2026txt"/>
      <w:hyperlink w:anchor="AykutEtAl2026" w:history="1">
        <w:r>
          <w:rPr>
            <w:color w:val="1F3864"/>
            <w:u w:val="single"/>
          </w:rPr>
          <w:t xml:space="preserve">Aykut et al. 2026</w:t>
        </w:r>
      </w:hyperlink>
      <w:bookmarkEnd w:id="226"/>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(Greenland)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fall between roughly 0.2% and 10% depending on country size and specification (</w:t>
      </w:r>
      <w:bookmarkStart w:id="227" w:name="EatonKortum2002txt"/>
      <w:hyperlink w:anchor="EatonKortum2002" w:history="1">
        <w:r>
          <w:rPr>
            <w:color w:val="1F3864"/>
            <w:u w:val="single"/>
          </w:rPr>
          <w:t xml:space="preserve">Eaton and Kortum 2002</w:t>
        </w:r>
      </w:hyperlink>
      <w:bookmarkEnd w:id="227"/>
      <w:r>
        <w:t xml:space="preserve">, </w:t>
      </w:r>
      <w:bookmarkStart w:id="251" w:name="ACR2012txt"/>
      <w:hyperlink w:anchor="ACR2012" w:history="1">
        <w:r>
          <w:rPr>
            <w:color w:val="1F3864"/>
            <w:u w:val="single"/>
          </w:rPr>
          <w:t xml:space="preserve">Arkolakis et al. 2012</w:t>
        </w:r>
      </w:hyperlink>
      <w:bookmarkEnd w:id="25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8" w:name="WorldBank2025txt"/>
      <w:hyperlink w:anchor="WorldBank2025" w:history="1">
        <w:r>
          <w:rPr>
            <w:color w:val="1F3864"/>
            <w:u w:val="single"/>
          </w:rPr>
          <w:t xml:space="preserve">World Bank (2025)</w:t>
        </w:r>
      </w:hyperlink>
      <w:bookmarkEnd w:id="228"/>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2" w:name="IMF2025txt"/>
      <w:hyperlink w:anchor="IMF2025" w:history="1">
        <w:r>
          <w:rPr>
            <w:color w:val="1F3864"/>
            <w:u w:val="single"/>
          </w:rPr>
          <w:t xml:space="preserve">IMF 2025</w:t>
        </w:r>
      </w:hyperlink>
      <w:bookmarkEnd w:id="252"/>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