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v34  —  June 13, 2026  00:02</w:t>
      </w:r>
    </w:p>
    <w:p>
      <w:pPr>
        <w:spacing w:before="240" w:after="0" w:line="240" w:lineRule="auto"/>
        <w:ind w:firstLine="0" w:left="720" w:right="720"/>
        <w:jc w:val="both"/>
      </w:pPr>
      <w:r>
        <w:rPr>
          <w:b/>
        </w:rPr>
        <w:t>Abstract</w:t>
      </w:r>
      <w:r>
        <w:t>: Can energy-rich developing countries convert cheap electricity into AI compute exports? We develop a capacity-constrained Ricardian model of compute trade in which training is globally tradable, but inference incurs a latency cost, and delivered prices carry a bilateral sovereignty premium. Calibrated across 85 countries, the model places several developing economies among the cheapest producers at unsubsidized prices, yet bilateral trust deficits between developing-country producers and OECD buyers eliminate nearly all exports. Globally priced hardware compresses the cross-country cost spread to 12–20 percent, making compute the easiest tradable sector to enter on cost grounds and the most sensitive to small policy frictions: the binding export constraint is institutional credibility, not the price of power. Credibility is priced twice, once in the sovereignty premium buyers charge and once in the cost of capital locally financed operators pay. The levers that move these prices are financial and regulatory.</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machine learning models (ML) has been doubling every six months since 2010 (</w:t>
      </w:r>
      <w:bookmarkStart w:id="200" w:name="SevillaEtAl2022txt"/>
      <w:hyperlink w:anchor="SevillaEtAl2022" w:history="1">
        <w:r>
          <w:rPr>
            <w:color w:val="1F3864"/>
            <w:u w:val="single"/>
          </w:rPr>
          <w:t xml:space="preserve">Sevilla et al. 2022</w:t>
        </w:r>
      </w:hyperlink>
      <w:bookmarkEnd w:id="200"/>
      <w:r>
        <w:t xml:space="preserve">). In 2024, data centers accounted for approximately 1.5 percent of global electricity demand, and that share is projected to exceed 3 percent by 2030 (</w:t>
      </w:r>
      <w:bookmarkStart w:id="244" w:name="IEA2025txt"/>
      <w:hyperlink w:anchor="IEA2025" w:history="1">
        <w:r>
          <w:rPr>
            <w:color w:val="1F3864"/>
            <w:u w:val="single"/>
          </w:rPr>
          <w:t xml:space="preserve">IEA 2025</w:t>
        </w:r>
      </w:hyperlink>
      <w:bookmarkEnd w:id="244"/>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where FLOP denotes floating-point operations, the standard unit of computational work. Rather than exporting raw energy resources, countries can use cheap electricity to produce higher-value-added digital services. For resource-rich developing countries, FLOP exporting offers a route up the value chain.</w:t>
      </w:r>
    </w:p>
    <w:p>
      <w:pPr>
        <w:spacing w:before="0" w:after="160" w:line="360" w:lineRule="auto"/>
        <w:ind w:firstLine="0"/>
        <w:jc w:val="both"/>
      </w:pPr>
      <w:r>
        <w:t xml:space="preserve">Several megaprojects confirm that FLOP exporting is technically and commercially feasible. Armenia is deploying 50,000 GPUs as a part of a $4 billion investment (</w:t>
      </w:r>
      <w:bookmarkStart w:id="245" w:name="Firebird2026txt"/>
      <w:hyperlink w:anchor="Firebird2026" w:history="1">
        <w:r>
          <w:rPr>
            <w:color w:val="1F3864"/>
            <w:u w:val="single"/>
          </w:rPr>
          <w:t xml:space="preserve">Firebird 2026</w:t>
        </w:r>
      </w:hyperlink>
      <w:bookmarkEnd w:id="245"/>
      <w:r>
        <w:t xml:space="preserve">). Kenya, Saudi Arabia, and Malaysia have attracted billion-dollar investments in data centers.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Global data-center FDI reached over $310 billion in 2025 (</w:t>
      </w:r>
      <w:bookmarkStart w:id="246" w:name="AykutEtAl2026txt"/>
      <w:hyperlink w:anchor="AykutEtAl2026" w:history="1">
        <w:r>
          <w:rPr>
            <w:color w:val="1F3864"/>
            <w:u w:val="single"/>
          </w:rPr>
          <w:t xml:space="preserve">Aykut et al. 2026</w:t>
        </w:r>
      </w:hyperlink>
      <w:bookmarkEnd w:id="246"/>
      <w:r>
        <w:t xml:space="preserve">) and annual cloud computing exports exceed $9 billion (</w:t>
      </w:r>
      <w:bookmarkStart w:id="261" w:name="WorldBank2025txt"/>
      <w:hyperlink w:anchor="WorldBank2025" w:history="1">
        <w:r>
          <w:rPr>
            <w:color w:val="1F3864"/>
            <w:u w:val="single"/>
          </w:rPr>
          <w:t xml:space="preserve">World Bank 2025</w:t>
        </w:r>
      </w:hyperlink>
      <w:bookmarkEnd w:id="261"/>
      <w:r>
        <w:t xml:space="preserve">).</w:t>
      </w:r>
    </w:p>
    <w:p>
      <w:pPr>
        <w:spacing w:before="0" w:after="160" w:line="360" w:lineRule="auto"/>
        <w:ind w:firstLine="0"/>
        <w:jc w:val="both"/>
      </w:pPr>
      <w:r>
        <w:t xml:space="preserve">Yet cost advantage and investment do not line up. The cheapest potential producer in our calibration, Kyrgyzstan, has 5 MW of installed capacity and virtually no data-center FDI, while the largest recipients among developing economies (Malaysia, India, Brazil) sit in the middle of the cost ranking (</w:t>
      </w:r>
      <w:bookmarkStart w:id="202" w:name="AykutEtAl2026txt"/>
      <w:hyperlink w:anchor="AykutEtAl2026" w:history="1">
        <w:r>
          <w:rPr>
            <w:color w:val="1F3864"/>
            <w:u w:val="single"/>
          </w:rPr>
          <w:t xml:space="preserve">Aykut et al. 2026</w:t>
        </w:r>
      </w:hyperlink>
      <w:bookmarkEnd w:id="202"/>
      <w:r>
        <w:t xml:space="preserve">). Cheap electricity is not converting into compute exports. We ask why, and what would have to change.</w:t>
      </w:r>
    </w:p>
    <w:p>
      <w:pPr>
        <w:spacing w:before="0" w:after="160" w:line="360" w:lineRule="auto"/>
        <w:ind w:firstLine="0"/>
        <w:jc w:val="both"/>
      </w:pPr>
      <w:r>
        <w:t xml:space="preserve">Recent work examines compute governance and the geography of AI infrastructure (</w:t>
      </w:r>
      <w:bookmarkStart w:id="247" w:name="Sastry2024txt"/>
      <w:hyperlink w:anchor="Sastry2024" w:history="1">
        <w:r>
          <w:rPr>
            <w:color w:val="1F3864"/>
            <w:u w:val="single"/>
          </w:rPr>
          <w:t xml:space="preserve">Sastry et al. 2024</w:t>
        </w:r>
      </w:hyperlink>
      <w:bookmarkEnd w:id="247"/>
      <w:r>
        <w:t xml:space="preserve">, </w:t>
      </w:r>
      <w:bookmarkStart w:id="203" w:name="Lehdonvirta2024txt"/>
      <w:hyperlink w:anchor="Lehdonvirta2024" w:history="1">
        <w:r>
          <w:rPr>
            <w:color w:val="1F3864"/>
            <w:u w:val="single"/>
          </w:rPr>
          <w:t xml:space="preserve">Lehdonvirta et al. 2024</w:t>
        </w:r>
      </w:hyperlink>
      <w:bookmarkEnd w:id="203"/>
      <w:r>
        <w:t xml:space="preserve">, </w:t>
      </w:r>
      <w:bookmarkStart w:id="248" w:name="Pilz2025txt"/>
      <w:hyperlink w:anchor="Pilz2025" w:history="1">
        <w:r>
          <w:rPr>
            <w:color w:val="1F3864"/>
            <w:u w:val="single"/>
          </w:rPr>
          <w:t xml:space="preserve">Pilz et al. 2025</w:t>
        </w:r>
      </w:hyperlink>
      <w:bookmarkEnd w:id="248"/>
      <w:r>
        <w:t xml:space="preserve">), but no formal trade model of compute has been developed. This paper offers the first such model and makes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 xml:space="preserve">Cheap power and good cooling are not enough. Hardware amortization is about 90 percent of unit cost and priced globally, so the cross-country cost spread is only 12–20 percent, narrow enough for institutional frictions to overturn. Several developing countries rank among the cheapest producers under cost-recovery pricing, yet in the bilateral sovereignty specification trust deficits with OECD buyers eliminate nearly all their exports. The cost of capital does the rest. A 10-percentage-point WACC gap between OECD hyperscalers (8 percent) and locally financed developing-country operators (18 percent) adds about $0.29/GPU-hour to unit cost. That is roughly four times the electricity-cost spread across the top twenty producers (</w:t>
      </w:r>
      <w:bookmarkStart w:id="204" w:name="Calcaterra2024txt"/>
      <w:hyperlink w:anchor="Calcaterra2024" w:history="1">
        <w:r>
          <w:rPr>
            <w:color w:val="1F3864"/>
            <w:u w:val="single"/>
          </w:rPr>
          <w:t xml:space="preserve">Calcaterra et al. 2024</w:t>
        </w:r>
      </w:hyperlink>
      <w:bookmarkEnd w:id="204"/>
      <w:r>
        <w:t xml:space="preserve">). Both frictions price the same shortfall, institutional credibility. Section 8 sets out the policy levers.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9" w:name="Korinek2021txt"/>
      <w:hyperlink w:anchor="Korinek2021" w:history="1">
        <w:r>
          <w:rPr>
            <w:color w:val="1F3864"/>
            <w:u w:val="single"/>
          </w:rPr>
          <w:t xml:space="preserve">Korinek and Stiglitz (2021)</w:t>
        </w:r>
      </w:hyperlink>
      <w:bookmarkEnd w:id="249"/>
      <w:r>
        <w:t xml:space="preserve"> warn that developing countries may be left behind in the AI revolution; FLOP exporting offers a route in. The concept relates to </w:t>
      </w:r>
      <w:bookmarkStart w:id="268" w:name="Hausmann2007txt"/>
      <w:hyperlink w:anchor="Hausmann2007" w:history="1">
        <w:r>
          <w:rPr>
            <w:color w:val="1F3864"/>
            <w:u w:val="single"/>
          </w:rPr>
          <w:t xml:space="preserve">Hausmann et al. (2007)</w:t>
        </w:r>
      </w:hyperlink>
      <w:bookmarkEnd w:id="268"/>
      <w:r>
        <w:t xml:space="preserve"> on export composition and growth, and to </w:t>
      </w:r>
      <w:bookmarkStart w:id="262" w:name="Limao2001txt"/>
      <w:hyperlink w:anchor="Limao2001" w:history="1">
        <w:r>
          <w:rPr>
            <w:color w:val="1F3864"/>
            <w:u w:val="single"/>
          </w:rPr>
          <w:t xml:space="preserve">Limão and Venables (2001)</w:t>
        </w:r>
      </w:hyperlink>
      <w:bookmarkEnd w:id="262"/>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6" w:name="Blinder2006txt"/>
      <w:hyperlink w:anchor="Blinder2006" w:history="1">
        <w:r>
          <w:rPr>
            <w:color w:val="1F3864"/>
            <w:u w:val="single"/>
          </w:rPr>
          <w:t xml:space="preserve">Blinder 2006</w:t>
        </w:r>
      </w:hyperlink>
      <w:bookmarkEnd w:id="206"/>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63" w:name="Liu2023txt"/>
      <w:hyperlink w:anchor="Liu2023" w:history="1">
        <w:r>
          <w:rPr>
            <w:color w:val="1F3864"/>
            <w:u w:val="single"/>
          </w:rPr>
          <w:t xml:space="preserve">Liu et al. (2023)</w:t>
        </w:r>
      </w:hyperlink>
      <w:bookmarkEnd w:id="263"/>
      <w:r>
        <w:t xml:space="preserve"> study data center placement under renewable energy constraints. In international trade theory, </w:t>
      </w:r>
      <w:bookmarkStart w:id="269" w:name="Brainard1997txt"/>
      <w:hyperlink w:anchor="Brainard1997" w:history="1">
        <w:r>
          <w:rPr>
            <w:color w:val="1F3864"/>
            <w:u w:val="single"/>
          </w:rPr>
          <w:t xml:space="preserve">Brainard (1997)</w:t>
        </w:r>
      </w:hyperlink>
      <w:bookmarkEnd w:id="269"/>
      <w:r>
        <w:t xml:space="preserve"> formalizes the proximity-concentration trade-off between serving a market locally and concentrating production abroad. </w:t>
      </w:r>
      <w:bookmarkStart w:id="250" w:name="HMY2004txt"/>
      <w:hyperlink w:anchor="HMY2004" w:history="1">
        <w:r>
          <w:rPr>
            <w:color w:val="1F3864"/>
            <w:u w:val="single"/>
          </w:rPr>
          <w:t xml:space="preserve">Helpman et al. (2004)</w:t>
        </w:r>
      </w:hyperlink>
      <w:bookmarkEnd w:id="250"/>
      <w:r>
        <w:t xml:space="preserve"> extend this to heterogeneous firms choosing between exporting and FDI.</w:t>
      </w:r>
    </w:p>
    <w:p>
      <w:pPr>
        <w:spacing w:before="0" w:after="160" w:line="360" w:lineRule="auto"/>
        <w:ind w:firstLine="0"/>
        <w:jc w:val="both"/>
      </w:pPr>
      <w:r>
        <w:t xml:space="preserve">On governance, </w:t>
      </w:r>
      <w:bookmarkStart w:id="251" w:name="Sastry2024txt"/>
      <w:hyperlink w:anchor="Sastry2024" w:history="1">
        <w:r>
          <w:rPr>
            <w:color w:val="1F3864"/>
            <w:u w:val="single"/>
          </w:rPr>
          <w:t xml:space="preserve">Sastry et al. (2024)</w:t>
        </w:r>
      </w:hyperlink>
      <w:bookmarkEnd w:id="251"/>
      <w:r>
        <w:t xml:space="preserve"> argue that compute is well-suited for regulation. </w:t>
      </w:r>
      <w:bookmarkStart w:id="208" w:name="Lehdonvirta2024txt"/>
      <w:hyperlink w:anchor="Lehdonvirta2024" w:history="1">
        <w:r>
          <w:rPr>
            <w:color w:val="1F3864"/>
            <w:u w:val="single"/>
          </w:rPr>
          <w:t xml:space="preserve">Lehdonvirta et al. (2024)</w:t>
        </w:r>
      </w:hyperlink>
      <w:bookmarkEnd w:id="208"/>
      <w:r>
        <w:t xml:space="preserve"> map a “Compute North” with training-capable hardware versus a “Compute South” limited to inference chips. </w:t>
      </w:r>
      <w:bookmarkStart w:id="264" w:name="Pilz2025txt"/>
      <w:hyperlink w:anchor="Pilz2025" w:history="1">
        <w:r>
          <w:rPr>
            <w:color w:val="1F3864"/>
            <w:u w:val="single"/>
          </w:rPr>
          <w:t xml:space="preserve">Pilz et al. (2025)</w:t>
        </w:r>
      </w:hyperlink>
      <w:bookmarkEnd w:id="264"/>
      <w:r>
        <w:t xml:space="preserve"> project that data center power demand could reach 327 GW by 2030. The </w:t>
      </w:r>
      <w:bookmarkStart w:id="270" w:name="WorldBank2025txt"/>
      <w:hyperlink w:anchor="WorldBank2025" w:history="1">
        <w:r>
          <w:rPr>
            <w:color w:val="1F3864"/>
            <w:u w:val="single"/>
          </w:rPr>
          <w:t xml:space="preserve">World Bank (2025)</w:t>
        </w:r>
      </w:hyperlink>
      <w:bookmarkEnd w:id="270"/>
      <w:r>
        <w:t xml:space="preserve"> documents the resulting divide (high-income countries hold 77 percent of colocation capacity), but does not offer a formal framework linking costs to trade patterns. </w:t>
      </w:r>
      <w:bookmarkStart w:id="252" w:name="Biglaiser2024txt"/>
      <w:hyperlink w:anchor="Biglaiser2024" w:history="1">
        <w:r>
          <w:rPr>
            <w:color w:val="1F3864"/>
            <w:u w:val="single"/>
          </w:rPr>
          <w:t xml:space="preserve">Biglaiser et al. (2024)</w:t>
        </w:r>
      </w:hyperlink>
      <w:bookmarkEnd w:id="252"/>
      <w:r>
        <w:t xml:space="preserve"> survey cloud market IO, and </w:t>
      </w:r>
      <w:bookmarkStart w:id="265" w:name="Stojkoski2024txt"/>
      <w:hyperlink w:anchor="Stojkoski2024" w:history="1">
        <w:r>
          <w:rPr>
            <w:color w:val="1F3864"/>
            <w:u w:val="single"/>
          </w:rPr>
          <w:t xml:space="preserve">Stojkoski et al. (2024)</w:t>
        </w:r>
      </w:hyperlink>
      <w:bookmarkEnd w:id="265"/>
      <w:r>
        <w:t xml:space="preserve"> estimate cloud export geography but treat services as homogeneous. Our model adds supply-side cost structure and a training–inference distinction.</w:t>
      </w:r>
    </w:p>
    <w:p>
      <w:pPr>
        <w:pStyle w:val="Heading1"/>
      </w:pPr>
      <w:r>
        <w:rPr>
          <w:rFonts w:ascii="Times New Roman" w:hAnsi="Times New Roman"/>
          <w:b/>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 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The cost structure above is Ricardian (country-specific production costs driven by technology and input prices), but the justification for resource-rich comparative advantage is closer to the Heckscher–Ohlin: countries export goods intensive in their abundant factors (</w:t>
      </w:r>
      <w:bookmarkStart w:id="209" w:name="Heckscher1919txt"/>
      <w:hyperlink w:anchor="Heckscher1919" w:history="1">
        <w:r>
          <w:rPr>
            <w:color w:val="1F3864"/>
            <w:u w:val="single"/>
          </w:rPr>
          <w:t xml:space="preserve">Heckscher 1919</w:t>
        </w:r>
      </w:hyperlink>
      <w:bookmarkEnd w:id="209"/>
      <w:r>
        <w:t xml:space="preserve">, </w:t>
      </w:r>
      <w:bookmarkStart w:id="253" w:name="Ohlin1933txt"/>
      <w:hyperlink w:anchor="Ohlin1933" w:history="1">
        <w:r>
          <w:rPr>
            <w:color w:val="1F3864"/>
            <w:u w:val="single"/>
          </w:rPr>
          <w:t xml:space="preserve">Ohlin 1933</w:t>
        </w:r>
      </w:hyperlink>
      <w:bookmarkEnd w:id="253"/>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the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 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r>
                <m:rPr>
                  <m:sty m:val="p"/>
                </m:rPr>
                <w:rPr>
                  <w:rFonts w:ascii="Cambria Math" w:hAnsi="Cambria Math"/>
                </w:rPr>
                <m:t xml:space="preserve">∞ if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otherwise}.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bodies of literature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1" w:name="AndersonVanWincoop2003txt"/>
      <w:hyperlink w:anchor="AndersonVanWincoop2003" w:history="1">
        <w:r>
          <w:rPr>
            <w:color w:val="1F3864"/>
            <w:u w:val="single"/>
          </w:rPr>
          <w:t xml:space="preserve">Anderson and van Wincoop 2003</w:t>
        </w:r>
      </w:hyperlink>
      <w:bookmarkEnd w:id="211"/>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two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and </m:t>
        </m:r>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2" w:name="BenzJaax2020txt"/>
      <w:hyperlink w:anchor="BenzJaax2020" w:history="1">
        <w:r>
          <w:rPr>
            <w:color w:val="1F3864"/>
            <w:u w:val="single"/>
          </w:rPr>
          <w:t xml:space="preserve">Benz and Jaax (2020)</w:t>
        </w:r>
      </w:hyperlink>
      <w:bookmarkEnd w:id="212"/>
      <w:r>
        <w:t xml:space="preserve">.</w:t>
      </w:r>
    </w:p>
    <w:p>
      <w:pPr>
        <w:spacing w:before="0" w:after="80" w:line="360" w:lineRule="auto"/>
        <w:ind w:firstLine="0"/>
        <w:jc w:val="both"/>
      </w:pPr>
      <w:r>
        <w:t xml:space="preserve">The wedge dependence on bilateral institutional alignment follows from the incomplete-contracts theory (</w:t>
      </w:r>
      <w:bookmarkStart w:id="213" w:name="AndersonMarcouiller2002txt"/>
      <w:hyperlink w:anchor="AndersonMarcouiller2002" w:history="1">
        <w:r>
          <w:rPr>
            <w:color w:val="1F3864"/>
            <w:u w:val="single"/>
          </w:rPr>
          <w:t xml:space="preserve">Anderson and Marcouiller 2002</w:t>
        </w:r>
      </w:hyperlink>
      <w:bookmarkEnd w:id="213"/>
      <w:r>
        <w:t xml:space="preserve">, </w:t>
      </w:r>
      <w:bookmarkStart w:id="254" w:name="Antras2003txt"/>
      <w:hyperlink w:anchor="Antras2003" w:history="1">
        <w:r>
          <w:rPr>
            <w:color w:val="1F3864"/>
            <w:u w:val="single"/>
          </w:rPr>
          <w:t xml:space="preserve">Antràs 2003</w:t>
        </w:r>
      </w:hyperlink>
      <w:bookmarkEnd w:id="254"/>
      <w:r>
        <w:t xml:space="preserve">). Compute trade is contract-intensive: the buyer hands sensitive data to a remote seller and relies on the seller’s jurisdiction to enforce confidentiality, service-level obligations, and, in many applications, the buyer’s ability to retrieve or delete its data. In countries where these contracts are weakly enforceable, the buyer discounts the seller’s effective price, and the size of the discount varies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 </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14" w:name="Krugman1991txt"/>
      <w:hyperlink w:anchor="Krugman1991" w:history="1">
        <w:r>
          <w:rPr>
            <w:color w:val="1F3864"/>
            <w:u w:val="single"/>
          </w:rPr>
          <w:t xml:space="preserve">Krugman 1991</w:t>
        </w:r>
      </w:hyperlink>
      <w:bookmarkEnd w:id="214"/>
      <w:r>
        <w:t xml:space="preserve">). The cloud compute market is dominated by three firms (AWS, Azure, Google Cloud) whose location decisions reflect economies of scale and self-reinforcing colocation dynamics that the competitive framework abstracts away from.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5" w:name="Eurostat2025txt"/>
      <w:hyperlink w:anchor="Eurostat2025" w:history="1">
        <w:r>
          <w:rPr>
            <w:color w:val="1F3864"/>
            <w:u w:val="single"/>
          </w:rPr>
          <w:t xml:space="preserve">Eurostat 2025</w:t>
        </w:r>
      </w:hyperlink>
      <w:bookmarkEnd w:id="215"/>
      <w:r>
        <w:t xml:space="preserve">). For non-European countries, the prices are obtained from national regulator tariff sheets and secondary sources, including the U.S. Energy Information Administration (</w:t>
      </w:r>
      <w:bookmarkStart w:id="255" w:name="EIA2025txt"/>
      <w:hyperlink w:anchor="EIA2025" w:history="1">
        <w:r>
          <w:rPr>
            <w:color w:val="1F3864"/>
            <w:u w:val="single"/>
          </w:rPr>
          <w:t xml:space="preserve">EIA 2025</w:t>
        </w:r>
      </w:hyperlink>
      <w:bookmarkEnd w:id="255"/>
      <w:r>
        <w:t xml:space="preserve">) for the United States, KEPCO for South Korea,</w:t>
      </w:r>
      <w:r>
        <w:rPr>
          <w:rStyle w:val="FootnoteReference"/>
        </w:rPr>
        <w:footnoteReference w:id="24"/>
      </w:r>
      <w:r>
        <w:t xml:space="preserve"> national utility tariffs for Central Asian countries, and </w:t>
      </w:r>
      <w:bookmarkStart w:id="216" w:name="GlobalPetrolPrices2025txt"/>
      <w:hyperlink w:anchor="GlobalPetrolPrices2025" w:history="1">
        <w:r>
          <w:rPr>
            <w:color w:val="1F3864"/>
            <w:u w:val="single"/>
          </w:rPr>
          <w:t xml:space="preserve">GlobalPetrolPrices (2025)</w:t>
        </w:r>
      </w:hyperlink>
      <w:bookmarkEnd w:id="216"/>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7" w:name="Hersbach2020txt"/>
      <w:hyperlink w:anchor="Hersbach2020" w:history="1">
        <w:r>
          <w:rPr>
            <w:color w:val="1F3864"/>
            <w:u w:val="single"/>
          </w:rPr>
          <w:t xml:space="preserve">Hersbach et al. 2020</w:t>
        </w:r>
      </w:hyperlink>
      <w:bookmarkEnd w:id="217"/>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8" w:name="TurnerTownsend2025txt"/>
      <w:hyperlink w:anchor="TurnerTownsend2025" w:history="1">
        <w:r>
          <w:rPr>
            <w:color w:val="1F3864"/>
            <w:u w:val="single"/>
          </w:rPr>
          <w:t xml:space="preserve">Turner &amp; Townsend 2025</w:t>
        </w:r>
      </w:hyperlink>
      <w:bookmarkEnd w:id="218"/>
      <w:r>
        <w:t xml:space="preserve">), for 37 countries. For the remaining countries, costs are predicted (Appendix E). Since construction is only 3–6 percent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9" w:name="WonderNetwork2024txt"/>
      <w:hyperlink w:anchor="WonderNetwork2024" w:history="1">
        <w:r>
          <w:rPr>
            <w:color w:val="1F3864"/>
            <w:u w:val="single"/>
          </w:rPr>
          <w:t xml:space="preserve">WonderNetwork 2024</w:t>
        </w:r>
      </w:hyperlink>
      <w:bookmarkEnd w:id="219"/>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20" w:name="Cloudscene2025txt"/>
      <w:hyperlink w:anchor="Cloudscene2025" w:history="1">
        <w:r>
          <w:rPr>
            <w:color w:val="1F3864"/>
            <w:u w:val="single"/>
          </w:rPr>
          <w:t xml:space="preserve">Cloudscene 2025</w:t>
        </w:r>
      </w:hyperlink>
      <w:bookmarkEnd w:id="220"/>
      <w:r>
        <w:t xml:space="preserve">) and regional averages.</w:t>
      </w:r>
    </w:p>
    <w:p>
      <w:pPr>
        <w:spacing w:before="0" w:after="160" w:line="360" w:lineRule="auto"/>
        <w:ind w:firstLine="0"/>
        <w:jc w:val="both"/>
      </w:pPr>
      <w:r>
        <w:t>Because the compute export market is still emerging and bilateral trade-flow data do not yet exist, the paper calibrates the model using hardware prices, electricity tariffs, and facility cost coefficients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1" w:name="Google2024txt"/>
      <w:hyperlink w:anchor="Google2024" w:history="1">
        <w:r>
          <w:rPr>
            <w:color w:val="1F3864"/>
            <w:u w:val="single"/>
          </w:rPr>
          <w:t xml:space="preserve">Google 2024</w:t>
        </w:r>
      </w:hyperlink>
      <w:bookmarkEnd w:id="221"/>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2" w:name="Liu2023txt"/>
      <w:hyperlink w:anchor="Liu2023" w:history="1">
        <w:r>
          <w:rPr>
            <w:color w:val="1F3864"/>
            <w:u w:val="single"/>
          </w:rPr>
          <w:t xml:space="preserve">Liu et al. 2023</w:t>
        </w:r>
      </w:hyperlink>
      <w:bookmarkEnd w:id="222"/>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3" w:name="UptimeInstitute2024txt"/>
      <w:hyperlink w:anchor="UptimeInstitute2024" w:history="1">
        <w:r>
          <w:rPr>
            <w:color w:val="1F3864"/>
            <w:u w:val="single"/>
          </w:rPr>
          <w:t xml:space="preserve">Uptime Institute 2024</w:t>
        </w:r>
      </w:hyperlink>
      <w:bookmarkEnd w:id="223"/>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of 70 percent (</w:t>
      </w:r>
      <w:bookmarkStart w:id="224" w:name="Barroso2018txt"/>
      <w:hyperlink w:anchor="Barroso2018" w:history="1">
        <w:r>
          <w:rPr>
            <w:color w:val="1F3864"/>
            <w:u w:val="single"/>
          </w:rPr>
          <w:t xml:space="preserve">Barroso et al. 2018</w:t>
        </w:r>
      </w:hyperlink>
      <w:bookmarkEnd w:id="224"/>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This amortization is straight-line and includes no cost of capital. Columns (1)–(3) of Table 3 therefore hold financing costs at zero, so the cross-country spread reflects only electricity, climate, and construction; column (4) adds country-specific financing through the WACC adjustment of Section 7.2.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5" w:name="Barroso2018txt"/>
      <w:hyperlink w:anchor="Barroso2018" w:history="1">
        <w:r>
          <w:rPr>
            <w:color w:val="1F3864"/>
            <w:u w:val="single"/>
          </w:rPr>
          <w:t xml:space="preserve">Barroso et al. 2018</w:t>
        </w:r>
      </w:hyperlink>
      <w:bookmarkEnd w:id="225"/>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percent, consistent with the finding in </w:t>
      </w:r>
      <w:bookmarkStart w:id="226" w:name="Deloitte2020txt"/>
      <w:hyperlink w:anchor="Deloitte2020" w:history="1">
        <w:r>
          <w:rPr>
            <w:color w:val="1F3864"/>
            <w:u w:val="single"/>
          </w:rPr>
          <w:t xml:space="preserve">Deloitte and Google (2020)</w:t>
        </w:r>
      </w:hyperlink>
      <w:bookmarkEnd w:id="226"/>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being assigned a finite weight. The continuous weights are calibrated so that an intra-bloc pair with data 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on non-adversarial services trade stays below the 16 percent upper bound for regulatory barriers to communication services estimated by </w:t>
      </w:r>
      <w:bookmarkStart w:id="227" w:name="BenzJaax2020txt"/>
      <w:hyperlink w:anchor="BenzJaax2020" w:history="1">
        <w:r>
          <w:rPr>
            <w:color w:val="1F3864"/>
            <w:u w:val="single"/>
          </w:rPr>
          <w:t xml:space="preserve">Benz and Jaax (2020)</w:t>
        </w:r>
      </w:hyperlink>
      <w:bookmarkEnd w:id="227"/>
      <w:r>
        <w:t xml:space="preserve">, and the headline results are reported alongside a uniform-premium robustness check in Table 3 to make the sensitivity to these weights transparent.</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 percent</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8" w:name="Deloitte2025txt"/>
      <w:hyperlink w:anchor="Deloitte2025" w:history="1">
        <w:r>
          <w:rPr>
            <w:color w:val="1F3864"/>
            <w:u w:val="single"/>
          </w:rPr>
          <w:t xml:space="preserve">Deloitte 2025</w:t>
        </w:r>
      </w:hyperlink>
      <w:bookmarkEnd w:id="228"/>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6" w:name="IMF2025txt"/>
      <w:hyperlink w:anchor="IMF2025" w:history="1">
        <w:r>
          <w:rPr>
            <w:color w:val="1F3864"/>
            <w:u w:val="single"/>
          </w:rPr>
          <w:t xml:space="preserve">IMF 2025</w:t>
        </w:r>
      </w:hyperlink>
      <w:bookmarkEnd w:id="256"/>
      <w:r>
        <w:t xml:space="preserve">, </w:t>
      </w:r>
      <w:bookmarkStart w:id="229" w:name="Lazard2025txt"/>
      <w:hyperlink w:anchor="Lazard2025" w:history="1">
        <w:r>
          <w:rPr>
            <w:color w:val="1F3864"/>
            <w:u w:val="single"/>
          </w:rPr>
          <w:t xml:space="preserve">Lazard 2025</w:t>
        </w:r>
      </w:hyperlink>
      <w:bookmarkEnd w:id="229"/>
      <w:r>
        <w:t xml:space="preserve">). We apply this adjustment to 56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Cost advantage and actual investment diverge sharply. Eight of the twenty cheapest producers have under 100 MW of installed capacity (e.g., Kyrgyzstan: rank 1, 5 MW), while countries outside the top twenty host large clusters (Netherlands: rank 67, 1,800 MW; Ireland: rank 83, 1,260 MW). The cost ranking identifies the feasible set of exporters, not realized investment.</w:t>
      </w:r>
    </w:p>
    <w:p>
      <w:pPr>
        <w:spacing w:before="0" w:after="160" w:line="360" w:lineRule="auto"/>
        <w:ind w:firstLine="0"/>
        <w:jc w:val="both"/>
      </w:pPr>
      <w:r>
        <w:t xml:space="preserve">Recent FDI data confirm this pattern.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6" w:name="AykutEtAl2026txt"/>
      <w:hyperlink w:anchor="AykutEtAl2026" w:history="1">
        <w:r>
          <w:rPr>
            <w:color w:val="1F3864"/>
            <w:u w:val="single"/>
          </w:rPr>
          <w:t xml:space="preserve">Aykut et al. 2026</w:t>
        </w:r>
      </w:hyperlink>
      <w:bookmarkEnd w:id="266"/>
      <w:r>
        <w:t xml:space="preserve">). Most investment flows between geopolitical allies, consistent with the bilateral sovereignty premium, rather than cost alone driving where capacity is built (</w:t>
      </w:r>
      <w:bookmarkStart w:id="257" w:name="StraubEtAl2026txt"/>
      <w:hyperlink w:anchor="StraubEtAl2026" w:history="1">
        <w:r>
          <w:rPr>
            <w:color w:val="1F3864"/>
            <w:u w:val="single"/>
          </w:rPr>
          <w:t xml:space="preserve">Straub et al. 2026</w:t>
        </w:r>
      </w:hyperlink>
      <w:bookmarkEnd w:id="257"/>
      <w:r>
        <w:t xml:space="preserve">). Econometric evidence confirms that electricity costs are not a robust predictor of data center location once market size and regulatory environment are controlled for (</w:t>
      </w:r>
      <w:bookmarkStart w:id="230" w:name="CaouiSteck2025txt"/>
      <w:hyperlink w:anchor="CaouiSteck2025" w:history="1">
        <w:r>
          <w:rPr>
            <w:color w:val="1F3864"/>
            <w:u w:val="single"/>
          </w:rPr>
          <w:t xml:space="preserve">Caoui and Steck 2025</w:t>
        </w:r>
      </w:hyperlink>
      <w:bookmarkEnd w:id="230"/>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Indonesia and Viet Nam (</w:t>
      </w:r>
      <w:bookmarkStart w:id="258" w:name="KatzEtAl2025txt"/>
      <w:hyperlink w:anchor="KatzEtAl2025" w:history="1">
        <w:r>
          <w:rPr>
            <w:color w:val="1F3864"/>
            <w:u w:val="single"/>
          </w:rPr>
          <w:t xml:space="preserve">Katz et al. 2025</w:t>
        </w:r>
      </w:hyperlink>
      <w:bookmarkEnd w:id="258"/>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31" w:name="AykutEtAl2026txt"/>
      <w:hyperlink w:anchor="AykutEtAl2026" w:history="1">
        <w:r>
          <w:rPr>
            <w:color w:val="1F3864"/>
            <w:u w:val="single"/>
          </w:rPr>
          <w:t xml:space="preserve">Aykut et al. 2026</w:t>
        </w:r>
      </w:hyperlink>
      <w:bookmarkEnd w:id="231"/>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percent),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and Kosovo ($0.001/hr),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percent), Kyrgyzstan (26 percent), Kosovo (10 percent), Indonesia (0.9 percent), and Ukraine (0.5 percent), collectively accounting for 80 percent of cross-border inference demand (HHI = 0.265). </w:t>
      </w:r>
    </w:p>
    <w:p>
      <w:pPr>
        <w:spacing w:before="0" w:after="160" w:line="360" w:lineRule="auto"/>
        <w:ind w:firstLine="0"/>
        <w:jc w:val="both"/>
      </w:pPr>
      <w:r>
        <w:t xml:space="preserve">Among developing countries, Kyrgyzstan captures 26 percent of global inference demand by serving China, Kazakhstan, and Uzbekistan, a large share for a country with a GDP of under $15 billion. </w:t>
      </w:r>
      <w:r>
        <w:t xml:space="preserve">Kosovo serves as an inference hub for 21 countries, accounting for 10 percent of global inference demand. </w:t>
      </w:r>
    </w:p>
    <w:p>
      <w:pPr>
        <w:spacing w:before="0" w:after="160" w:line="360" w:lineRule="auto"/>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w:t>
      </w:r>
      <w:r>
        <w:t xml:space="preserve">For Germany, France, and the United Kingdom, inference is sourced from Kosovo. </w:t>
      </w:r>
      <w:r>
        <w:t>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32" w:name="AykutEtAl2026txt"/>
      <w:hyperlink w:anchor="AykutEtAl2026" w:history="1">
        <w:r>
          <w:rPr>
            <w:color w:val="1F3864"/>
            <w:u w:val="single"/>
          </w:rPr>
          <w:t xml:space="preserve">Aykut et al. 2026</w:t>
        </w:r>
      </w:hyperlink>
      <w:bookmarkEnd w:id="232"/>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Raising the uniform premium to 20 percent shifts five additional countries (including Croatia, Cyprus, and Germany) to domestic training, reducing the share of global training demand available to foreign producers from 3 percent to 0 percent. Inference exports are more resilient to sovereignty premia because the latency advantage of proximity partially insulates regional hubs.</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percent of total compute spending, in the range of the welfare gains from trade in goods estimated in the quantitative trade literature, which range from roughly 0.2 percent to 10 percent depending on country size and specification (</w:t>
      </w:r>
      <w:bookmarkStart w:id="233" w:name="EatonKortum2002txt"/>
      <w:hyperlink w:anchor="EatonKortum2002" w:history="1">
        <w:r>
          <w:rPr>
            <w:color w:val="1F3864"/>
            <w:u w:val="single"/>
          </w:rPr>
          <w:t xml:space="preserve">Eaton and Kortum 2002</w:t>
        </w:r>
      </w:hyperlink>
      <w:bookmarkEnd w:id="233"/>
      <w:r>
        <w:t xml:space="preserve">, </w:t>
      </w:r>
      <w:bookmarkStart w:id="259" w:name="ACR2012txt"/>
      <w:hyperlink w:anchor="ACR2012" w:history="1">
        <w:r>
          <w:rPr>
            <w:color w:val="1F3864"/>
            <w:u w:val="single"/>
          </w:rPr>
          <w:t xml:space="preserve">Arkolakis et al. 2012</w:t>
        </w:r>
      </w:hyperlink>
      <w:bookmarkEnd w:id="259"/>
      <w:r>
        <w:t xml:space="preserve">). At current demand levels (approximately 6 × 10¹⁰ GPU-hours at $1.50/hr), this amounts to roughly $1.44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high in aggregate dollars but modest as a share of compute spending.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4" w:name="WorldBank2025txt"/>
      <w:hyperlink w:anchor="WorldBank2025" w:history="1">
        <w:r>
          <w:rPr>
            <w:color w:val="1F3864"/>
            <w:u w:val="single"/>
          </w:rPr>
          <w:t xml:space="preserve">World Bank (2025)</w:t>
        </w:r>
      </w:hyperlink>
      <w:bookmarkEnd w:id="234"/>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that vary the share of hardware costs. The sensitivity results can be read as comparative statics. A rise in global hardware costs increases the globally priced cost share, compressing the locally 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stable across all specifications.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that combine cheap energy with adequate governance retain their cost advantage regardless of the chosen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percent, domestic only), regulated workloads (20 percent, higher regulatory compatibility weight), and commercial workloads (70 percent,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Regulated tariffs in many developing countries cover operating expenses but not the full capital cost, raising concerns about financial sustainability. Exporting compute at scale while the domestic energy sector cannot maintain its capital stock may prove politically unsustainable. Finally, logistics costs and local distribution markups can raise effective GPU prices by 5–15 percent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percent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35" w:name="Chandramowli2024txt"/>
      <w:hyperlink w:anchor="Chandramowli2024" w:history="1">
        <w:r>
          <w:rPr>
            <w:color w:val="1F3864"/>
            <w:u w:val="single"/>
          </w:rPr>
          <w:t xml:space="preserve">Chandramowli et al. 2024</w:t>
        </w:r>
      </w:hyperlink>
      <w:bookmarkEnd w:id="235"/>
      <w:r>
        <w:t xml:space="preserve">), and AI data-center expansion alone could increase retail prices by 8–9 percent by 2030 (</w:t>
      </w:r>
      <w:bookmarkStart w:id="267" w:name="IMF2025txt"/>
      <w:hyperlink w:anchor="IMF2025" w:history="1">
        <w:r>
          <w:rPr>
            <w:color w:val="1F3864"/>
            <w:u w:val="single"/>
          </w:rPr>
          <w:t xml:space="preserve">IMF 2025</w:t>
        </w:r>
      </w:hyperlink>
      <w:bookmarkEnd w:id="267"/>
      <w:r>
        <w:t xml:space="preserve">). </w:t>
      </w:r>
      <w:bookmarkStart w:id="260" w:name="AlvarezEtAl2026txt"/>
      <w:hyperlink w:anchor="AlvarezEtAl2026" w:history="1">
        <w:r>
          <w:rPr>
            <w:color w:val="1F3864"/>
            <w:u w:val="single"/>
          </w:rPr>
          <w:t xml:space="preserve">Alvarez et al. (2026)</w:t>
        </w:r>
      </w:hyperlink>
      <w:bookmarkEnd w:id="260"/>
      <w:r>
        <w:t xml:space="preserve"> find that in the US, a one-unit increase in log cumulative data-center revenue raises local electricity prices by roughly 0.9 percent, significant at the 1 percent level across all horizons; counties that have ever hosted a data center exhibit a 3.9 percent effect on retail prices.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While standard in services trade, this functional form is a simplification. Government cloud security certifications (e.g., SecNumCloud, IRAP), sanctions and export-control screening, and bilateral digital-services agreements impose mostly fixed costs that add an entry margin on top of the cost-comparison margin, thereby raising the entry threshold for developing-country exporters.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We expect our main finding to hold — both modifications run counter to developing-country entrants — and leave the formal version to future work.</w:t>
      </w:r>
    </w:p>
    <w:p>
      <w:pPr>
        <w:spacing w:before="0" w:after="160" w:line="360" w:lineRule="auto"/>
        <w:ind w:firstLine="0"/>
        <w:jc w:val="both"/>
      </w:pPr>
      <w:r>
        <w:rPr>
          <w:rFonts w:ascii="Times New Roman" w:hAnsi="Times New Roman"/>
          <w:b w:val="0"/>
          <w:i/>
          <w:sz w:val="24"/>
        </w:rPr>
        <w:t xml:space="preserve">Cost of capital. </w:t>
      </w:r>
      <w:r>
        <w:t xml:space="preserve">Because hardware dominates the compute cost stack, the largest determinant of the ranking is the cost of financing capital. An OECD hyperscaler at an 8 percent weighted average cost of capital faces hardware costs of $1.58/GPU-hour; a locally financed developing-country operator at 18 percent pays $1.87 — a $0.29 gap on hardware alone, roughly four times the electricity cost spread across the top twenty countries (</w:t>
      </w:r>
      <w:bookmarkStart w:id="236" w:name="Calcaterra2024txt"/>
      <w:hyperlink w:anchor="Calcaterra2024" w:history="1">
        <w:r>
          <w:rPr>
            <w:color w:val="1F3864"/>
            <w:u w:val="single"/>
          </w:rPr>
          <w:t xml:space="preserve">Calcaterra et al. 2024</w:t>
        </w:r>
      </w:hyperlink>
      <w:bookmarkEnd w:id="236"/>
      <w:r>
        <w:t xml:space="preserve">). Column (4) of </w:t>
      </w:r>
      <w:hyperlink w:anchor="Table3" w:history="1">
        <w:r>
          <w:rPr>
            <w:color w:val="1F3864"/>
            <w:u w:val="single"/>
          </w:rPr>
          <w:t xml:space="preserve">Table 3</w:t>
        </w:r>
      </w:hyperlink>
      <w:r>
        <w:t xml:space="preserve"> reports the cost-recovery ranking with hardware amortized at each country’s income-group WACC (HIC 8 percent, UMIC 12 percent, LMIC 15 percent, LIC 18 percent). Under this specification, the advantage of cheap-energy developing countries diminishes, and the regime classifications shift accordingly.</w:t>
      </w:r>
    </w:p>
    <w:p>
      <w:pPr>
        <w:spacing w:before="0" w:after="160" w:line="360" w:lineRule="auto"/>
        <w:ind w:firstLine="0"/>
        <w:jc w:val="both"/>
      </w:pPr>
      <w:r>
        <w:t xml:space="preserve">This is the mechanism that links the cost-recovery and bilateral sovereignty specifications: institutional credibility matters for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channel — when a multinational owns, finances, and operates the facility outright, it may fund at its home WACC — but partial ownership, local debt, sovereign guarantees, and the pass-through of country risk to operating agreements reintroduce the channel in proportion to the host country’s financial exposure. A pure-hyperscaler case is therefore a boundary, not a baseline. The paper treats spec (4) as the more realistic benchmark for questions about whether a developing country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model (</w:t>
      </w:r>
      <w:bookmarkStart w:id="237" w:name="AykutEtAl2026txt"/>
      <w:hyperlink w:anchor="AykutEtAl2026" w:history="1">
        <w:r>
          <w:rPr>
            <w:color w:val="1F3864"/>
            <w:u w:val="single"/>
          </w:rPr>
          <w:t xml:space="preserve">Aykut et al. 2026</w:t>
        </w:r>
      </w:hyperlink>
      <w:bookmarkEnd w:id="237"/>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Energy-rich developing countries can produce compute cheaply, but producing cheaply does not make them exporters. A capacity-constrained Ricardian model that separates latency-insensitive training from latency-sensitive inference and prices bilateral sovereignty frictions shows why. Hardware is globally priced, so the remaining cost advantage is thin, and the institutional frictions facing developing-country suppliers are wider than that advantage.</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Countries with cheap electricity and favorable cooling conditions face a low barrier to cost-competitiveness. But even modest frictions, such as a sovereignty premium, a governance penalty, or a higher cost of capital, can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electricity prices but by institutional credibility, including non-sanctioned status, credible long-term power contracts, stable network connectivity, and a regulatory environment conducive to capital-intensive investment. The absence of these conditions shifts most countries toward domestic production. The resulting welfare loss is high in aggregate dollars but modest as a share of compute spending (about 1.6 percent), small enough that governments with legitimate data-sovereignty objectives may prefer domestic supply. </w:t>
      </w:r>
    </w:p>
    <w:p>
      <w:pPr>
        <w:spacing w:before="0" w:after="160" w:line="360" w:lineRule="auto"/>
        <w:ind w:firstLine="0"/>
        <w:jc w:val="both"/>
      </w:pPr>
      <w:r>
        <w:t>For a developing country weighing a compute-export strategy, the binding levers have little to do with electricity. Financing comes first. Hardware dominates the cost stack, and the WACC gap exceeds the energy advantage several times over. Partial sovereign guarantees, blended finance, multilateral risk insurance, and co-investment that lets the project borrow against a hyperscaler’s balance sheet all narrow that gap, and they do more for competitiveness than any feasible reduction in electricity tariffs. Regulatory credibility is the second lever, and it works on the sovereignty premium directly. The premium falls where enforceable data-protection and mutual-recognition agreements exist. Pursuing data-adequacy status and recognized cloud-security certification (France’s SecNumCloud, Australia’s IRAP) lowers what foreign buyers charge for trust; blanket data-localization mandates raise it and put export access at risk. Then there is the question of who keeps the surplus. The Kyrgyzstan facility in Appendix D is NPV-positive, yet with outright foreign-hyperscaler ownership the host keeps little beyond the electricity bill and construction-phase jobs. Taxation, equity participation, and royalty terms decide how much of the operating surplus stays onshore. Cheap energy buys a country into the cost-competitive set; whether it captures the rents depends on financing, governance, and ownership.</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in which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lvarezEtAl2026"/>
      <w:hyperlink w:anchor="AlvarezEtAl2026txt" w:history="1">
        <w:r>
          <w:rPr>
            <w:color w:val="1F3864"/>
            <w:u w:val="single"/>
          </w:rPr>
          <w:t xml:space="preserve">Alvarez, F., Argente, D., Chow, J., and D. Van Patten. (2026). </w:t>
        </w:r>
      </w:hyperlink>
      <w:r>
        <w:t xml:space="preserve">“Data Centers and Local Economies in the Age of AI: A Shift-Share Approach.” </w:t>
      </w:r>
      <w:r>
        <w:rPr>
          <w:i/>
        </w:rPr>
        <w:t>NBER Working Paper</w:t>
      </w:r>
      <w:r>
        <w:t xml:space="preserve"> No. 35194.</w:t>
      </w:r>
      <w:bookmarkEnd w:id="500"/>
    </w:p>
    <w:p>
      <w:pPr>
        <w:spacing w:before="0" w:after="80" w:line="240" w:lineRule="exact"/>
        <w:ind w:hanging="720" w:left="720"/>
        <w:jc w:val="both"/>
      </w:pPr>
      <w:bookmarkStart w:id="501" w:name="AndersonMarcouiller2002"/>
      <w:hyperlink w:anchor="AndersonMarcouiller2002txt" w:history="1">
        <w:r>
          <w:rPr>
            <w:color w:val="1F3864"/>
            <w:u w:val="single"/>
          </w:rPr>
          <w:t xml:space="preserve">Anderson, J. and D. Marcouiller. (2002). </w:t>
        </w:r>
      </w:hyperlink>
      <w:r>
        <w:t xml:space="preserve">“Insecure Trade: Reduced-Form Evidence.” </w:t>
      </w:r>
      <w:r>
        <w:rPr>
          <w:i/>
        </w:rPr>
        <w:t>Review of Economics and Statistics</w:t>
      </w:r>
      <w:r>
        <w:t>, 84(2): 342–352.</w:t>
      </w:r>
      <w:bookmarkEnd w:id="501"/>
    </w:p>
    <w:p>
      <w:pPr>
        <w:spacing w:before="0" w:after="80" w:line="240" w:lineRule="exact"/>
        <w:ind w:hanging="720" w:left="720"/>
        <w:jc w:val="both"/>
      </w:pPr>
      <w:bookmarkStart w:id="502" w:name="AndersonVanWincoop2003"/>
      <w:hyperlink w:anchor="AndersonVanWincoop2003txt" w:history="1">
        <w:r>
          <w:rPr>
            <w:color w:val="1F3864"/>
            <w:u w:val="single"/>
          </w:rPr>
          <w:t xml:space="preserve">Anderson, J. and E. van Wincoop. (2003). </w:t>
        </w:r>
      </w:hyperlink>
      <w:r>
        <w:t xml:space="preserve">“Gravity with Gravitas: A Solution to the Border Puzzle.” </w:t>
      </w:r>
      <w:r>
        <w:rPr>
          <w:i/>
        </w:rPr>
        <w:t>American Economic Review</w:t>
      </w:r>
      <w:r>
        <w:t>, 93(1): 170–192.</w:t>
      </w:r>
      <w:bookmarkEnd w:id="502"/>
    </w:p>
    <w:p>
      <w:pPr>
        <w:spacing w:before="0" w:after="80" w:line="240" w:lineRule="exact"/>
        <w:ind w:hanging="720" w:left="720"/>
        <w:jc w:val="both"/>
      </w:pPr>
      <w:bookmarkStart w:id="503"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3"/>
    </w:p>
    <w:p>
      <w:pPr>
        <w:spacing w:before="0" w:after="80" w:line="240" w:lineRule="exact"/>
        <w:ind w:hanging="720" w:left="720"/>
        <w:jc w:val="both"/>
      </w:pPr>
      <w:bookmarkStart w:id="504" w:name="ACR2012"/>
      <w:hyperlink w:anchor="ACR2012txt" w:history="1">
        <w:r>
          <w:rPr>
            <w:color w:val="1F3864"/>
            <w:u w:val="single"/>
          </w:rPr>
          <w:t xml:space="preserve">Arkolakis, C., Costinot, A., and A. Rodríguez-Clare. (2012). </w:t>
        </w:r>
      </w:hyperlink>
      <w:r>
        <w:t xml:space="preserve">“New Trade Models, Same Old Gains?” </w:t>
      </w:r>
      <w:r>
        <w:rPr>
          <w:i/>
        </w:rPr>
        <w:t>American Economic Review</w:t>
      </w:r>
      <w:r>
        <w:t>, 102(1): 94–130.</w:t>
      </w:r>
      <w:bookmarkEnd w:id="504"/>
    </w:p>
    <w:p>
      <w:pPr>
        <w:spacing w:before="0" w:after="80" w:line="240" w:lineRule="exact"/>
        <w:ind w:hanging="720" w:left="720"/>
        <w:jc w:val="both"/>
      </w:pPr>
      <w:bookmarkStart w:id="505"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5"/>
    </w:p>
    <w:p>
      <w:pPr>
        <w:spacing w:before="0" w:after="80" w:line="240" w:lineRule="exact"/>
        <w:ind w:hanging="720" w:left="720"/>
        <w:jc w:val="both"/>
      </w:pPr>
      <w:bookmarkStart w:id="506" w:name="AykutEtAl2026"/>
      <w:hyperlink w:anchor="AykutEtAl2026txt" w:history="1">
        <w:r>
          <w:rPr>
            <w:color w:val="1F3864"/>
            <w:u w:val="single"/>
          </w:rPr>
          <w:t xml:space="preserve">Aykut, D., Ozyurt, S., Jung, K., and E. Vergara Cobos. (2026). </w:t>
        </w:r>
      </w:hyperlink>
      <w:r>
        <w:t xml:space="preserve">“Data Center and AI Investment in EMDEs: Risks and Opportunities.” </w:t>
      </w:r>
      <w:r>
        <w:rPr>
          <w:i/>
        </w:rPr>
        <w:t>Watch This Space</w:t>
      </w:r>
      <w:r>
        <w:t xml:space="preserve">. Washington, DC: </w:t>
      </w:r>
      <w:bookmarkStart w:id="238" w:name="WorldBank2024txt"/>
      <w:hyperlink w:anchor="WorldBank2024" w:history="1">
        <w:r>
          <w:rPr>
            <w:color w:val="1F3864"/>
            <w:u w:val="single"/>
          </w:rPr>
          <w:t xml:space="preserve">World Bank</w:t>
        </w:r>
      </w:hyperlink>
      <w:bookmarkEnd w:id="238"/>
      <w:r>
        <w:t xml:space="preserve"> Group.</w:t>
      </w:r>
      <w:bookmarkEnd w:id="506"/>
    </w:p>
    <w:p>
      <w:pPr>
        <w:spacing w:before="0" w:after="80" w:line="240" w:lineRule="exact"/>
        <w:ind w:hanging="720" w:left="720"/>
        <w:jc w:val="both"/>
      </w:pPr>
      <w:bookmarkStart w:id="507" w:name="BaileyEtAl2017"/>
      <w:hyperlink w:anchor="BaileyEtAl2017txt" w:history="1">
        <w:r>
          <w:rPr>
            <w:color w:val="1F3864"/>
            <w:u w:val="single"/>
          </w:rPr>
          <w:t xml:space="preserve">Bailey, M., Strezhnev, A., and E. Voeten. (2017). </w:t>
        </w:r>
      </w:hyperlink>
      <w:r>
        <w:t xml:space="preserve">“Estimating Dynamic State Preferences from United Nations Voting Data.” </w:t>
      </w:r>
      <w:r>
        <w:rPr>
          <w:i/>
        </w:rPr>
        <w:t>Journal of Conflict Resolution</w:t>
      </w:r>
      <w:r>
        <w:t>, 61(2): 430–456.</w:t>
      </w:r>
      <w:bookmarkEnd w:id="507"/>
    </w:p>
    <w:p>
      <w:pPr>
        <w:spacing w:before="0" w:after="80" w:line="240" w:lineRule="exact"/>
        <w:ind w:hanging="720" w:left="720"/>
        <w:jc w:val="both"/>
      </w:pPr>
      <w:bookmarkStart w:id="508" w:name="Barroso2018"/>
      <w:hyperlink w:anchor="Barroso2018txt" w:history="1">
        <w:r>
          <w:rPr>
            <w:color w:val="1F3864"/>
            <w:u w:val="single"/>
          </w:rPr>
          <w:t xml:space="preserve">Barroso, L., Hölzle, U., and P. Ranganathan. </w:t>
        </w:r>
      </w:hyperlink>
      <w:r>
        <w:t xml:space="preserve">(2018). </w:t>
      </w:r>
      <w:r>
        <w:rPr>
          <w:i/>
        </w:rPr>
        <w:t>The Datacenter as a Computer</w:t>
      </w:r>
      <w:r>
        <w:t>: Designing Warehouse-Scale Machines, 3rd ed. San Rafael, CA: Morgan &amp; Claypool.</w:t>
      </w:r>
      <w:bookmarkEnd w:id="508"/>
    </w:p>
    <w:p>
      <w:pPr>
        <w:spacing w:before="0" w:after="80" w:line="240" w:lineRule="exact"/>
        <w:ind w:hanging="720" w:left="720"/>
        <w:jc w:val="both"/>
      </w:pPr>
      <w:bookmarkStart w:id="509"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9"/>
    </w:p>
    <w:p>
      <w:pPr>
        <w:spacing w:before="0" w:after="80" w:line="240" w:lineRule="exact"/>
        <w:ind w:hanging="720" w:left="720"/>
        <w:jc w:val="both"/>
      </w:pPr>
      <w:bookmarkStart w:id="510" w:name="Biglaiser2024"/>
      <w:hyperlink w:anchor="Biglaiser2024txt" w:history="1">
        <w:r>
          <w:rPr>
            <w:color w:val="1F3864"/>
            <w:u w:val="single"/>
          </w:rPr>
          <w:t xml:space="preserve">Biglaiser, G., Crémer, J., and A. Mantovani. (2024). </w:t>
        </w:r>
      </w:hyperlink>
      <w:r>
        <w:t xml:space="preserve">“The Economics of the Cloud.” </w:t>
      </w:r>
      <w:r>
        <w:rPr>
          <w:i/>
        </w:rPr>
        <w:t>Toulouse School of Economics Working Paper</w:t>
      </w:r>
      <w:r>
        <w:t xml:space="preserve"> No. 24-1520.</w:t>
      </w:r>
      <w:bookmarkEnd w:id="510"/>
    </w:p>
    <w:p>
      <w:pPr>
        <w:spacing w:before="0" w:after="80" w:line="240" w:lineRule="exact"/>
        <w:ind w:hanging="720" w:left="720"/>
        <w:jc w:val="both"/>
      </w:pPr>
      <w:bookmarkStart w:id="511"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1"/>
    </w:p>
    <w:p>
      <w:pPr>
        <w:spacing w:before="0" w:after="80" w:line="240" w:lineRule="exact"/>
        <w:ind w:hanging="720" w:left="720"/>
        <w:jc w:val="both"/>
      </w:pPr>
      <w:bookmarkStart w:id="512"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2"/>
    </w:p>
    <w:p>
      <w:pPr>
        <w:spacing w:before="0" w:after="80" w:line="240" w:lineRule="exact"/>
        <w:ind w:hanging="720" w:left="720"/>
        <w:jc w:val="both"/>
      </w:pPr>
      <w:bookmarkStart w:id="513" w:name="Calcaterra2024"/>
      <w:hyperlink w:anchor="Calcaterra2024txt" w:history="1">
        <w:r>
          <w:rPr>
            <w:color w:val="1F3864"/>
            <w:u w:val="single"/>
          </w:rPr>
          <w:t xml:space="preserve">Calcaterra, M., Reis, L., Fragkos, P., Briera, T., Boer, H., Egli, F., Emmerling, J., Iyer, G., Mittal, S., Polzin, F., Sanders, M., Schmidt, T., Serebriakova, A., and B. Steffen. (2024). </w:t>
        </w:r>
      </w:hyperlink>
      <w:r>
        <w:t xml:space="preserve">“Reducing the Cost of Capital to Finance the Energy Transition in Developing Countries.” </w:t>
      </w:r>
      <w:r>
        <w:rPr>
          <w:i/>
        </w:rPr>
        <w:t>Nature Energy</w:t>
      </w:r>
      <w:r>
        <w:t>, 9(10): 1241–1251.</w:t>
      </w:r>
      <w:bookmarkEnd w:id="513"/>
    </w:p>
    <w:p>
      <w:pPr>
        <w:spacing w:before="0" w:after="80" w:line="240" w:lineRule="exact"/>
        <w:ind w:hanging="720" w:left="720"/>
        <w:jc w:val="both"/>
      </w:pPr>
      <w:bookmarkStart w:id="514" w:name="CaouiSteck2025"/>
      <w:hyperlink w:anchor="CaouiSteck2025txt" w:history="1">
        <w:r>
          <w:rPr>
            <w:color w:val="1F3864"/>
            <w:u w:val="single"/>
          </w:rPr>
          <w:t xml:space="preserve">Caoui, E., and A. Steck. (2025). </w:t>
        </w:r>
      </w:hyperlink>
      <w:r>
        <w:t xml:space="preserve">“Content Providers and the Deployment of Internet Infrastructure.” </w:t>
      </w:r>
      <w:r>
        <w:rPr>
          <w:i/>
        </w:rPr>
        <w:t>Information Economics and Policy</w:t>
      </w:r>
      <w:r>
        <w:t>. doi:10.1016/j.infoecopol.2025.101134.</w:t>
      </w:r>
      <w:bookmarkEnd w:id="514"/>
    </w:p>
    <w:p>
      <w:pPr>
        <w:spacing w:before="0" w:after="80" w:line="240" w:lineRule="exact"/>
        <w:ind w:hanging="720" w:left="720"/>
        <w:jc w:val="both"/>
      </w:pPr>
      <w:bookmarkStart w:id="515" w:name="Chandramowli2024"/>
      <w:hyperlink w:anchor="Chandramowli2024txt" w:history="1">
        <w:r>
          <w:rPr>
            <w:color w:val="1F3864"/>
            <w:u w:val="single"/>
          </w:rPr>
          <w:t xml:space="preserve">Chandramowli, S., Cook, P., Mackovyak, J., Parmar, H., and M. Scheller. </w:t>
        </w:r>
      </w:hyperlink>
      <w:r>
        <w:t xml:space="preserve">(2024). </w:t>
      </w:r>
      <w:r>
        <w:rPr>
          <w:i/>
        </w:rPr>
        <w:t>Power Surge: Navigating US Electricity Demand Growth</w:t>
      </w:r>
      <w:r>
        <w:t>. ICF.</w:t>
      </w:r>
      <w:bookmarkEnd w:id="515"/>
    </w:p>
    <w:p>
      <w:pPr>
        <w:spacing w:before="0" w:after="80" w:line="240" w:lineRule="exact"/>
        <w:ind w:hanging="720" w:left="720"/>
        <w:jc w:val="both"/>
      </w:pPr>
      <w:bookmarkStart w:id="516"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6"/>
    </w:p>
    <w:p>
      <w:pPr>
        <w:spacing w:before="0" w:after="80" w:line="240" w:lineRule="exact"/>
        <w:ind w:hanging="720" w:left="720"/>
        <w:jc w:val="both"/>
      </w:pPr>
      <w:bookmarkStart w:id="517" w:name="Deloitte2020"/>
      <w:hyperlink w:anchor="Deloitte2020txt" w:history="1">
        <w:r>
          <w:rPr>
            <w:color w:val="1F3864"/>
            <w:u w:val="single"/>
          </w:rPr>
          <w:t xml:space="preserve">Deloitte and Google. (2020). </w:t>
        </w:r>
      </w:hyperlink>
      <w:r>
        <w:t>“Milliseconds Make Millions.” Deloitte Digital and Google.</w:t>
      </w:r>
      <w:bookmarkEnd w:id="517"/>
    </w:p>
    <w:p>
      <w:pPr>
        <w:spacing w:before="0" w:after="80" w:line="240" w:lineRule="exact"/>
        <w:ind w:hanging="720" w:left="720"/>
        <w:jc w:val="both"/>
      </w:pPr>
      <w:bookmarkStart w:id="518"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8"/>
    </w:p>
    <w:p>
      <w:pPr>
        <w:spacing w:before="0" w:after="80" w:line="240" w:lineRule="exact"/>
        <w:ind w:hanging="720" w:left="720"/>
        <w:jc w:val="both"/>
      </w:pPr>
      <w:bookmarkStart w:id="519"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9"/>
    </w:p>
    <w:p>
      <w:pPr>
        <w:spacing w:before="0" w:after="80" w:line="240" w:lineRule="exact"/>
        <w:ind w:hanging="720" w:left="720"/>
        <w:jc w:val="both"/>
      </w:pPr>
      <w:bookmarkStart w:id="520"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20"/>
    </w:p>
    <w:p>
      <w:pPr>
        <w:spacing w:before="0" w:after="80" w:line="240" w:lineRule="exact"/>
        <w:ind w:hanging="720" w:left="720"/>
        <w:jc w:val="both"/>
      </w:pPr>
      <w:bookmarkStart w:id="521" w:name="EpochAI2024"/>
      <w:r>
        <w:rPr>
          <w:color w:val="1F3864"/>
          <w:u w:val="single"/>
        </w:rPr>
        <w:t xml:space="preserve">Epoch AI. (2024). </w:t>
      </w:r>
      <w:r>
        <w:t>“The Training Compute of Notable AI Models.” epochai.org.</w:t>
      </w:r>
      <w:bookmarkEnd w:id="521"/>
    </w:p>
    <w:p>
      <w:pPr>
        <w:spacing w:before="0" w:after="80" w:line="240" w:lineRule="exact"/>
        <w:ind w:hanging="720" w:left="720"/>
        <w:jc w:val="both"/>
      </w:pPr>
      <w:bookmarkStart w:id="522"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2"/>
    </w:p>
    <w:p>
      <w:pPr>
        <w:spacing w:before="0" w:after="80" w:line="240" w:lineRule="exact"/>
        <w:ind w:hanging="720" w:left="720"/>
        <w:jc w:val="both"/>
      </w:pPr>
      <w:bookmarkStart w:id="523"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3"/>
    </w:p>
    <w:p>
      <w:pPr>
        <w:spacing w:before="0" w:after="80" w:line="240" w:lineRule="exact"/>
        <w:ind w:hanging="720" w:left="720"/>
        <w:jc w:val="both"/>
      </w:pPr>
      <w:bookmarkStart w:id="524" w:name="Flucker2013"/>
      <w:hyperlink w:anchor="Flucker2013txt" w:history="1">
        <w:r>
          <w:rPr>
            <w:color w:val="1F3864"/>
            <w:u w:val="single"/>
          </w:rPr>
          <w:t xml:space="preserve">Flucker, S., Tozer, R., and R. Whitehead. (2013). </w:t>
        </w:r>
      </w:hyperlink>
      <w:r>
        <w:t xml:space="preserve">“Data Centre Energy Efficiency Analysis to Minimize Total Cost of Ownership.” </w:t>
      </w:r>
      <w:r>
        <w:rPr>
          <w:i/>
        </w:rPr>
        <w:t>Building Services Engineering Research and Technology</w:t>
      </w:r>
      <w:r>
        <w:t>, 34(1): 103–117.</w:t>
      </w:r>
      <w:bookmarkEnd w:id="524"/>
    </w:p>
    <w:p>
      <w:pPr>
        <w:spacing w:before="0" w:after="80" w:line="240" w:lineRule="exact"/>
        <w:ind w:hanging="720" w:left="720"/>
        <w:jc w:val="both"/>
      </w:pPr>
      <w:bookmarkStart w:id="525"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5"/>
    </w:p>
    <w:p>
      <w:pPr>
        <w:spacing w:before="0" w:after="80" w:line="240" w:lineRule="exact"/>
        <w:ind w:hanging="720" w:left="720"/>
        <w:jc w:val="both"/>
      </w:pPr>
      <w:bookmarkStart w:id="526"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6"/>
    </w:p>
    <w:p>
      <w:pPr>
        <w:spacing w:before="0" w:after="80" w:line="240" w:lineRule="exact"/>
        <w:ind w:hanging="720" w:left="720"/>
        <w:jc w:val="both"/>
      </w:pPr>
      <w:bookmarkStart w:id="527" w:name="Google2024"/>
      <w:hyperlink w:anchor="Google2024txt" w:history="1">
        <w:r>
          <w:rPr>
            <w:color w:val="1F3864"/>
            <w:u w:val="single"/>
          </w:rPr>
          <w:t xml:space="preserve">Google. </w:t>
        </w:r>
      </w:hyperlink>
      <w:r>
        <w:t xml:space="preserve">(2024). </w:t>
      </w:r>
      <w:r>
        <w:rPr>
          <w:i/>
        </w:rPr>
        <w:t>2024 Environmental Report</w:t>
      </w:r>
      <w:r>
        <w:t>. sustainability.google.</w:t>
      </w:r>
      <w:bookmarkEnd w:id="527"/>
    </w:p>
    <w:p>
      <w:pPr>
        <w:spacing w:before="0" w:after="80" w:line="240" w:lineRule="exact"/>
        <w:ind w:hanging="720" w:left="720"/>
        <w:jc w:val="both"/>
      </w:pPr>
      <w:bookmarkStart w:id="528" w:name="Hausmann2007"/>
      <w:hyperlink w:anchor="Hausmann2007txt" w:history="1">
        <w:r>
          <w:rPr>
            <w:color w:val="1F3864"/>
            <w:u w:val="single"/>
          </w:rPr>
          <w:t xml:space="preserve">Hausmann, R., Hwang, J., and D. Rodrik. (2007). </w:t>
        </w:r>
      </w:hyperlink>
      <w:r>
        <w:t xml:space="preserve">“What You Export Matters.” </w:t>
      </w:r>
      <w:r>
        <w:rPr>
          <w:i/>
        </w:rPr>
        <w:t>Journal of Economic Growth</w:t>
      </w:r>
      <w:r>
        <w:t>, 12(1): 1–25.</w:t>
      </w:r>
      <w:bookmarkEnd w:id="528"/>
    </w:p>
    <w:p>
      <w:pPr>
        <w:spacing w:before="0" w:after="80" w:line="240" w:lineRule="exact"/>
        <w:ind w:hanging="720" w:left="720"/>
        <w:jc w:val="both"/>
      </w:pPr>
      <w:bookmarkStart w:id="529"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9"/>
    </w:p>
    <w:p>
      <w:pPr>
        <w:spacing w:before="0" w:after="80" w:line="240" w:lineRule="exact"/>
        <w:ind w:hanging="720" w:left="720"/>
        <w:jc w:val="both"/>
      </w:pPr>
      <w:bookmarkStart w:id="530" w:name="HMY2004"/>
      <w:hyperlink w:anchor="HMY2004txt" w:history="1">
        <w:r>
          <w:rPr>
            <w:color w:val="1F3864"/>
            <w:u w:val="single"/>
          </w:rPr>
          <w:t xml:space="preserve">Helpman, E., Melitz, M., and S. Yeaple. (2004). </w:t>
        </w:r>
      </w:hyperlink>
      <w:r>
        <w:t xml:space="preserve">“Export Versus FDI with Heterogeneous Firms.” </w:t>
      </w:r>
      <w:r>
        <w:rPr>
          <w:i/>
        </w:rPr>
        <w:t>American Economic Review</w:t>
      </w:r>
      <w:r>
        <w:t>, 94(1): 300–316.</w:t>
      </w:r>
      <w:bookmarkEnd w:id="530"/>
    </w:p>
    <w:p>
      <w:pPr>
        <w:spacing w:before="0" w:after="80" w:line="240" w:lineRule="exact"/>
        <w:ind w:hanging="720" w:left="720"/>
        <w:jc w:val="both"/>
      </w:pPr>
      <w:bookmarkStart w:id="53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1"/>
    </w:p>
    <w:p>
      <w:pPr>
        <w:spacing w:before="0" w:after="80" w:line="240" w:lineRule="exact"/>
        <w:ind w:hanging="720" w:left="720"/>
        <w:jc w:val="both"/>
      </w:pPr>
      <w:bookmarkStart w:id="532" w:name="IEA2025"/>
      <w:hyperlink w:anchor="IEA2025txt" w:history="1">
        <w:r>
          <w:rPr>
            <w:color w:val="1F3864"/>
            <w:u w:val="single"/>
          </w:rPr>
          <w:t xml:space="preserve">IEA. (2025). </w:t>
        </w:r>
      </w:hyperlink>
      <w:r>
        <w:t>“Energy Demand from AI.” Published online at iea.org.</w:t>
      </w:r>
      <w:bookmarkEnd w:id="532"/>
    </w:p>
    <w:p>
      <w:pPr>
        <w:spacing w:before="0" w:after="80" w:line="240" w:lineRule="exact"/>
        <w:ind w:hanging="720" w:left="720"/>
        <w:jc w:val="both"/>
      </w:pPr>
      <w:bookmarkStart w:id="53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3"/>
    </w:p>
    <w:p>
      <w:pPr>
        <w:spacing w:before="0" w:after="80" w:line="240" w:lineRule="exact"/>
        <w:ind w:hanging="720" w:left="720"/>
        <w:jc w:val="both"/>
      </w:pPr>
      <w:bookmarkStart w:id="534" w:name="KatzEtAl2025"/>
      <w:hyperlink w:anchor="KatzEtAl2025txt" w:history="1">
        <w:r>
          <w:rPr>
            <w:color w:val="1F3864"/>
            <w:u w:val="single"/>
          </w:rPr>
          <w:t xml:space="preserve">Katz, R., Jung, K., and F. Callorda. (2025). </w:t>
        </w:r>
      </w:hyperlink>
      <w:r>
        <w:t>“The Economic Impact of AI and Cloud Investment in Asia-Pacific.” Report prepared for the Asian Development Bank.</w:t>
      </w:r>
      <w:bookmarkEnd w:id="534"/>
    </w:p>
    <w:p>
      <w:pPr>
        <w:spacing w:before="0" w:after="80" w:line="240" w:lineRule="exact"/>
        <w:ind w:hanging="720" w:left="720"/>
        <w:jc w:val="both"/>
      </w:pPr>
      <w:bookmarkStart w:id="535" w:name="Korinek2021"/>
      <w:hyperlink w:anchor="Korinek2021txt" w:history="1">
        <w:r>
          <w:rPr>
            <w:color w:val="1F3864"/>
            <w:u w:val="single"/>
          </w:rPr>
          <w:t xml:space="preserve">Korinek, A., and J. Stiglitz. (2021). </w:t>
        </w:r>
      </w:hyperlink>
      <w:r>
        <w:t xml:space="preserve">“Artificial Intelligence, Globalization, and Strategies for Economic Development.” </w:t>
      </w:r>
      <w:r>
        <w:rPr>
          <w:i/>
        </w:rPr>
        <w:t>NBER Working Paper</w:t>
      </w:r>
      <w:r>
        <w:t xml:space="preserve"> No. 28453.</w:t>
      </w:r>
      <w:bookmarkEnd w:id="535"/>
    </w:p>
    <w:p>
      <w:pPr>
        <w:spacing w:before="0" w:after="80" w:line="240" w:lineRule="exact"/>
        <w:ind w:hanging="720" w:left="720"/>
        <w:jc w:val="both"/>
      </w:pPr>
      <w:bookmarkStart w:id="53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6"/>
    </w:p>
    <w:p>
      <w:pPr>
        <w:spacing w:before="0" w:after="80" w:line="240" w:lineRule="exact"/>
        <w:ind w:hanging="720" w:left="720"/>
        <w:jc w:val="both"/>
      </w:pPr>
      <w:bookmarkStart w:id="53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7"/>
    </w:p>
    <w:p>
      <w:pPr>
        <w:spacing w:before="0" w:after="80" w:line="240" w:lineRule="exact"/>
        <w:ind w:hanging="720" w:left="720"/>
        <w:jc w:val="both"/>
      </w:pPr>
      <w:bookmarkStart w:id="538" w:name="Lehdonvirta2024"/>
      <w:hyperlink w:anchor="Lehdonvirta2024txt" w:history="1">
        <w:r>
          <w:rPr>
            <w:color w:val="1F3864"/>
            <w:u w:val="single"/>
          </w:rPr>
          <w:t xml:space="preserve">Lehdonvirta, V., Wu, B.,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8"/>
    </w:p>
    <w:p>
      <w:pPr>
        <w:spacing w:before="0" w:after="80" w:line="240" w:lineRule="exact"/>
        <w:ind w:hanging="720" w:left="720"/>
        <w:jc w:val="both"/>
      </w:pPr>
      <w:bookmarkStart w:id="53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9" w:name="WorldBank2024txt"/>
      <w:hyperlink w:anchor="WorldBank2024" w:history="1">
        <w:r>
          <w:rPr>
            <w:i/>
            <w:color w:val="1F3864"/>
            <w:u w:val="single"/>
          </w:rPr>
          <w:t xml:space="preserve">World Bank</w:t>
        </w:r>
      </w:hyperlink>
      <w:bookmarkEnd w:id="239"/>
      <w:r>
        <w:rPr>
          <w:i/>
        </w:rPr>
        <w:t xml:space="preserve"> Economic Review</w:t>
      </w:r>
      <w:r>
        <w:t>, 15(3): 451–479.</w:t>
      </w:r>
      <w:bookmarkEnd w:id="539"/>
    </w:p>
    <w:p>
      <w:pPr>
        <w:spacing w:before="0" w:after="80" w:line="240" w:lineRule="exact"/>
        <w:ind w:hanging="720" w:left="720"/>
        <w:jc w:val="both"/>
      </w:pPr>
      <w:bookmarkStart w:id="540" w:name="Liu2023"/>
      <w:hyperlink w:anchor="Liu2023txt" w:history="1">
        <w:r>
          <w:rPr>
            <w:color w:val="1F3864"/>
            <w:u w:val="single"/>
          </w:rPr>
          <w:t xml:space="preserve">Liu, Z., Wierman, A., Chen, Y., Raber, B., and J. Moriarty. (2023). </w:t>
        </w:r>
      </w:hyperlink>
      <w:r>
        <w:t xml:space="preserve">“Sustainability of Data Center Digital Twins.” </w:t>
      </w:r>
      <w:r>
        <w:rPr>
          <w:i/>
        </w:rPr>
        <w:t>Proceedings of ACM e-Energy</w:t>
      </w:r>
      <w:r>
        <w:t>, pp. 178–189.</w:t>
      </w:r>
      <w:bookmarkEnd w:id="540"/>
    </w:p>
    <w:p>
      <w:pPr>
        <w:spacing w:before="0" w:after="80" w:line="240" w:lineRule="exact"/>
        <w:ind w:hanging="720" w:left="720"/>
        <w:jc w:val="both"/>
      </w:pPr>
      <w:bookmarkStart w:id="541" w:name="NVIDIA2024"/>
      <w:r>
        <w:rPr>
          <w:color w:val="1F3864"/>
          <w:u w:val="single"/>
        </w:rPr>
        <w:t xml:space="preserve">NVIDIA. </w:t>
      </w:r>
      <w:r>
        <w:t xml:space="preserve">(2024). </w:t>
      </w:r>
      <w:r>
        <w:rPr>
          <w:i/>
        </w:rPr>
        <w:t>NVIDIA H100 Tensor Core GPU Datasheet</w:t>
      </w:r>
      <w:r>
        <w:t>. nvidia.com.</w:t>
      </w:r>
      <w:bookmarkEnd w:id="541"/>
    </w:p>
    <w:p>
      <w:pPr>
        <w:spacing w:before="0" w:after="80" w:line="240" w:lineRule="exact"/>
        <w:ind w:hanging="720" w:left="720"/>
        <w:jc w:val="both"/>
      </w:pPr>
      <w:bookmarkStart w:id="54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2"/>
    </w:p>
    <w:p>
      <w:pPr>
        <w:spacing w:before="0" w:after="80" w:line="240" w:lineRule="exact"/>
        <w:ind w:hanging="720" w:left="720"/>
        <w:jc w:val="both"/>
      </w:pPr>
      <w:bookmarkStart w:id="543" w:name="Pilz2025"/>
      <w:hyperlink w:anchor="Pilz2025txt" w:history="1">
        <w:r>
          <w:rPr>
            <w:color w:val="1F3864"/>
            <w:u w:val="single"/>
          </w:rPr>
          <w:t xml:space="preserve">Pilz, K., Mahmood, Y., and L. Heim. </w:t>
        </w:r>
      </w:hyperlink>
      <w:r>
        <w:t xml:space="preserve">(2025). </w:t>
      </w:r>
      <w:r>
        <w:rPr>
          <w:i/>
        </w:rPr>
        <w:t>AI’s Power Requirements Under Exponential Growth</w:t>
      </w:r>
      <w:r>
        <w:t>. Santa Monica, CA: RAND Corporation, RR-A3572-1.</w:t>
      </w:r>
      <w:bookmarkEnd w:id="543"/>
    </w:p>
    <w:p>
      <w:pPr>
        <w:spacing w:before="0" w:after="80" w:line="240" w:lineRule="exact"/>
        <w:ind w:hanging="720" w:left="720"/>
        <w:jc w:val="both"/>
      </w:pPr>
      <w:bookmarkStart w:id="544" w:name="Sastry2024"/>
      <w:hyperlink w:anchor="Sastry2024txt" w:history="1">
        <w:r>
          <w:rPr>
            <w:color w:val="1F3864"/>
            <w:u w:val="single"/>
          </w:rPr>
          <w:t xml:space="preserve">Sastry, G., Heim, L., Belfield, H., Anderljung, M., Brundage, M., Hazell, J., O’Keefe, C., Hadfield, G. K., Ngo, R., Pilz, K., Gor, G., Bluemke, E., Shoker, S., Egan, J., Trager, R. F., Avin, S., Weller, A., Bengio, Y., and D. Coyle. (2024). </w:t>
        </w:r>
      </w:hyperlink>
      <w:r>
        <w:t>“Computing Power and the Governance of Artificial Intelligence.” arXiv:2402.08797.</w:t>
      </w:r>
      <w:bookmarkEnd w:id="544"/>
    </w:p>
    <w:p>
      <w:pPr>
        <w:spacing w:before="0" w:after="80" w:line="240" w:lineRule="exact"/>
        <w:ind w:hanging="720" w:left="720"/>
        <w:jc w:val="both"/>
      </w:pPr>
      <w:bookmarkStart w:id="545" w:name="SevillaEtAl2022"/>
      <w:hyperlink w:anchor="SevillaEtAl2022txt" w:history="1">
        <w:r>
          <w:rPr>
            <w:color w:val="1F3864"/>
            <w:u w:val="single"/>
          </w:rPr>
          <w:t xml:space="preserve">Sevilla, J., Heim, L., Ho, A., Besiroglu, T., Hobbhahn, M., and P. Villalobos. (2022). </w:t>
        </w:r>
      </w:hyperlink>
      <w:r>
        <w:t>“Compute Trends across Three Eras of Machine Learning.” arXiv Working Paper No. 2202.05924. https://doi.org/10.48550/arXiv.2202.05924.</w:t>
      </w:r>
      <w:bookmarkEnd w:id="545"/>
    </w:p>
    <w:p>
      <w:pPr>
        <w:spacing w:before="0" w:after="80" w:line="240" w:lineRule="exact"/>
        <w:ind w:hanging="720" w:left="720"/>
        <w:jc w:val="both"/>
      </w:pPr>
      <w:bookmarkStart w:id="546" w:name="Stojkoski2024"/>
      <w:hyperlink w:anchor="Stojkoski2024txt" w:history="1">
        <w:r>
          <w:rPr>
            <w:color w:val="1F3864"/>
            <w:u w:val="single"/>
          </w:rPr>
          <w:t xml:space="preserve">Stojkoski, V., Koch, P., Coll, E., and C. A. Hidalgo. (2024). </w:t>
        </w:r>
      </w:hyperlink>
      <w:r>
        <w:t xml:space="preserve">“Estimating Digital Product Trade through Corporate Revenue Data.” </w:t>
      </w:r>
      <w:r>
        <w:rPr>
          <w:i/>
        </w:rPr>
        <w:t>Nature Communications</w:t>
      </w:r>
      <w:r>
        <w:t>, 15: 5262.</w:t>
      </w:r>
      <w:bookmarkEnd w:id="546"/>
    </w:p>
    <w:p>
      <w:pPr>
        <w:spacing w:before="0" w:after="80" w:line="240" w:lineRule="exact"/>
        <w:ind w:hanging="720" w:left="720"/>
        <w:jc w:val="both"/>
      </w:pPr>
      <w:bookmarkStart w:id="547" w:name="StraubEtAl2026"/>
      <w:hyperlink w:anchor="StraubEtAl2026txt" w:history="1">
        <w:r>
          <w:rPr>
            <w:color w:val="1F3864"/>
            <w:u w:val="single"/>
          </w:rPr>
          <w:t xml:space="preserve">Straub, S., He, H., Li, Y., Lyu, X., Steinbuks, J., Vergara Cobos, E., Dann, C., García-Santana, M., and H. Selod. </w:t>
        </w:r>
      </w:hyperlink>
      <w:r>
        <w:t xml:space="preserve">(2026). </w:t>
      </w:r>
      <w:r>
        <w:rPr>
          <w:i/>
        </w:rPr>
        <w:t>Infrastructure Foundations: From Current Assets to Future Growth</w:t>
      </w:r>
      <w:r>
        <w:t xml:space="preserve">. Sustainable Infrastructure Series. Washington, DC: </w:t>
      </w:r>
      <w:bookmarkStart w:id="240" w:name="WorldBank2024txt"/>
      <w:hyperlink w:anchor="WorldBank2024" w:history="1">
        <w:r>
          <w:rPr>
            <w:color w:val="1F3864"/>
            <w:u w:val="single"/>
          </w:rPr>
          <w:t xml:space="preserve">World Bank</w:t>
        </w:r>
      </w:hyperlink>
      <w:bookmarkEnd w:id="240"/>
      <w:r>
        <w:t xml:space="preserve">.</w:t>
      </w:r>
      <w:bookmarkEnd w:id="547"/>
    </w:p>
    <w:p>
      <w:pPr>
        <w:spacing w:before="0" w:after="80" w:line="240" w:lineRule="exact"/>
        <w:ind w:hanging="720" w:left="720"/>
        <w:jc w:val="both"/>
      </w:pPr>
      <w:bookmarkStart w:id="54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8"/>
    </w:p>
    <w:p>
      <w:pPr>
        <w:spacing w:before="0" w:after="80" w:line="240" w:lineRule="exact"/>
        <w:ind w:hanging="720" w:left="720"/>
        <w:jc w:val="both"/>
      </w:pPr>
      <w:bookmarkStart w:id="54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9"/>
    </w:p>
    <w:p>
      <w:pPr>
        <w:spacing w:before="0" w:after="80" w:line="240" w:lineRule="exact"/>
        <w:ind w:hanging="720" w:left="720"/>
        <w:jc w:val="both"/>
      </w:pPr>
      <w:bookmarkStart w:id="550"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50"/>
    </w:p>
    <w:p>
      <w:pPr>
        <w:spacing w:before="0" w:after="80" w:line="240" w:lineRule="exact"/>
        <w:ind w:hanging="720" w:left="720"/>
        <w:jc w:val="both"/>
      </w:pPr>
      <w:bookmarkStart w:id="551"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51"/>
    </w:p>
    <w:p>
      <w:pPr>
        <w:spacing w:before="0" w:after="80" w:line="240" w:lineRule="exact"/>
        <w:ind w:hanging="720" w:left="720"/>
        <w:jc w:val="both"/>
      </w:pPr>
      <w:bookmarkStart w:id="552"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41" w:name="WorldBank2024txt"/>
      <w:hyperlink w:anchor="WorldBank2024" w:history="1">
        <w:r>
          <w:rPr>
            <w:color w:val="1F3864"/>
            <w:u w:val="single"/>
          </w:rPr>
          <w:t xml:space="preserve">World Bank</w:t>
        </w:r>
      </w:hyperlink>
      <w:bookmarkEnd w:id="241"/>
      <w:r>
        <w:t xml:space="preserve">.</w:t>
      </w:r>
      <w:bookmarkEnd w:id="552"/>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columns (1)–(3) suppress by amortizing hardware at a single straight-line ρ with no financing cost.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2" w:name="ADB2020txt"/>
      <w:hyperlink w:anchor="ADB2020" w:history="1">
        <w:r>
          <w:rPr>
            <w:color w:val="1F3864"/>
            <w:u w:val="single"/>
          </w:rPr>
          <w:t xml:space="preserve">ADB 2020</w:t>
        </w:r>
      </w:hyperlink>
      <w:bookmarkEnd w:id="242"/>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p>
      <w:pPr>
        <w:pStyle w:val="Heading1"/>
      </w:pPr>
      <w:r>
        <w:rPr>
          <w:rFonts w:ascii="Times New Roman" w:hAnsi="Times New Roman"/>
          <w:b/>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3" w:name="IMF2025txt"/>
      <w:hyperlink w:anchor="IMF2025" w:history="1">
        <w:r>
          <w:rPr>
            <w:color w:val="1F3864"/>
            <w:u w:val="single"/>
          </w:rPr>
          <w:t xml:space="preserve">IMF 2025</w:t>
        </w:r>
      </w:hyperlink>
      <w:bookmarkEnd w:id="243"/>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Borenstein (2012) and Davis and Hausman (2016). Korea receives $0.020/kWh reflecting KEPCO industrial tariffs below cost-of-service (OECD Energy Policy Review). All other countries receive zero.</w:t>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cheapest producers are Kyrgyzstan, Ethiopia, Kosovo, Canada, and Tajikistan. Canada drops from rank 2 to rank 4 on a small $0.008 per kilowatt-hour carbon adder. Poland falls 21 positions, Germany 10, the United States 10, and France 12. Nordic low-carbon grids and Switzerland move by two positions or fewer. The qualitative conclusion is strengthened, not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 I thank Ivan Torre, Christine Ann McDaniel, and Erhan Artuc for their constructive comments.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At the same time,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there exists some country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Ethiopia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