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20, 2026  19:36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0" w:name="EpochAI2024txt"/>
      <w:hyperlink w:anchor="EpochAI2024" w:history="1">
        <w:r>
          <w:rPr>
            <w:color w:val="1F3864"/>
            <w:u w:val="single"/>
          </w:rPr>
          <w:t xml:space="preserve">Epoch AI 2024</w:t>
        </w:r>
      </w:hyperlink>
      <w:bookmarkEnd w:id="230"/>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1" w:name="WorldBank2024txt"/>
      <w:hyperlink w:anchor="WorldBank2024" w:history="1">
        <w:r>
          <w:rPr>
            <w:color w:val="1F3864"/>
            <w:u w:val="single"/>
          </w:rPr>
          <w:t xml:space="preserve">World Bank 2024</w:t>
        </w:r>
      </w:hyperlink>
      <w:bookmarkEnd w:id="231"/>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2" w:name="Sastry2024txt"/>
      <w:hyperlink w:anchor="Sastry2024" w:history="1">
        <w:r>
          <w:rPr>
            <w:color w:val="1F3864"/>
            <w:u w:val="single"/>
          </w:rPr>
          <w:t xml:space="preserve">Sastry et al. 2024</w:t>
        </w:r>
      </w:hyperlink>
      <w:bookmarkEnd w:id="232"/>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3" w:name="Pilz2025txt"/>
      <w:hyperlink w:anchor="Pilz2025" w:history="1">
        <w:r>
          <w:rPr>
            <w:color w:val="1F3864"/>
            <w:u w:val="single"/>
          </w:rPr>
          <w:t xml:space="preserve">Pilz et al. 2025</w:t>
        </w:r>
      </w:hyperlink>
      <w:bookmarkEnd w:id="233"/>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34" w:name="Korinek2021txt"/>
      <w:hyperlink w:anchor="Korinek2021" w:history="1">
        <w:r>
          <w:rPr>
            <w:color w:val="1F3864"/>
            <w:u w:val="single"/>
          </w:rPr>
          <w:t xml:space="preserve">Korinek and Stiglitz (2021)</w:t>
        </w:r>
      </w:hyperlink>
      <w:bookmarkEnd w:id="234"/>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06" w:name="Hausmann2007txt"/>
      <w:hyperlink w:anchor="Hausmann2007" w:history="1">
        <w:r>
          <w:rPr>
            <w:color w:val="1F3864"/>
            <w:u w:val="single"/>
          </w:rPr>
          <w:t xml:space="preserve">Hausmann, Hwang, and Rodrik (2007)</w:t>
        </w:r>
      </w:hyperlink>
      <w:bookmarkEnd w:id="206"/>
      <w:r>
        <w:t xml:space="preserve">, who show that what a country exports matters for growth. </w:t>
      </w:r>
      <w:bookmarkStart w:id="235" w:name="Limao2001txt"/>
      <w:hyperlink w:anchor="Limao2001" w:history="1">
        <w:r>
          <w:rPr>
            <w:color w:val="1F3864"/>
            <w:u w:val="single"/>
          </w:rPr>
          <w:t xml:space="preserve">Limão and Venables (2001)</w:t>
        </w:r>
      </w:hyperlink>
      <w:bookmarkEnd w:id="235"/>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Tozer, and Whitehead (2013)</w:t>
        </w:r>
      </w:hyperlink>
      <w:bookmarkEnd w:id="207"/>
      <w:r>
        <w:t xml:space="preserve"> show that climate affects data center cooling costs. </w:t>
      </w:r>
      <w:bookmarkStart w:id="246" w:name="Oltmanns2021txt"/>
      <w:hyperlink w:anchor="Oltmanns2021" w:history="1">
        <w:r>
          <w:rPr>
            <w:color w:val="1F3864"/>
            <w:u w:val="single"/>
          </w:rPr>
          <w:t xml:space="preserve">Oltmanns et al. (2021)</w:t>
        </w:r>
      </w:hyperlink>
      <w:bookmarkEnd w:id="246"/>
      <w:r>
        <w:t xml:space="preserve"> model data center location as a function of electricity prices, climate, connectivity, and political stability.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2" w:name="Brainard1997txt"/>
      <w:hyperlink w:anchor="Brainard1997" w:history="1">
        <w:r>
          <w:rPr>
            <w:color w:val="1F3864"/>
            <w:u w:val="single"/>
          </w:rPr>
          <w:t xml:space="preserve">Brainard (1997)</w:t>
        </w:r>
      </w:hyperlink>
      <w:bookmarkEnd w:id="252"/>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Melitz, and Yeaple (2004)</w:t>
        </w:r>
      </w:hyperlink>
      <w:bookmarkEnd w:id="236"/>
      <w:r>
        <w:t xml:space="preserve"> extend this to heterogeneous firms choosing between exporting and FDI.</w:t>
      </w:r>
    </w:p>
    <w:p>
      <w:pPr>
        <w:spacing w:before="0" w:after="160"/>
        <w:ind w:firstLine="0"/>
        <w:jc w:val="both"/>
      </w:pPr>
      <w:r>
        <w:t xml:space="preserve">On the governance side, </w:t>
      </w:r>
      <w:bookmarkStart w:id="237" w:name="Sastry2024txt"/>
      <w:hyperlink w:anchor="Sastry2024" w:history="1">
        <w:r>
          <w:rPr>
            <w:color w:val="1F3864"/>
            <w:u w:val="single"/>
          </w:rPr>
          <w:t xml:space="preserve">Sastry et al. (2024)</w:t>
        </w:r>
      </w:hyperlink>
      <w:bookmarkEnd w:id="237"/>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7" w:name="Stojkoski2024txt"/>
      <w:hyperlink w:anchor="Stojkoski2024" w:history="1">
        <w:r>
          <w:rPr>
            <w:color w:val="1F3864"/>
            <w:u w:val="single"/>
          </w:rPr>
          <w:t xml:space="preserve">Stojkoski et al. 2024</w:t>
        </w:r>
      </w:hyperlink>
      <w:bookmarkEnd w:id="247"/>
      <w:r>
        <w:t xml:space="preserve">), but the report offers descriptive evidence without a formal framework linking production costs to trade patterns. On the industrial organization side, </w:t>
      </w:r>
      <w:bookmarkStart w:id="238" w:name="Biglaiser2024txt"/>
      <w:hyperlink w:anchor="Biglaiser2024" w:history="1">
        <w:r>
          <w:rPr>
            <w:color w:val="1F3864"/>
            <w:u w:val="single"/>
          </w:rPr>
          <w:t xml:space="preserve">Biglaiser et al. (2024)</w:t>
        </w:r>
      </w:hyperlink>
      <w:bookmarkEnd w:id="238"/>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w:t>
      </w:r>
      <w:r>
        <w:br/>
        <w:t xml:space="preserve">(i)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r>
        <w:br/>
        <w:t xml:space="preserve">(ii)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r>
        <w:br/>
        <w:t xml:space="preserve">(iii)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r>
        <w:br/>
        <w:t xml:space="preserve">(iv)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sovereignty premium is large enough to justify domestic production of both training and inference.</w:t>
      </w:r>
      <w:r>
        <w:br/>
        <w:t xml:space="preserve">(v)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r>
        <w:br/>
        <w:t>The remaining four combinations cannot arise in equilibrium. A training exporter cannot simultaneously produce inference domestically or import it: a country cheap enough to win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39" w:name="Eurostat2025txt"/>
      <w:hyperlink w:anchor="Eurostat2025" w:history="1">
        <w:r>
          <w:rPr>
            <w:color w:val="1F3864"/>
            <w:u w:val="single"/>
          </w:rPr>
          <w:t xml:space="preserve">Eurostat 2025</w:t>
        </w:r>
      </w:hyperlink>
      <w:bookmarkEnd w:id="239"/>
      <w:r>
        <w:t xml:space="preserve">). For non-European countries, the paper uses national regulator tariff sheets and secondary sources, including the U.S. Energy Information Administration (</w:t>
      </w:r>
      <w:bookmarkStart w:id="248" w:name="EIA2025txt"/>
      <w:hyperlink w:anchor="EIA2025" w:history="1">
        <w:r>
          <w:rPr>
            <w:color w:val="1F3864"/>
            <w:u w:val="single"/>
          </w:rPr>
          <w:t xml:space="preserve">EIA 2025</w:t>
        </w:r>
      </w:hyperlink>
      <w:bookmarkEnd w:id="248"/>
      <w:r>
        <w:t xml:space="preserve">) for the United States, KEPCO for South Korea, national utility tariffs for Central Asian countries (Barki Tojik, AERA, Ministry of Energy of Uzbekistan),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which covers 37 countries. For the remaining countries, costs are predicted using a log-linear regression of ln($/W) on GDP per capita, population, urbanization, seismic risk, and regional dummies (Appendix E). Since construction is only 3–6% of total per-GPU-hour costs, imputation error has a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5" w:name="Barroso2018txt"/>
      <w:hyperlink w:anchor="Barroso2018" w:history="1">
        <w:r>
          <w:rPr>
            <w:color w:val="1F3864"/>
            <w:u w:val="single"/>
          </w:rPr>
          <w:t xml:space="preserve">Barroso, Hölzle, and Ranganathan 2018</w:t>
        </w:r>
      </w:hyperlink>
      <w:bookmarkEnd w:id="215"/>
      <w:r>
        <w:t xml:space="preserve">; </w:t>
      </w:r>
      <w:bookmarkStart w:id="249" w:name="NVIDIA2024txt"/>
      <w:hyperlink w:anchor="NVIDIA2024" w:history="1">
        <w:r>
          <w:rPr>
            <w:color w:val="1F3864"/>
            <w:u w:val="single"/>
          </w:rPr>
          <w:t xml:space="preserve">NVIDIA 2024</w:t>
        </w:r>
      </w:hyperlink>
      <w:bookmarkEnd w:id="249"/>
      <w:r>
        <w:t xml:space="preserve">). Google’s fleet-wide GPU utilization, after years of optimization with custom schedulers and workload packing, runs in the 60–75% range (</w:t>
      </w:r>
      <w:bookmarkStart w:id="240" w:name="Barroso2018txt"/>
      <w:hyperlink w:anchor="Barroso2018" w:history="1">
        <w:r>
          <w:rPr>
            <w:color w:val="1F3864"/>
            <w:u w:val="single"/>
          </w:rPr>
          <w:t xml:space="preserve">Barroso, Hölzle, and Ranganathan 2018</w:t>
        </w:r>
      </w:hyperlink>
      <w:bookmarkEnd w:id="240"/>
      <w:r>
        <w:t xml:space="preserve">). A new entrant in Central Asia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6" w:name="Barroso2018txt"/>
      <w:hyperlink w:anchor="Barroso2018" w:history="1">
        <w:r>
          <w:rPr>
            <w:color w:val="1F3864"/>
            <w:u w:val="single"/>
          </w:rPr>
          <w:t xml:space="preserve">Barroso, Hölzle, and Ranganathan 2018</w:t>
        </w:r>
      </w:hyperlink>
      <w:bookmarkEnd w:id="216"/>
      <w:r>
        <w:t xml:space="preserve">).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17" w:name="Deloitte2020txt"/>
      <w:hyperlink w:anchor="Deloitte2020" w:history="1">
        <w:r>
          <w:rPr>
            <w:color w:val="1F3864"/>
            <w:u w:val="single"/>
          </w:rPr>
          <w:t xml:space="preserve">Deloitte (2020)</w:t>
        </w:r>
      </w:hyperlink>
      <w:bookmarkEnd w:id="217"/>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18" w:name="Deloitte2025txt"/>
      <w:hyperlink w:anchor="Deloitte2025" w:history="1">
        <w:r>
          <w:rPr>
            <w:color w:val="1F3864"/>
            <w:u w:val="single"/>
          </w:rPr>
          <w:t xml:space="preserve">Deloitte 2025</w:t>
        </w:r>
      </w:hyperlink>
      <w:bookmarkEnd w:id="218"/>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19" w:name="WorldBank2024txt"/>
      <w:hyperlink w:anchor="WorldBank2024" w:history="1">
        <w:r>
          <w:rPr>
            <w:color w:val="1F3864"/>
            <w:u w:val="single"/>
          </w:rPr>
          <w:t xml:space="preserve">World Bank</w:t>
        </w:r>
      </w:hyperlink>
      <w:bookmarkEnd w:id="219"/>
      <w:r>
        <w:t xml:space="preserve"> Worldwide Governance Indicators, Rule of Law percentile, rescaled to [0, 1]), grid reliability (inverse of hours without electricity per firm per year, from the </w:t>
      </w:r>
      <w:bookmarkStart w:id="241" w:name="WorldBank2024txt"/>
      <w:hyperlink w:anchor="WorldBank2024" w:history="1">
        <w:r>
          <w:rPr>
            <w:color w:val="1F3864"/>
            <w:u w:val="single"/>
          </w:rPr>
          <w:t xml:space="preserve">World Bank</w:t>
        </w:r>
      </w:hyperlink>
      <w:bookmarkEnd w:id="241"/>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2" w:name="Cloudscene2025txt"/>
      <w:hyperlink w:anchor="Cloudscene2025" w:history="1">
        <w:r>
          <w:rPr>
            <w:color w:val="1F3864"/>
            <w:u w:val="single"/>
          </w:rPr>
          <w:t xml:space="preserve">Cloudscene</w:t>
        </w:r>
      </w:hyperlink>
      <w:bookmarkEnd w:id="242"/>
      <w:r>
        <w:t xml:space="preserve">), are substantially larger on average, and </w:t>
      </w:r>
      <w:bookmarkStart w:id="220" w:name="IEA2025txt"/>
      <w:hyperlink w:anchor="IEA2025" w:history="1">
        <w:r>
          <w:rPr>
            <w:color w:val="1F3864"/>
            <w:u w:val="single"/>
          </w:rPr>
          <w:t xml:space="preserve">IEA (2025)</w:t>
        </w:r>
      </w:hyperlink>
      <w:bookmarkEnd w:id="220"/>
      <w:r>
        <w:t xml:space="preserve"> data confirm that China accounts for roughly 25% of global data center electricity consumption compared with 44% for the United States. Since all results below depend only on demand shares, not on the absolute level </w:t>
      </w:r>
      <m:oMath>
        <m:r>
          <m:rPr>
            <m:sty m:val="i"/>
          </m:rPr>
          <w:rPr>
            <w:rFonts w:ascii="Cambria Math" w:hAnsi="Cambria Math"/>
          </w:rPr>
          <m:t xml:space="preserve">Q</m:t>
        </m:r>
      </m:oMath>
      <w:r>
        <w:t xml:space="preserve">, the calibration does not require an estimate of total global compute spending.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1" w:name="UptimeInstitute2024txt"/>
      <w:hyperlink w:anchor="UptimeInstitute2024" w:history="1">
        <w:r>
          <w:rPr>
            <w:color w:val="1F3864"/>
            <w:u w:val="single"/>
          </w:rPr>
          <w:t xml:space="preserve">Uptime Institute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4" w:name="Eq2txt904"/>
      <w:hyperlink w:anchor="Eq2" w:history="1">
        <w:r>
          <w:rPr>
            <w:color w:val="1F3864"/>
            <w:u w:val="single"/>
          </w:rPr>
          <w:t xml:space="preserve">equation (2)</w:t>
        </w:r>
      </w:hyperlink>
      <w:bookmarkEnd w:id="904"/>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over 90% of engineering costs and are identical everywhere, the cross-country cost spread is narrow (about 12%).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3txt905"/>
      <w:hyperlink w:anchor="Eq3" w:history="1">
        <w:r>
          <w:rPr>
            <w:color w:val="1F3864"/>
            <w:u w:val="single"/>
          </w:rPr>
          <w:t xml:space="preserve">equation (3)</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4" w:name="WorldBank2025txt"/>
      <w:hyperlink w:anchor="WorldBank2025" w:history="1">
        <w:r>
          <w:rPr>
            <w:color w:val="1F3864"/>
            <w:u w:val="single"/>
          </w:rPr>
          <w:t xml:space="preserve">World Bank (2025)</w:t>
        </w:r>
      </w:hyperlink>
      <w:bookmarkEnd w:id="224"/>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5" w:name="Krugman1991txt"/>
      <w:hyperlink w:anchor="Krugman1991" w:history="1">
        <w:r>
          <w:rPr>
            <w:color w:val="1F3864"/>
            <w:u w:val="single"/>
          </w:rPr>
          <w:t xml:space="preserve">Krugman 1991</w:t>
        </w:r>
      </w:hyperlink>
      <w:bookmarkEnd w:id="225"/>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12%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26" w:name="ACR2012txt"/>
      <w:hyperlink w:anchor="ACR2012" w:history="1">
        <w:r>
          <w:rPr>
            <w:color w:val="1F3864"/>
            <w:u w:val="single"/>
          </w:rPr>
          <w:t xml:space="preserve">Arkolakis, Costinot, and Rodríguez-Clare 2012</w:t>
        </w:r>
      </w:hyperlink>
      <w:bookmarkEnd w:id="226"/>
      <w:r>
        <w:t xml:space="preserve">). The model generates a country taxonomy (full importers, training exporters, inference hubs, and hybrid regimes) that maps onto observed investment patterns. This geographic structure is consistent with </w:t>
      </w:r>
      <w:bookmarkStart w:id="244" w:name="Lehdonvirta2024txt"/>
      <w:hyperlink w:anchor="Lehdonvirta2024" w:history="1">
        <w:r>
          <w:rPr>
            <w:color w:val="1F3864"/>
            <w:u w:val="single"/>
          </w:rPr>
          <w:t xml:space="preserve">Lehdonvirta, Wu, and Hawkins (2024)</w:t>
        </w:r>
      </w:hyperlink>
      <w:bookmarkEnd w:id="244"/>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7" w:name="vanderPloeg2011txt"/>
      <w:hyperlink w:anchor="vanderPloeg2011" w:history="1">
        <w:r>
          <w:rPr>
            <w:color w:val="1F3864"/>
            <w:u w:val="single"/>
          </w:rPr>
          <w:t xml:space="preserve">van der Ploeg 2011</w:t>
        </w:r>
      </w:hyperlink>
      <w:bookmarkEnd w:id="227"/>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hyperlink w:anchor="Deloitte2020txt" w:history="1">
        <w:r>
          <w:rPr>
            <w:color w:val="1F3864"/>
            <w:u w:val="single"/>
          </w:rPr>
          <w:t xml:space="preserve">Deloitte and Google. (2020). </w:t>
        </w:r>
      </w:hyperlink>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7"/>
    </w:p>
    <w:p>
      <w:pPr>
        <w:spacing w:before="0" w:after="80" w:line="240" w:lineRule="exact"/>
        <w:ind w:hanging="720" w:left="720"/>
        <w:jc w:val="both"/>
      </w:pPr>
      <w:bookmarkStart w:id="508" w:name="EpochAI2024"/>
      <w:hyperlink w:anchor="EpochAI2024txt" w:history="1">
        <w:r>
          <w:rPr>
            <w:color w:val="1F3864"/>
            <w:u w:val="single"/>
          </w:rPr>
          <w:t xml:space="preserve">Epoch AI. (2024). </w:t>
        </w:r>
      </w:hyperlink>
      <w:r>
        <w:t>“The Training Compute of Notable AI Models.” epochai.org.</w:t>
      </w:r>
      <w:bookmarkEnd w:id="508"/>
    </w:p>
    <w:p>
      <w:pPr>
        <w:spacing w:before="0" w:after="80" w:line="240" w:lineRule="exact"/>
        <w:ind w:hanging="720" w:left="720"/>
        <w:jc w:val="both"/>
      </w:pPr>
      <w:bookmarkStart w:id="509"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9"/>
    </w:p>
    <w:p>
      <w:pPr>
        <w:spacing w:before="0" w:after="80" w:line="240" w:lineRule="exact"/>
        <w:ind w:hanging="720" w:left="720"/>
        <w:jc w:val="both"/>
      </w:pPr>
      <w:bookmarkStart w:id="510"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0"/>
    </w:p>
    <w:p>
      <w:pPr>
        <w:spacing w:before="0" w:after="80" w:line="240" w:lineRule="exact"/>
        <w:ind w:hanging="720" w:left="720"/>
        <w:jc w:val="both"/>
      </w:pPr>
      <w:bookmarkStart w:id="511"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1"/>
    </w:p>
    <w:p>
      <w:pPr>
        <w:spacing w:before="0" w:after="80" w:line="240" w:lineRule="exact"/>
        <w:ind w:hanging="720" w:left="720"/>
        <w:jc w:val="both"/>
      </w:pPr>
      <w:bookmarkStart w:id="512"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2"/>
    </w:p>
    <w:p>
      <w:pPr>
        <w:spacing w:before="0" w:after="80" w:line="240" w:lineRule="exact"/>
        <w:ind w:hanging="720" w:left="720"/>
        <w:jc w:val="both"/>
      </w:pPr>
      <w:bookmarkStart w:id="513"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3"/>
    </w:p>
    <w:p>
      <w:pPr>
        <w:spacing w:before="0" w:after="80" w:line="240" w:lineRule="exact"/>
        <w:ind w:hanging="720" w:left="720"/>
        <w:jc w:val="both"/>
      </w:pPr>
      <w:bookmarkStart w:id="514" w:name="Google2024"/>
      <w:r>
        <w:rPr>
          <w:color w:val="1F3864"/>
          <w:u w:val="single"/>
        </w:rPr>
        <w:t xml:space="preserve">Google. </w:t>
      </w:r>
      <w:r>
        <w:t xml:space="preserve">(2024). </w:t>
      </w:r>
      <w:r>
        <w:rPr>
          <w:i/>
        </w:rPr>
        <w:t>2024 Environmental Report</w:t>
      </w:r>
      <w:r>
        <w:t>. sustainability.google.</w:t>
      </w:r>
      <w:bookmarkEnd w:id="514"/>
    </w:p>
    <w:p>
      <w:pPr>
        <w:spacing w:before="0" w:after="80" w:line="240" w:lineRule="exact"/>
        <w:ind w:hanging="720" w:left="720"/>
        <w:jc w:val="both"/>
      </w:pPr>
      <w:bookmarkStart w:id="515"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5"/>
    </w:p>
    <w:p>
      <w:pPr>
        <w:spacing w:before="0" w:after="80" w:line="240" w:lineRule="exact"/>
        <w:ind w:hanging="720" w:left="720"/>
        <w:jc w:val="both"/>
      </w:pPr>
      <w:bookmarkStart w:id="51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6"/>
    </w:p>
    <w:p>
      <w:pPr>
        <w:spacing w:before="0" w:after="80" w:line="240" w:lineRule="exact"/>
        <w:ind w:hanging="720" w:left="720"/>
        <w:jc w:val="both"/>
      </w:pPr>
      <w:bookmarkStart w:id="51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7"/>
    </w:p>
    <w:p>
      <w:pPr>
        <w:spacing w:before="0" w:after="80" w:line="240" w:lineRule="exact"/>
        <w:ind w:hanging="720" w:left="720"/>
        <w:jc w:val="both"/>
      </w:pPr>
      <w:bookmarkStart w:id="518"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8"/>
    </w:p>
    <w:p>
      <w:pPr>
        <w:spacing w:before="0" w:after="80" w:line="240" w:lineRule="exact"/>
        <w:ind w:hanging="720" w:left="720"/>
        <w:jc w:val="both"/>
      </w:pPr>
      <w:bookmarkStart w:id="519" w:name="IEA2025"/>
      <w:hyperlink w:anchor="IEA2025txt" w:history="1">
        <w:r>
          <w:rPr>
            <w:color w:val="1F3864"/>
            <w:u w:val="single"/>
          </w:rPr>
          <w:t xml:space="preserve">IEA. (2025). </w:t>
        </w:r>
      </w:hyperlink>
      <w:r>
        <w:t>“Energy Demand from AI.” Published online at iea.org.</w:t>
      </w:r>
      <w:bookmarkEnd w:id="519"/>
    </w:p>
    <w:p>
      <w:pPr>
        <w:spacing w:before="0" w:after="80" w:line="240" w:lineRule="exact"/>
        <w:ind w:hanging="720" w:left="720"/>
        <w:jc w:val="both"/>
      </w:pPr>
      <w:bookmarkStart w:id="520"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0"/>
    </w:p>
    <w:p>
      <w:pPr>
        <w:spacing w:before="0" w:after="80" w:line="240" w:lineRule="exact"/>
        <w:ind w:hanging="720" w:left="720"/>
        <w:jc w:val="both"/>
      </w:pPr>
      <w:bookmarkStart w:id="52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1"/>
    </w:p>
    <w:p>
      <w:pPr>
        <w:spacing w:before="0" w:after="80" w:line="240" w:lineRule="exact"/>
        <w:ind w:hanging="720" w:left="720"/>
        <w:jc w:val="both"/>
      </w:pPr>
      <w:bookmarkStart w:id="52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2"/>
    </w:p>
    <w:p>
      <w:pPr>
        <w:spacing w:before="0" w:after="80" w:line="240" w:lineRule="exact"/>
        <w:ind w:hanging="720" w:left="720"/>
        <w:jc w:val="both"/>
      </w:pPr>
      <w:bookmarkStart w:id="52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3"/>
    </w:p>
    <w:p>
      <w:pPr>
        <w:spacing w:before="0" w:after="80" w:line="240" w:lineRule="exact"/>
        <w:ind w:hanging="720" w:left="720"/>
        <w:jc w:val="both"/>
      </w:pPr>
      <w:bookmarkStart w:id="52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4"/>
    </w:p>
    <w:p>
      <w:pPr>
        <w:spacing w:before="0" w:after="80" w:line="240" w:lineRule="exact"/>
        <w:ind w:hanging="720" w:left="720"/>
        <w:jc w:val="both"/>
      </w:pPr>
      <w:bookmarkStart w:id="52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8" w:name="WorldBank2024txt"/>
      <w:hyperlink w:anchor="WorldBank2024" w:history="1">
        <w:r>
          <w:rPr>
            <w:i/>
            <w:color w:val="1F3864"/>
            <w:u w:val="single"/>
          </w:rPr>
          <w:t xml:space="preserve">World Bank</w:t>
        </w:r>
      </w:hyperlink>
      <w:bookmarkEnd w:id="228"/>
      <w:r>
        <w:rPr>
          <w:i/>
        </w:rPr>
        <w:t xml:space="preserve"> Economic Review</w:t>
      </w:r>
      <w:r>
        <w:t>, 15(3): 451–479.</w:t>
      </w:r>
      <w:bookmarkEnd w:id="525"/>
    </w:p>
    <w:p>
      <w:pPr>
        <w:spacing w:before="0" w:after="80" w:line="240" w:lineRule="exact"/>
        <w:ind w:hanging="720" w:left="720"/>
        <w:jc w:val="both"/>
      </w:pPr>
      <w:bookmarkStart w:id="52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6"/>
    </w:p>
    <w:p>
      <w:pPr>
        <w:spacing w:before="0" w:after="80" w:line="240" w:lineRule="exact"/>
        <w:ind w:hanging="720" w:left="720"/>
        <w:jc w:val="both"/>
      </w:pPr>
      <w:bookmarkStart w:id="527"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7"/>
    </w:p>
    <w:p>
      <w:pPr>
        <w:spacing w:before="0" w:after="80" w:line="240" w:lineRule="exact"/>
        <w:ind w:hanging="720" w:left="720"/>
        <w:jc w:val="both"/>
      </w:pPr>
      <w:bookmarkStart w:id="52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28"/>
    </w:p>
    <w:p>
      <w:pPr>
        <w:spacing w:before="0" w:after="80" w:line="240" w:lineRule="exact"/>
        <w:ind w:hanging="720" w:left="720"/>
        <w:jc w:val="both"/>
      </w:pPr>
      <w:bookmarkStart w:id="529"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9"/>
    </w:p>
    <w:p>
      <w:pPr>
        <w:spacing w:before="0" w:after="80" w:line="240" w:lineRule="exact"/>
        <w:ind w:hanging="720" w:left="720"/>
        <w:jc w:val="both"/>
      </w:pPr>
      <w:bookmarkStart w:id="530"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0"/>
    </w:p>
    <w:p>
      <w:pPr>
        <w:spacing w:before="0" w:after="80" w:line="240" w:lineRule="exact"/>
        <w:ind w:hanging="720" w:left="720"/>
        <w:jc w:val="both"/>
      </w:pPr>
      <w:bookmarkStart w:id="531" w:name="Sastry2024"/>
      <w:hyperlink w:anchor="Sastry2024txt" w:history="1">
        <w:r>
          <w:rPr>
            <w:color w:val="1F3864"/>
            <w:u w:val="single"/>
          </w:rPr>
          <w:t xml:space="preserve">Sastry, G., L. Heim, et al. (2024). </w:t>
        </w:r>
      </w:hyperlink>
      <w:r>
        <w:t>“Computing Power and the Governance of Artificial Intelligence.” arXiv:2402.08797.</w:t>
      </w:r>
      <w:bookmarkEnd w:id="531"/>
    </w:p>
    <w:p>
      <w:pPr>
        <w:spacing w:before="0" w:after="80" w:line="240" w:lineRule="exact"/>
        <w:ind w:hanging="720" w:left="720"/>
        <w:jc w:val="both"/>
      </w:pPr>
      <w:bookmarkStart w:id="532"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2"/>
    </w:p>
    <w:p>
      <w:pPr>
        <w:spacing w:before="0" w:after="80" w:line="240" w:lineRule="exact"/>
        <w:ind w:hanging="720" w:left="720"/>
        <w:jc w:val="both"/>
      </w:pPr>
      <w:bookmarkStart w:id="53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3"/>
    </w:p>
    <w:p>
      <w:pPr>
        <w:spacing w:before="0" w:after="80" w:line="240" w:lineRule="exact"/>
        <w:ind w:hanging="720" w:left="720"/>
        <w:jc w:val="both"/>
      </w:pPr>
      <w:bookmarkStart w:id="534" w:name="TurnerLee2025"/>
      <w:hyperlink w:anchor="TurnerLee2025txt" w:history="1">
        <w:r>
          <w:rPr>
            <w:color w:val="1F3864"/>
            <w:u w:val="single"/>
          </w:rPr>
          <w:t xml:space="preserve">Turner Lee, N., and D. West. (2025). </w:t>
        </w:r>
      </w:hyperlink>
      <w:r>
        <w:t>“The Future of Data Centers.” Brookings Institution, November 2025.</w:t>
      </w:r>
      <w:bookmarkEnd w:id="534"/>
    </w:p>
    <w:p>
      <w:pPr>
        <w:spacing w:before="0" w:after="80" w:line="240" w:lineRule="exact"/>
        <w:ind w:hanging="720" w:left="720"/>
        <w:jc w:val="both"/>
      </w:pPr>
      <w:bookmarkStart w:id="535" w:name="DOJFTC2010"/>
      <w:r>
        <w:rPr>
          <w:color w:val="1F3864"/>
          <w:u w:val="single"/>
        </w:rPr>
        <w:t xml:space="preserve">U.S. Department of Justice and Federal Trade Commission. </w:t>
      </w:r>
      <w:r>
        <w:t xml:space="preserve">(2010). </w:t>
      </w:r>
      <w:r>
        <w:rPr>
          <w:i/>
        </w:rPr>
        <w:t>Horizontal Merger Guidelines</w:t>
      </w:r>
      <w:r>
        <w:t>. Washington, DC.</w:t>
      </w:r>
      <w:bookmarkEnd w:id="535"/>
    </w:p>
    <w:p>
      <w:pPr>
        <w:spacing w:before="0" w:after="80" w:line="240" w:lineRule="exact"/>
        <w:ind w:hanging="720" w:left="720"/>
        <w:jc w:val="both"/>
      </w:pPr>
      <w:bookmarkStart w:id="536" w:name="UNCTAD2025"/>
      <w:r>
        <w:rPr>
          <w:color w:val="1F3864"/>
          <w:u w:val="single"/>
        </w:rPr>
        <w:t xml:space="preserve">UNCTAD. </w:t>
      </w:r>
      <w:r>
        <w:t xml:space="preserve">(2025). </w:t>
      </w:r>
      <w:r>
        <w:rPr>
          <w:i/>
        </w:rPr>
        <w:t>Technology and Innovation Report 2025</w:t>
      </w:r>
      <w:r>
        <w:t>. Geneva: United Nations.</w:t>
      </w:r>
      <w:bookmarkEnd w:id="536"/>
    </w:p>
    <w:p>
      <w:pPr>
        <w:spacing w:before="0" w:after="80" w:line="240" w:lineRule="exact"/>
        <w:ind w:hanging="720" w:left="720"/>
        <w:jc w:val="both"/>
      </w:pPr>
      <w:bookmarkStart w:id="53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7"/>
    </w:p>
    <w:p>
      <w:pPr>
        <w:spacing w:before="0" w:after="80" w:line="240" w:lineRule="exact"/>
        <w:ind w:hanging="720" w:left="720"/>
        <w:jc w:val="both"/>
      </w:pPr>
      <w:bookmarkStart w:id="538"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9" w:name="WorldBank2024txt"/>
      <w:hyperlink w:anchor="WorldBank2024" w:history="1">
        <w:r>
          <w:rPr>
            <w:color w:val="1F3864"/>
            <w:u w:val="single"/>
          </w:rPr>
          <w:t xml:space="preserve">World Bank</w:t>
        </w:r>
      </w:hyperlink>
      <w:bookmarkEnd w:id="229"/>
      <w:r>
        <w:t xml:space="preserve">.</w:t>
      </w:r>
      <w:bookmarkEnd w:id="541"/>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(1)</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(1)</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(1)</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(1)</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(1)</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(1)</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(1)</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hyperlink w:anchor="Google2024" w:history="1">
              <w:r>
                <w:rPr>
                  <w:sz w:val="16"/>
                  <w:color w:val="1F3864"/>
                  <w:u w:val="single"/>
                </w:rPr>
                <w:t xml:space="preserve">Google (2024)</w:t>
              </w:r>
            </w:hyperlink>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(1)</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(2)</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(2)</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(3)</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(3)</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$353</w:t>
            </w:r>
          </w:p>
        </w:tc>
        <w:tc>
          <w:tcPr>
            <w:tcW w:w="2600" w:type="dxa"/>
          </w:tcPr>
          <w:p>
            <w:pPr>
              <w:jc w:val="right"/>
              <w:spacing w:before="10" w:after="10"/>
            </w:pPr>
            <w:r/>
            <w:r>
              <w:rPr>
                <w:sz w:val="16"/>
              </w:rPr>
              <w:t>17.6%</w:t>
            </w:r>
          </w:p>
        </w:tc>
      </w:tr>
      <w:tr>
        <w:tc>
          <w:tcPr>
            <w:tcW w:w="3800" w:type="dxa"/>
          </w:tcPr>
          <w:p>
            <w:pPr>
              <w:spacing w:before="10" w:after="10"/>
            </w:pPr>
            <w:r/>
            <w:r>
              <w:rPr>
                <w:sz w:val="16"/>
              </w:rPr>
              <w:t>GPU price −20%</w:t>
            </w:r>
          </w:p>
        </w:tc>
        <w:tc>
          <w:tcPr>
            <w:tcW w:w="2400" w:type="dxa"/>
          </w:tcPr>
          <w:p>
            <w:pPr>
              <w:spacing w:before="10" w:after="10"/>
            </w:pPr>
            <w:r/>
            <w:r>
              <w:rPr>
                <w:sz w:val="16"/>
              </w:rPr>
              <w:t>$930</w:t>
            </w:r>
          </w:p>
        </w:tc>
        <w:tc>
          <w:tcPr>
            <w:tcW w:w="2600" w:type="dxa"/>
          </w:tcPr>
          <w:p>
            <w:pPr>
              <w:jc w:val="right"/>
              <w:spacing w:before="10" w:after="10"/>
            </w:pPr>
            <w:r/>
            <w:r>
              <w:rPr>
                <w:sz w:val="16"/>
              </w:rPr>
              <w:t>27.6%</w:t>
            </w:r>
          </w:p>
        </w:tc>
      </w:tr>
      <w:tr>
        <w:tc>
          <w:tcPr>
            <w:tcW w:w="3800" w:type="dxa"/>
          </w:tcPr>
          <w:p>
            <w:pPr>
              <w:spacing w:before="10" w:after="10"/>
            </w:pPr>
            <w:r/>
            <w:r>
              <w:rPr>
                <w:sz w:val="16"/>
              </w:rPr>
              <w:t>GPU price +20%</w:t>
            </w:r>
          </w:p>
        </w:tc>
        <w:tc>
          <w:tcPr>
            <w:tcW w:w="2400" w:type="dxa"/>
          </w:tcPr>
          <w:p>
            <w:pPr>
              <w:spacing w:before="10" w:after="10"/>
            </w:pPr>
            <w:r/>
            <w:r>
              <w:rPr>
                <w:sz w:val="16"/>
              </w:rPr>
              <w:t>$-225</w:t>
            </w:r>
          </w:p>
        </w:tc>
        <w:tc>
          <w:tcPr>
            <w:tcW w:w="2600" w:type="dxa"/>
          </w:tcPr>
          <w:p>
            <w:pPr>
              <w:jc w:val="right"/>
              <w:spacing w:before="10" w:after="10"/>
            </w:pPr>
            <w:r/>
            <w:r>
              <w:rPr>
                <w:sz w:val="16"/>
              </w:rPr>
              <w:t>9.7%</w:t>
            </w:r>
          </w:p>
        </w:tc>
      </w:tr>
      <w:tr>
        <w:tc>
          <w:tcPr>
            <w:tcW w:w="3800" w:type="dxa"/>
          </w:tcPr>
          <w:p>
            <w:pPr>
              <w:spacing w:before="10" w:after="10"/>
            </w:pPr>
            <w:r/>
            <w:r>
              <w:rPr>
                <w:sz w:val="16"/>
              </w:rPr>
              <w:t>Electricity +50%</w:t>
            </w:r>
          </w:p>
        </w:tc>
        <w:tc>
          <w:tcPr>
            <w:tcW w:w="2400" w:type="dxa"/>
          </w:tcPr>
          <w:p>
            <w:pPr>
              <w:spacing w:before="10" w:after="10"/>
            </w:pPr>
            <w:r/>
            <w:r>
              <w:rPr>
                <w:sz w:val="16"/>
              </w:rPr>
              <w:t>$305</w:t>
            </w:r>
          </w:p>
        </w:tc>
        <w:tc>
          <w:tcPr>
            <w:tcW w:w="2600" w:type="dxa"/>
          </w:tcPr>
          <w:p>
            <w:pPr>
              <w:jc w:val="right"/>
              <w:spacing w:before="10" w:after="10"/>
            </w:pPr>
            <w:r/>
            <w:r>
              <w:rPr>
                <w:sz w:val="16"/>
              </w:rPr>
              <w:t>16.9%</w:t>
            </w:r>
          </w:p>
        </w:tc>
      </w:tr>
      <w:tr>
        <w:tc>
          <w:tcPr>
            <w:tcW w:w="3800" w:type="dxa"/>
          </w:tcPr>
          <w:p>
            <w:pPr>
              <w:spacing w:before="10" w:after="10"/>
            </w:pPr>
            <w:r/>
            <w:r>
              <w:rPr>
                <w:sz w:val="16"/>
              </w:rPr>
              <w:t>Electricity −25%</w:t>
            </w:r>
          </w:p>
        </w:tc>
        <w:tc>
          <w:tcPr>
            <w:tcW w:w="2400" w:type="dxa"/>
          </w:tcPr>
          <w:p>
            <w:pPr>
              <w:spacing w:before="10" w:after="10"/>
            </w:pPr>
            <w:r/>
            <w:r>
              <w:rPr>
                <w:sz w:val="16"/>
              </w:rPr>
              <w:t>$377</w:t>
            </w:r>
          </w:p>
        </w:tc>
        <w:tc>
          <w:tcPr>
            <w:tcW w:w="2600" w:type="dxa"/>
          </w:tcPr>
          <w:p>
            <w:pPr>
              <w:jc w:val="right"/>
              <w:spacing w:before="10" w:after="10"/>
            </w:pPr>
            <w:r/>
            <w:r>
              <w:rPr>
                <w:sz w:val="16"/>
              </w:rPr>
              <w:t>17.9%</w:t>
            </w:r>
          </w:p>
        </w:tc>
      </w:tr>
      <w:tr>
        <w:tc>
          <w:tcPr>
            <w:tcW w:w="3800" w:type="dxa"/>
          </w:tcPr>
          <w:p>
            <w:pPr>
              <w:spacing w:before="10" w:after="10"/>
            </w:pPr>
            <w:r/>
            <w:r>
              <w:rPr>
                <w:sz w:val="16"/>
              </w:rPr>
              <w:t>Revenue +5%</w:t>
            </w:r>
          </w:p>
        </w:tc>
        <w:tc>
          <w:tcPr>
            <w:tcW w:w="2400" w:type="dxa"/>
          </w:tcPr>
          <w:p>
            <w:pPr>
              <w:spacing w:before="10" w:after="10"/>
            </w:pPr>
            <w:r/>
            <w:r>
              <w:rPr>
                <w:sz w:val="16"/>
              </w:rPr>
              <w:t>$509</w:t>
            </w:r>
          </w:p>
        </w:tc>
        <w:tc>
          <w:tcPr>
            <w:tcW w:w="2600" w:type="dxa"/>
          </w:tcPr>
          <w:p>
            <w:pPr>
              <w:jc w:val="right"/>
              <w:spacing w:before="10" w:after="10"/>
            </w:pPr>
            <w:r/>
            <w:r>
              <w:rPr>
                <w:sz w:val="16"/>
              </w:rPr>
              <w:t>19.8%</w:t>
            </w:r>
          </w:p>
        </w:tc>
      </w:tr>
      <w:tr>
        <w:tc>
          <w:tcPr>
            <w:tcW w:w="3800" w:type="dxa"/>
          </w:tcPr>
          <w:p>
            <w:pPr>
              <w:spacing w:before="10" w:after="10"/>
            </w:pPr>
            <w:r/>
            <w:r>
              <w:rPr>
                <w:sz w:val="16"/>
              </w:rPr>
              <w:t>Revenue −5%</w:t>
            </w:r>
          </w:p>
        </w:tc>
        <w:tc>
          <w:tcPr>
            <w:tcW w:w="2400" w:type="dxa"/>
          </w:tcPr>
          <w:p>
            <w:pPr>
              <w:spacing w:before="10" w:after="10"/>
            </w:pPr>
            <w:r/>
            <w:r>
              <w:rPr>
                <w:sz w:val="16"/>
              </w:rPr>
              <w:t>$198</w:t>
            </w:r>
          </w:p>
        </w:tc>
        <w:tc>
          <w:tcPr>
            <w:tcW w:w="2600" w:type="dxa"/>
          </w:tcPr>
          <w:p>
            <w:pPr>
              <w:jc w:val="right"/>
              <w:spacing w:before="10" w:after="10"/>
            </w:pPr>
            <w:r/>
            <w:r>
              <w:rPr>
                <w:sz w:val="16"/>
              </w:rPr>
              <w:t>15.4%</w:t>
            </w:r>
          </w:p>
        </w:tc>
      </w:tr>
      <w:tr>
        <w:tc>
          <w:tcPr>
            <w:tcW w:w="3800" w:type="dxa"/>
          </w:tcPr>
          <w:p>
            <w:pPr>
              <w:spacing w:before="10" w:after="10"/>
            </w:pPr>
            <w:r/>
            <w:r>
              <w:rPr>
                <w:sz w:val="16"/>
              </w:rPr>
              <w:t>Utilization 80%</w:t>
            </w:r>
          </w:p>
        </w:tc>
        <w:tc>
          <w:tcPr>
            <w:tcW w:w="2400" w:type="dxa"/>
          </w:tcPr>
          <w:p>
            <w:pPr>
              <w:spacing w:before="10" w:after="10"/>
            </w:pPr>
            <w:r/>
            <w:r>
              <w:rPr>
                <w:sz w:val="16"/>
              </w:rPr>
              <w:t>$957</w:t>
            </w:r>
          </w:p>
        </w:tc>
        <w:tc>
          <w:tcPr>
            <w:tcW w:w="2600" w:type="dxa"/>
          </w:tcPr>
          <w:p>
            <w:pPr>
              <w:jc w:val="right"/>
              <w:spacing w:before="10" w:after="10"/>
            </w:pPr>
            <w:r/>
            <w:r>
              <w:rPr>
                <w:sz w:val="16"/>
              </w:rPr>
              <w:t>26.4%</w:t>
            </w:r>
          </w:p>
        </w:tc>
      </w:tr>
      <w:tr>
        <w:tc>
          <w:tcPr>
            <w:tcW w:w="3800" w:type="dxa"/>
          </w:tcPr>
          <w:p>
            <w:pPr>
              <w:spacing w:before="10" w:after="10"/>
            </w:pPr>
            <w:r/>
            <w:r>
              <w:rPr>
                <w:sz w:val="16"/>
              </w:rPr>
              <w:t>Utilization 60%</w:t>
            </w:r>
          </w:p>
        </w:tc>
        <w:tc>
          <w:tcPr>
            <w:tcW w:w="2400" w:type="dxa"/>
          </w:tcPr>
          <w:p>
            <w:pPr>
              <w:spacing w:before="10" w:after="10"/>
            </w:pPr>
            <w:r/>
            <w:r>
              <w:rPr>
                <w:sz w:val="16"/>
              </w:rPr>
              <w:t>$-253</w:t>
            </w:r>
          </w:p>
        </w:tc>
        <w:tc>
          <w:tcPr>
            <w:tcW w:w="2600" w:type="dxa"/>
          </w:tcPr>
          <w:p>
            <w:pPr>
              <w:jc w:val="right"/>
              <w:spacing w:before="10" w:after="10"/>
            </w:pPr>
            <w:r/>
            <w:r>
              <w:rPr>
                <w:sz w:val="16"/>
              </w:rPr>
              <w:t>9.0%</w:t>
            </w:r>
          </w:p>
        </w:tc>
      </w:tr>
      <w:tr>
        <w:tc>
          <w:tcPr>
            <w:tcW w:w="3800" w:type="dxa"/>
          </w:tcPr>
          <w:p>
            <w:pPr>
              <w:spacing w:before="10" w:after="10"/>
            </w:pPr>
            <w:r/>
            <w:r>
              <w:rPr>
                <w:sz w:val="16"/>
              </w:rPr>
              <w:t>WACC 10%</w:t>
            </w:r>
          </w:p>
        </w:tc>
        <w:tc>
          <w:tcPr>
            <w:tcW w:w="2400" w:type="dxa"/>
          </w:tcPr>
          <w:p>
            <w:pPr>
              <w:spacing w:before="10" w:after="10"/>
            </w:pPr>
            <w:r/>
            <w:r>
              <w:rPr>
                <w:sz w:val="16"/>
              </w:rPr>
              <w:t>$619</w:t>
            </w:r>
          </w:p>
        </w:tc>
        <w:tc>
          <w:tcPr>
            <w:tcW w:w="2600" w:type="dxa"/>
          </w:tcPr>
          <w:p>
            <w:pPr>
              <w:jc w:val="right"/>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$95</w:t>
            </w:r>
          </w:p>
        </w:tc>
        <w:tc>
          <w:tcPr>
            <w:tcBorders>
              <w:bottom w:val="double" w:sz="4" w:space="0" w:color="auto"/>
            </w:tcBorders>
            <w:tcW w:w="2600" w:type="dxa"/>
          </w:tcPr>
          <w:p>
            <w:pPr>
              <w:jc w:val="right"/>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