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v31  —  March 13, 2026  21:35</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that distinguishes latency-insensitive training from latency-sensitive inference and incorporates a bilateral sovereignty premium. Calibration across 85 countries shows that several developing countries rank among the cheapest producers under cost-recovery pricing, but bilateral trust deficits sharply curtail developing-country exports. Because hardware dominates unit cost, the cross-country cost spread is only 12–20 percent, making compute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8" w:name="IEA2025txt"/>
      <w:hyperlink w:anchor="IEA2025" w:history="1">
        <w:r>
          <w:rPr>
            <w:color w:val="1F3864"/>
            <w:u w:val="single"/>
          </w:rPr>
          <w:t xml:space="preserve">IEA 2025</w:t>
        </w:r>
      </w:hyperlink>
      <w:bookmarkEnd w:id="238"/>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in a $4 billion investment (</w:t>
      </w:r>
      <w:bookmarkStart w:id="239" w:name="Firebird2026txt"/>
      <w:hyperlink w:anchor="Firebird2026" w:history="1">
        <w:r>
          <w:rPr>
            <w:color w:val="1F3864"/>
            <w:u w:val="single"/>
          </w:rPr>
          <w:t xml:space="preserve">Firebird 2026</w:t>
        </w:r>
      </w:hyperlink>
      <w:bookmarkEnd w:id="239"/>
      <w:r>
        <w:t xml:space="preserve">), Kenya, Saudi Arabia, and Malaysia have each attracted billion-dollar data center commitments, Google has committed $15 billion to India, Microsoft $17.5 billion, CloudHQ is building a $4.8 billion campus in Mexico,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EMDEs accounting for roughly 40 percent of projects (</w:t>
      </w:r>
      <w:bookmarkStart w:id="240" w:name="AykutEtAl2026txt"/>
      <w:hyperlink w:anchor="AykutEtAl2026" w:history="1">
        <w:r>
          <w:rPr>
            <w:color w:val="1F3864"/>
            <w:u w:val="single"/>
          </w:rPr>
          <w:t xml:space="preserve">Aykut et al. 2026</w:t>
        </w:r>
      </w:hyperlink>
      <w:bookmarkEnd w:id="240"/>
      <w:r>
        <w:t xml:space="preserve">). Cloud computing exports already exceed $9 billion annually (</w:t>
      </w:r>
      <w:bookmarkStart w:id="253" w:name="WorldBank2025txt"/>
      <w:hyperlink w:anchor="WorldBank2025" w:history="1">
        <w:r>
          <w:rPr>
            <w:color w:val="1F3864"/>
            <w:u w:val="single"/>
          </w:rPr>
          <w:t xml:space="preserve">World Bank 2025</w:t>
        </w:r>
      </w:hyperlink>
      <w:bookmarkEnd w:id="253"/>
      <w:r>
        <w:t xml:space="preserve">). If Kyrgyzstan builds a 40 MW AI data center, it could generate annual revenue of $630–950 million at wholesale contract rates, equivalent to over 15% of Kyrgyzstan’s $3.8 billion in goods exports (</w:t>
      </w:r>
      <w:bookmarkStart w:id="258" w:name="WorldBank2024txt"/>
      <w:hyperlink w:anchor="WorldBank2024" w:history="1">
        <w:r>
          <w:rPr>
            <w:color w:val="1F3864"/>
            <w:u w:val="single"/>
          </w:rPr>
          <w:t xml:space="preserve">World Bank 2024</w:t>
        </w:r>
      </w:hyperlink>
      <w:bookmarkEnd w:id="258"/>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1" w:name="Sastry2024txt"/>
      <w:hyperlink w:anchor="Sastry2024" w:history="1">
        <w:r>
          <w:rPr>
            <w:color w:val="1F3864"/>
            <w:u w:val="single"/>
          </w:rPr>
          <w:t xml:space="preserve">Sastry et al. 2024</w:t>
        </w:r>
      </w:hyperlink>
      <w:bookmarkEnd w:id="241"/>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2" w:name="Pilz2025txt"/>
      <w:hyperlink w:anchor="Pilz2025" w:history="1">
        <w:r>
          <w:rPr>
            <w:color w:val="1F3864"/>
            <w:u w:val="single"/>
          </w:rPr>
          <w:t xml:space="preserve">Pilz et al. 2025</w:t>
        </w:r>
      </w:hyperlink>
      <w:bookmarkEnd w:id="242"/>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For energy-rich developing countries, the limiting factor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3" w:name="Korinek2021txt"/>
      <w:hyperlink w:anchor="Korinek2021" w:history="1">
        <w:r>
          <w:rPr>
            <w:color w:val="1F3864"/>
            <w:u w:val="single"/>
          </w:rPr>
          <w:t xml:space="preserve">Korinek and Stiglitz (2021)</w:t>
        </w:r>
      </w:hyperlink>
      <w:bookmarkEnd w:id="243"/>
      <w:r>
        <w:t xml:space="preserve"> warn that developing countries may be left behind in the AI revolution; FLOP exporting offers a route in. The concept relates to </w:t>
      </w:r>
      <w:bookmarkStart w:id="259" w:name="Hausmann2007txt"/>
      <w:hyperlink w:anchor="Hausmann2007" w:history="1">
        <w:r>
          <w:rPr>
            <w:color w:val="1F3864"/>
            <w:u w:val="single"/>
          </w:rPr>
          <w:t xml:space="preserve">Hausmann et al. (2007)</w:t>
        </w:r>
      </w:hyperlink>
      <w:bookmarkEnd w:id="259"/>
      <w:r>
        <w:t xml:space="preserve"> on export composition and growth, and to </w:t>
      </w:r>
      <w:bookmarkStart w:id="254" w:name="Limao2001txt"/>
      <w:hyperlink w:anchor="Limao2001" w:history="1">
        <w:r>
          <w:rPr>
            <w:color w:val="1F3864"/>
            <w:u w:val="single"/>
          </w:rPr>
          <w:t xml:space="preserve">Limão and Venables (2001)</w:t>
        </w:r>
      </w:hyperlink>
      <w:bookmarkEnd w:id="254"/>
      <w:r>
        <w:t xml:space="preserve"> on infrastructure as a trade cost determinant.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55" w:name="Liu2023txt"/>
      <w:hyperlink w:anchor="Liu2023" w:history="1">
        <w:r>
          <w:rPr>
            <w:color w:val="1F3864"/>
            <w:u w:val="single"/>
          </w:rPr>
          <w:t xml:space="preserve">Liu et al. (2023)</w:t>
        </w:r>
      </w:hyperlink>
      <w:bookmarkEnd w:id="255"/>
      <w:r>
        <w:t xml:space="preserve"> study data center placement under renewable energy constraints. In international trade theory, </w:t>
      </w:r>
      <w:bookmarkStart w:id="260" w:name="Brainard1997txt"/>
      <w:hyperlink w:anchor="Brainard1997" w:history="1">
        <w:r>
          <w:rPr>
            <w:color w:val="1F3864"/>
            <w:u w:val="single"/>
          </w:rPr>
          <w:t xml:space="preserve">Brainard (1997)</w:t>
        </w:r>
      </w:hyperlink>
      <w:bookmarkEnd w:id="260"/>
      <w:r>
        <w:t xml:space="preserve"> formalizes the proximity-concentration trade-off between serving a market locally and concentrating production abroad, and </w:t>
      </w:r>
      <w:bookmarkStart w:id="244" w:name="HMY2004txt"/>
      <w:hyperlink w:anchor="HMY2004" w:history="1">
        <w:r>
          <w:rPr>
            <w:color w:val="1F3864"/>
            <w:u w:val="single"/>
          </w:rPr>
          <w:t xml:space="preserve">Helpman et al. (2004)</w:t>
        </w:r>
      </w:hyperlink>
      <w:bookmarkEnd w:id="244"/>
      <w:r>
        <w:t xml:space="preserve"> extend this to heterogeneous firms choosing between exporting and FDI.</w:t>
      </w:r>
    </w:p>
    <w:p>
      <w:pPr>
        <w:spacing w:before="0" w:after="160" w:line="360" w:lineRule="auto"/>
        <w:ind w:firstLine="0"/>
        <w:jc w:val="both"/>
      </w:pPr>
      <w:r>
        <w:t xml:space="preserve">On governance, </w:t>
      </w:r>
      <w:bookmarkStart w:id="245" w:name="Sastry2024txt"/>
      <w:hyperlink w:anchor="Sastry2024" w:history="1">
        <w:r>
          <w:rPr>
            <w:color w:val="1F3864"/>
            <w:u w:val="single"/>
          </w:rPr>
          <w:t xml:space="preserve">Sastry et al. (2024)</w:t>
        </w:r>
      </w:hyperlink>
      <w:bookmarkEnd w:id="245"/>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56" w:name="Pilz2025txt"/>
      <w:hyperlink w:anchor="Pilz2025" w:history="1">
        <w:r>
          <w:rPr>
            <w:color w:val="1F3864"/>
            <w:u w:val="single"/>
          </w:rPr>
          <w:t xml:space="preserve">Pilz et al. (2025)</w:t>
        </w:r>
      </w:hyperlink>
      <w:bookmarkEnd w:id="256"/>
      <w:r>
        <w:t xml:space="preserve"> project that data center power demand could reach 327 GW by 2030. The </w:t>
      </w:r>
      <w:bookmarkStart w:id="261" w:name="WorldBank2025txt"/>
      <w:hyperlink w:anchor="WorldBank2025" w:history="1">
        <w:r>
          <w:rPr>
            <w:color w:val="1F3864"/>
            <w:u w:val="single"/>
          </w:rPr>
          <w:t xml:space="preserve">World Bank (2025)</w:t>
        </w:r>
      </w:hyperlink>
      <w:bookmarkEnd w:id="261"/>
      <w:r>
        <w:t xml:space="preserve"> documents the resulting divide,  high-income countries hold 77% of colocation capacity,  but without a formal framework linking costs to trade patterns. </w:t>
      </w:r>
      <w:bookmarkStart w:id="246" w:name="Biglaiser2024txt"/>
      <w:hyperlink w:anchor="Biglaiser2024" w:history="1">
        <w:r>
          <w:rPr>
            <w:color w:val="1F3864"/>
            <w:u w:val="single"/>
          </w:rPr>
          <w:t xml:space="preserve">Biglaiser et al. (2024)</w:t>
        </w:r>
      </w:hyperlink>
      <w:bookmarkEnd w:id="246"/>
      <w:r>
        <w:t xml:space="preserve"> survey cloud market IO, and </w:t>
      </w:r>
      <w:bookmarkStart w:id="257" w:name="Stojkoski2024txt"/>
      <w:hyperlink w:anchor="Stojkoski2024" w:history="1">
        <w:r>
          <w:rPr>
            <w:color w:val="1F3864"/>
            <w:u w:val="single"/>
          </w:rPr>
          <w:t xml:space="preserve">Stojkoski et al. (2024)</w:t>
        </w:r>
      </w:hyperlink>
      <w:bookmarkEnd w:id="257"/>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spacing w:before="0" w:after="160" w:line="360" w:lineRule="auto"/>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16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line="360" w:lineRule="auto"/>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7" w:name="EIA2025txt"/>
      <w:hyperlink w:anchor="EIA2025" w:history="1">
        <w:r>
          <w:rPr>
            <w:color w:val="1F3864"/>
            <w:u w:val="single"/>
          </w:rPr>
          <w:t xml:space="preserve">EIA 2025</w:t>
        </w:r>
      </w:hyperlink>
      <w:bookmarkEnd w:id="247"/>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line="360" w:lineRule="auto"/>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Google2024txt"/>
      <w:hyperlink w:anchor="Google2024" w:history="1">
        <w:r>
          <w:rPr>
            <w:color w:val="1F3864"/>
            <w:u w:val="single"/>
          </w:rPr>
          <w:t xml:space="preserve">Google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8" w:name="IMF2025txt"/>
      <w:hyperlink w:anchor="IMF2025" w:history="1">
        <w:r>
          <w:rPr>
            <w:color w:val="1F3864"/>
            <w:u w:val="single"/>
          </w:rPr>
          <w:t xml:space="preserve">IMF 2025</w:t>
        </w:r>
      </w:hyperlink>
      <w:bookmarkEnd w:id="248"/>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$93 million per year in implicit fiscal transfer. At hyperscale,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line="360" w:lineRule="auto"/>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160" w:line="360" w:lineRule="auto"/>
        <w:ind w:firstLine="0"/>
        <w:jc w:val="both"/>
      </w:pPr>
      <w:r>
        <w:t xml:space="preserve">Recent FDI data confirm this pattern. Among EMDEs, the largest recipients of data-center investment are Malaysia, India, and Brazil—countries with moderate electricity costs but strong regulatory frameworks and credible grid infrastructure—while the cheapest producers in our calibration (Kyrgyzstan, Tajikistan, Ethiopia) have received virtually no data-center FDI (</w:t>
      </w:r>
      <w:bookmarkStart w:id="249" w:name="AykutEtAl2026txt"/>
      <w:hyperlink w:anchor="AykutEtAl2026" w:history="1">
        <w:r>
          <w:rPr>
            <w:color w:val="1F3864"/>
            <w:u w:val="single"/>
          </w:rPr>
          <w:t xml:space="preserve">Aykut et al. 2026</w:t>
        </w:r>
      </w:hyperlink>
      <w:bookmarkEnd w:id="249"/>
      <w:r>
        <w:t xml:space="preserve">). Moreover, most announced investment flows between geopolitical allies, consistent with the bilateral sovereignty premium rather than cost alone determining where capacity is built (</w:t>
      </w:r>
      <w:bookmarkStart w:id="224" w:name="StraubEtAl2026txt"/>
      <w:hyperlink w:anchor="StraubEtAl2026" w:history="1">
        <w:r>
          <w:rPr>
            <w:color w:val="1F3864"/>
            <w:u w:val="single"/>
          </w:rPr>
          <w:t xml:space="preserve">Straub et al. 2026</w:t>
        </w:r>
      </w:hyperlink>
      <w:bookmarkEnd w:id="224"/>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0.9959), confirming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(6%), the United Kingdom (1%), and Indonesia (0.9%), collectively accounting for 77% of cross-border inference demand (HHI = 0.2591).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domestically.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25" w:name="AykutEtAl2026txt"/>
      <w:hyperlink w:anchor="AykutEtAl2026" w:history="1">
        <w:r>
          <w:rPr>
            <w:color w:val="1F3864"/>
            <w:u w:val="single"/>
          </w:rPr>
          <w:t xml:space="preserve">Aykut et al. 2026</w:t>
        </w:r>
      </w:hyperlink>
      <w:bookmarkEnd w:id="225"/>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50" w:name="ACR2012txt"/>
      <w:hyperlink w:anchor="ACR2012" w:history="1">
        <w:r>
          <w:rPr>
            <w:color w:val="1F3864"/>
            <w:u w:val="single"/>
          </w:rPr>
          <w:t xml:space="preserve">Arkolakis et al. 2012</w:t>
        </w:r>
      </w:hyperlink>
      <w:bookmarkEnd w:id="250"/>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the specialization gains that the model predicts. The </w:t>
      </w:r>
      <w:bookmarkStart w:id="227" w:name="WorldBank2025txt"/>
      <w:hyperlink w:anchor="WorldBank2025" w:history="1">
        <w:r>
          <w:rPr>
            <w:color w:val="1F3864"/>
            <w:u w:val="single"/>
          </w:rPr>
          <w:t xml:space="preserve">World Bank (2025)</w:t>
        </w:r>
      </w:hyperlink>
      <w:bookmarkEnd w:id="227"/>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line="360" w:lineRule="auto"/>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that intensify this pressure in water-stressed economies (</w:t>
      </w:r>
      <w:bookmarkStart w:id="228" w:name="AykutEtAl2026txt"/>
      <w:hyperlink w:anchor="AykutEtAl2026" w:history="1">
        <w:r>
          <w:rPr>
            <w:color w:val="1F3864"/>
            <w:u w:val="single"/>
          </w:rPr>
          <w:t xml:space="preserve">Aykut et al. 2026</w:t>
        </w:r>
      </w:hyperlink>
      <w:bookmarkEnd w:id="228"/>
      <w:r>
        <w:t xml:space="preserve">).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29" w:name="Chandramowli2024txt"/>
      <w:hyperlink w:anchor="Chandramowli2024" w:history="1">
        <w:r>
          <w:rPr>
            <w:color w:val="1F3864"/>
            <w:u w:val="single"/>
          </w:rPr>
          <w:t xml:space="preserve">Chandramowli et al. 2024</w:t>
        </w:r>
      </w:hyperlink>
      <w:bookmarkEnd w:id="229"/>
      <w:r>
        <w:t xml:space="preserve">), and AI data-center expansion alone could increase retail prices by 8–9 percent by 2030 (</w:t>
      </w:r>
      <w:bookmarkStart w:id="251" w:name="IMF2025txt"/>
      <w:hyperlink w:anchor="IMF2025" w:history="1">
        <w:r>
          <w:rPr>
            <w:color w:val="1F3864"/>
            <w:u w:val="single"/>
          </w:rPr>
          <w:t xml:space="preserve">IMF 2025</w:t>
        </w:r>
      </w:hyperlink>
      <w:bookmarkEnd w:id="251"/>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erodes the cost advantage that defines FLOP-exporting potential, as the endogenous electricity price extension above illustrates.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making developing-country entry easier. Countries combining cheap energy with adequate governance retain their cost advantage regardless of the particular parameter choice.</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the same narrowness means that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such as non-sanctioned status, credible long-term power contracts, stable network connectivity, and a regulatory environment conducive for capital-intensive investment over a multi-decade horizon. The absence of these conditions shifts most countries toward domestic production at a nontrivial welfare cost. The welfare loss is small enough, however, that governments with legitimate data-sovereignty objectives may prefer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 xml:space="preserve">Cross-country evidence on policy readiness reinforces this conclusion. Economies with advanced AI and cloud strategies—such as Singapore, Australia, Japan, and South Korea—record estimated economic impacts from AI and cloud investment of 3–4 percent of GDP, compared with less than 1 percent in countries such as Indonesia and Viet Nam (</w:t>
      </w:r>
      <w:bookmarkStart w:id="252" w:name="KatzEtAl2025txt"/>
      <w:hyperlink w:anchor="KatzEtAl2025" w:history="1">
        <w:r>
          <w:rPr>
            <w:color w:val="1F3864"/>
            <w:u w:val="single"/>
          </w:rPr>
          <w:t xml:space="preserve">Katz et al. 2025</w:t>
        </w:r>
      </w:hyperlink>
      <w:bookmarkEnd w:id="252"/>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1" w:name="AykutEtAl2026txt"/>
      <w:hyperlink w:anchor="AykutEtAl2026" w:history="1">
        <w:r>
          <w:rPr>
            <w:color w:val="1F3864"/>
            <w:u w:val="single"/>
          </w:rPr>
          <w:t xml:space="preserve">Aykut et al. 2026</w:t>
        </w:r>
      </w:hyperlink>
      <w:bookmarkEnd w:id="231"/>
      <w:r>
        <w:t xml:space="preserve">).</w:t>
      </w:r>
    </w:p>
    <w:p>
      <w:pPr>
        <w:spacing w:before="0" w:after="160" w:line="360" w:lineRule="auto"/>
        <w:ind w:firstLine="0"/>
        <w:jc w:val="both"/>
      </w:pP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present model (</w:t>
      </w:r>
      <w:bookmarkStart w:id="232" w:name="AykutEtAl2026txt"/>
      <w:hyperlink w:anchor="AykutEtAl2026" w:history="1">
        <w:r>
          <w:rPr>
            <w:color w:val="1F3864"/>
            <w:u w:val="single"/>
          </w:rPr>
          <w:t xml:space="preserve">Aykut et al. 2026</w:t>
        </w:r>
      </w:hyperlink>
      <w:bookmarkEnd w:id="232"/>
      <w:r>
        <w:t xml:space="preserve">). Incorporating heterogeneous compute architectures—centralized GPU clusters for training, distributed edge nodes for inference—into the trade framework is a natural direction for future work.</w:t>
      </w:r>
    </w:p>
    <w:p>
      <w:pPr>
        <w:spacing w:before="0" w:after="160" w:line="360" w:lineRule="auto"/>
        <w:ind w:firstLine="0"/>
        <w:jc w:val="both"/>
      </w:pPr>
      <w:r>
        <w:t>FLOP exporting resembles capital-intensive resource processing when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sharper tests of the model’s predictions and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3" w:name="WorldBank2024txt"/>
      <w:hyperlink w:anchor="WorldBank2024" w:history="1">
        <w:r>
          <w:rPr>
            <w:color w:val="1F3864"/>
            <w:u w:val="single"/>
          </w:rPr>
          <w:t xml:space="preserve">World Bank</w:t>
        </w:r>
      </w:hyperlink>
      <w:bookmarkEnd w:id="233"/>
      <w:r>
        <w:t xml:space="preserve"> Group.</w:t>
      </w:r>
      <w:bookmarkEnd w:id="502"/>
    </w:p>
    <w:p>
      <w:pPr>
        <w:spacing w:before="0" w:after="80" w:line="240" w:lineRule="exact"/>
        <w:ind w:hanging="720" w:left="720"/>
        <w:jc w:val="both"/>
      </w:pPr>
      <w:bookmarkStart w:id="503"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3"/>
    </w:p>
    <w:p>
      <w:pPr>
        <w:spacing w:before="0" w:after="80" w:line="240" w:lineRule="exact"/>
        <w:ind w:hanging="720" w:left="720"/>
        <w:jc w:val="both"/>
      </w:pPr>
      <w:bookmarkStart w:id="504"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4"/>
    </w:p>
    <w:p>
      <w:pPr>
        <w:spacing w:before="0" w:after="80" w:line="240" w:lineRule="exact"/>
        <w:ind w:hanging="720" w:left="720"/>
        <w:jc w:val="both"/>
      </w:pPr>
      <w:bookmarkStart w:id="505" w:name="BenzJaax2020"/>
      <w:r>
        <w:rPr>
          <w:color w:val="1F3864"/>
          <w:u w:val="single"/>
        </w:rPr>
        <w:t xml:space="preserve">Benz, S. and A. Jaax. (2020). </w:t>
      </w:r>
      <w:r>
        <w:t xml:space="preserve">“The Costs of Regulatory Barriers to Trade in Services: New Estimates of Ad Valorem Tariff Equivalents.” </w:t>
      </w:r>
      <w:r>
        <w:rPr>
          <w:i/>
        </w:rPr>
        <w:t>OECD Trade Policy Papers</w:t>
      </w:r>
      <w:r>
        <w:t>, No. 238. Paris: OECD Publishing.</w:t>
      </w:r>
      <w:bookmarkEnd w:id="505"/>
    </w:p>
    <w:p>
      <w:pPr>
        <w:spacing w:before="0" w:after="80" w:line="240" w:lineRule="exact"/>
        <w:ind w:hanging="720" w:left="720"/>
        <w:jc w:val="both"/>
      </w:pPr>
      <w:bookmarkStart w:id="506"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6"/>
    </w:p>
    <w:p>
      <w:pPr>
        <w:spacing w:before="0" w:after="80" w:line="240" w:lineRule="exact"/>
        <w:ind w:hanging="720" w:left="720"/>
        <w:jc w:val="both"/>
      </w:pPr>
      <w:bookmarkStart w:id="507"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7"/>
    </w:p>
    <w:p>
      <w:pPr>
        <w:spacing w:before="0" w:after="80" w:line="240" w:lineRule="exact"/>
        <w:ind w:hanging="720" w:left="720"/>
        <w:jc w:val="both"/>
      </w:pPr>
      <w:bookmarkStart w:id="508"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8"/>
    </w:p>
    <w:p>
      <w:pPr>
        <w:spacing w:before="0" w:after="80" w:line="240" w:lineRule="exact"/>
        <w:ind w:hanging="720" w:left="720"/>
        <w:jc w:val="both"/>
      </w:pPr>
      <w:bookmarkStart w:id="509"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9"/>
    </w:p>
    <w:p>
      <w:pPr>
        <w:spacing w:before="0" w:after="80" w:line="240" w:lineRule="exact"/>
        <w:ind w:hanging="720" w:left="720"/>
        <w:jc w:val="both"/>
      </w:pPr>
      <w:bookmarkStart w:id="510"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0"/>
    </w:p>
    <w:p>
      <w:pPr>
        <w:spacing w:before="0" w:after="80" w:line="240" w:lineRule="exact"/>
        <w:ind w:hanging="720" w:left="720"/>
        <w:jc w:val="both"/>
      </w:pPr>
      <w:bookmarkStart w:id="511"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1"/>
    </w:p>
    <w:p>
      <w:pPr>
        <w:spacing w:before="0" w:after="80" w:line="240" w:lineRule="exact"/>
        <w:ind w:hanging="720" w:left="720"/>
        <w:jc w:val="both"/>
      </w:pPr>
      <w:bookmarkStart w:id="512" w:name="Deloitte2020"/>
      <w:hyperlink w:anchor="Deloitte2020txt" w:history="1">
        <w:r>
          <w:rPr>
            <w:color w:val="1F3864"/>
            <w:u w:val="single"/>
          </w:rPr>
          <w:t xml:space="preserve">Deloitte and Google. (2020). </w:t>
        </w:r>
      </w:hyperlink>
      <w:r>
        <w:t>“Milliseconds Make Millions.” Deloitte Digital and Google.</w:t>
      </w:r>
      <w:bookmarkEnd w:id="512"/>
    </w:p>
    <w:p>
      <w:pPr>
        <w:spacing w:before="0" w:after="80" w:line="240" w:lineRule="exact"/>
        <w:ind w:hanging="720" w:left="720"/>
        <w:jc w:val="both"/>
      </w:pPr>
      <w:bookmarkStart w:id="513"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3"/>
    </w:p>
    <w:p>
      <w:pPr>
        <w:spacing w:before="0" w:after="80" w:line="240" w:lineRule="exact"/>
        <w:ind w:hanging="720" w:left="720"/>
        <w:jc w:val="both"/>
      </w:pPr>
      <w:bookmarkStart w:id="514"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4"/>
    </w:p>
    <w:p>
      <w:pPr>
        <w:spacing w:before="0" w:after="80" w:line="240" w:lineRule="exact"/>
        <w:ind w:hanging="720" w:left="720"/>
        <w:jc w:val="both"/>
      </w:pPr>
      <w:bookmarkStart w:id="515"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5"/>
    </w:p>
    <w:p>
      <w:pPr>
        <w:spacing w:before="0" w:after="80" w:line="240" w:lineRule="exact"/>
        <w:ind w:hanging="720" w:left="720"/>
        <w:jc w:val="both"/>
      </w:pPr>
      <w:bookmarkStart w:id="516" w:name="EpochAI2024"/>
      <w:hyperlink w:anchor="EpochAI2024txt" w:history="1">
        <w:r>
          <w:rPr>
            <w:color w:val="1F3864"/>
            <w:u w:val="single"/>
          </w:rPr>
          <w:t xml:space="preserve">Epoch AI. (2024). </w:t>
        </w:r>
      </w:hyperlink>
      <w:r>
        <w:t>“The Training Compute of Notable AI Models.” epochai.org.</w:t>
      </w:r>
      <w:bookmarkEnd w:id="516"/>
    </w:p>
    <w:p>
      <w:pPr>
        <w:spacing w:before="0" w:after="80" w:line="240" w:lineRule="exact"/>
        <w:ind w:hanging="720" w:left="720"/>
        <w:jc w:val="both"/>
      </w:pPr>
      <w:bookmarkStart w:id="517"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7"/>
    </w:p>
    <w:p>
      <w:pPr>
        <w:spacing w:before="0" w:after="80" w:line="240" w:lineRule="exact"/>
        <w:ind w:hanging="720" w:left="720"/>
        <w:jc w:val="both"/>
      </w:pPr>
      <w:bookmarkStart w:id="518"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8"/>
    </w:p>
    <w:p>
      <w:pPr>
        <w:spacing w:before="0" w:after="80" w:line="240" w:lineRule="exact"/>
        <w:ind w:hanging="720" w:left="720"/>
        <w:jc w:val="both"/>
      </w:pPr>
      <w:bookmarkStart w:id="519"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9"/>
    </w:p>
    <w:p>
      <w:pPr>
        <w:spacing w:before="0" w:after="80" w:line="240" w:lineRule="exact"/>
        <w:ind w:hanging="720" w:left="720"/>
        <w:jc w:val="both"/>
      </w:pPr>
      <w:bookmarkStart w:id="520"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0"/>
    </w:p>
    <w:p>
      <w:pPr>
        <w:spacing w:before="0" w:after="80" w:line="240" w:lineRule="exact"/>
        <w:ind w:hanging="720" w:left="720"/>
        <w:jc w:val="both"/>
      </w:pPr>
      <w:bookmarkStart w:id="521"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1"/>
    </w:p>
    <w:p>
      <w:pPr>
        <w:spacing w:before="0" w:after="80" w:line="240" w:lineRule="exact"/>
        <w:ind w:hanging="720" w:left="720"/>
        <w:jc w:val="both"/>
      </w:pPr>
      <w:bookmarkStart w:id="522" w:name="Google2024"/>
      <w:hyperlink w:anchor="Google2024txt" w:history="1">
        <w:r>
          <w:rPr>
            <w:color w:val="1F3864"/>
            <w:u w:val="single"/>
          </w:rPr>
          <w:t xml:space="preserve">Google. </w:t>
        </w:r>
      </w:hyperlink>
      <w:r>
        <w:t xml:space="preserve">(2024). </w:t>
      </w:r>
      <w:r>
        <w:rPr>
          <w:i/>
        </w:rPr>
        <w:t>2024 Environmental Report</w:t>
      </w:r>
      <w:r>
        <w:t>. sustainability.google.</w:t>
      </w:r>
      <w:bookmarkEnd w:id="522"/>
    </w:p>
    <w:p>
      <w:pPr>
        <w:spacing w:before="0" w:after="80" w:line="240" w:lineRule="exact"/>
        <w:ind w:hanging="720" w:left="720"/>
        <w:jc w:val="both"/>
      </w:pPr>
      <w:bookmarkStart w:id="523"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3"/>
    </w:p>
    <w:p>
      <w:pPr>
        <w:spacing w:before="0" w:after="80" w:line="240" w:lineRule="exact"/>
        <w:ind w:hanging="720" w:left="720"/>
        <w:jc w:val="both"/>
      </w:pPr>
      <w:bookmarkStart w:id="524"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4"/>
    </w:p>
    <w:p>
      <w:pPr>
        <w:spacing w:before="0" w:after="80" w:line="240" w:lineRule="exact"/>
        <w:ind w:hanging="720" w:left="720"/>
        <w:jc w:val="both"/>
      </w:pPr>
      <w:bookmarkStart w:id="525"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5"/>
    </w:p>
    <w:p>
      <w:pPr>
        <w:spacing w:before="0" w:after="80" w:line="240" w:lineRule="exact"/>
        <w:ind w:hanging="720" w:left="720"/>
        <w:jc w:val="both"/>
      </w:pPr>
      <w:bookmarkStart w:id="526" w:name="IEA2025"/>
      <w:hyperlink w:anchor="IEA2025txt" w:history="1">
        <w:r>
          <w:rPr>
            <w:color w:val="1F3864"/>
            <w:u w:val="single"/>
          </w:rPr>
          <w:t xml:space="preserve">IEA. (2025). </w:t>
        </w:r>
      </w:hyperlink>
      <w:r>
        <w:t>“Energy Demand from AI.” Published online at iea.org.</w:t>
      </w:r>
      <w:bookmarkEnd w:id="526"/>
    </w:p>
    <w:p>
      <w:pPr>
        <w:spacing w:before="0" w:after="80" w:line="240" w:lineRule="exact"/>
        <w:ind w:hanging="720" w:left="720"/>
        <w:jc w:val="both"/>
      </w:pPr>
      <w:bookmarkStart w:id="527"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7"/>
    </w:p>
    <w:p>
      <w:pPr>
        <w:spacing w:before="0" w:after="80" w:line="240" w:lineRule="exact"/>
        <w:ind w:hanging="720" w:left="720"/>
        <w:jc w:val="both"/>
      </w:pPr>
      <w:bookmarkStart w:id="528"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28"/>
    </w:p>
    <w:p>
      <w:pPr>
        <w:spacing w:before="0" w:after="80" w:line="240" w:lineRule="exact"/>
        <w:ind w:hanging="720" w:left="720"/>
        <w:jc w:val="both"/>
      </w:pPr>
      <w:bookmarkStart w:id="529"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9"/>
    </w:p>
    <w:p>
      <w:pPr>
        <w:spacing w:before="0" w:after="80" w:line="240" w:lineRule="exact"/>
        <w:ind w:hanging="720" w:left="720"/>
        <w:jc w:val="both"/>
      </w:pPr>
      <w:bookmarkStart w:id="530"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0"/>
    </w:p>
    <w:p>
      <w:pPr>
        <w:spacing w:before="0" w:after="80" w:line="240" w:lineRule="exact"/>
        <w:ind w:hanging="720" w:left="720"/>
        <w:jc w:val="both"/>
      </w:pPr>
      <w:bookmarkStart w:id="531"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1"/>
    </w:p>
    <w:p>
      <w:pPr>
        <w:spacing w:before="0" w:after="80" w:line="240" w:lineRule="exact"/>
        <w:ind w:hanging="720" w:left="720"/>
        <w:jc w:val="both"/>
      </w:pPr>
      <w:bookmarkStart w:id="532"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2"/>
    </w:p>
    <w:p>
      <w:pPr>
        <w:spacing w:before="0" w:after="80" w:line="240" w:lineRule="exact"/>
        <w:ind w:hanging="720" w:left="720"/>
        <w:jc w:val="both"/>
      </w:pPr>
      <w:bookmarkStart w:id="533"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4" w:name="WorldBank2024txt"/>
      <w:hyperlink w:anchor="WorldBank2024" w:history="1">
        <w:r>
          <w:rPr>
            <w:i/>
            <w:color w:val="1F3864"/>
            <w:u w:val="single"/>
          </w:rPr>
          <w:t xml:space="preserve">World Bank</w:t>
        </w:r>
      </w:hyperlink>
      <w:bookmarkEnd w:id="234"/>
      <w:r>
        <w:rPr>
          <w:i/>
        </w:rPr>
        <w:t xml:space="preserve"> Economic Review</w:t>
      </w:r>
      <w:r>
        <w:t>, 15(3): 451–479.</w:t>
      </w:r>
      <w:bookmarkEnd w:id="533"/>
    </w:p>
    <w:p>
      <w:pPr>
        <w:spacing w:before="0" w:after="80" w:line="240" w:lineRule="exact"/>
        <w:ind w:hanging="720" w:left="720"/>
        <w:jc w:val="both"/>
      </w:pPr>
      <w:bookmarkStart w:id="534"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4"/>
    </w:p>
    <w:p>
      <w:pPr>
        <w:spacing w:before="0" w:after="80" w:line="240" w:lineRule="exact"/>
        <w:ind w:hanging="720" w:left="720"/>
        <w:jc w:val="both"/>
      </w:pPr>
      <w:bookmarkStart w:id="535" w:name="NVIDIA2024"/>
      <w:r>
        <w:rPr>
          <w:color w:val="1F3864"/>
          <w:u w:val="single"/>
        </w:rPr>
        <w:t xml:space="preserve">NVIDIA. </w:t>
      </w:r>
      <w:r>
        <w:t xml:space="preserve">(2024). </w:t>
      </w:r>
      <w:r>
        <w:rPr>
          <w:i/>
        </w:rPr>
        <w:t>NVIDIA H100 Tensor Core GPU Datasheet</w:t>
      </w:r>
      <w:r>
        <w:t>. nvidia.com.</w:t>
      </w:r>
      <w:bookmarkEnd w:id="535"/>
    </w:p>
    <w:p>
      <w:pPr>
        <w:spacing w:before="0" w:after="80" w:line="240" w:lineRule="exact"/>
        <w:ind w:hanging="720" w:left="720"/>
        <w:jc w:val="both"/>
      </w:pPr>
      <w:bookmarkStart w:id="536"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6"/>
    </w:p>
    <w:p>
      <w:pPr>
        <w:spacing w:before="0" w:after="80" w:line="240" w:lineRule="exact"/>
        <w:ind w:hanging="720" w:left="720"/>
        <w:jc w:val="both"/>
      </w:pPr>
      <w:bookmarkStart w:id="537"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7"/>
    </w:p>
    <w:p>
      <w:pPr>
        <w:spacing w:before="0" w:after="80" w:line="240" w:lineRule="exact"/>
        <w:ind w:hanging="720" w:left="720"/>
        <w:jc w:val="both"/>
      </w:pPr>
      <w:bookmarkStart w:id="538" w:name="Sastry2024"/>
      <w:hyperlink w:anchor="Sastry2024txt" w:history="1">
        <w:r>
          <w:rPr>
            <w:color w:val="1F3864"/>
            <w:u w:val="single"/>
          </w:rPr>
          <w:t xml:space="preserve">Sastry, G., L. Heim, et al. (2024). </w:t>
        </w:r>
      </w:hyperlink>
      <w:r>
        <w:t>“Computing Power and the Governance of Artificial Intelligence.” arXiv:2402.08797.</w:t>
      </w:r>
      <w:bookmarkEnd w:id="538"/>
    </w:p>
    <w:p>
      <w:pPr>
        <w:spacing w:before="0" w:after="80" w:line="240" w:lineRule="exact"/>
        <w:ind w:hanging="720" w:left="720"/>
        <w:jc w:val="both"/>
      </w:pPr>
      <w:bookmarkStart w:id="539"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9"/>
    </w:p>
    <w:p>
      <w:pPr>
        <w:spacing w:before="0" w:after="80" w:line="240" w:lineRule="exact"/>
        <w:ind w:hanging="720" w:left="720"/>
        <w:jc w:val="both"/>
      </w:pPr>
      <w:bookmarkStart w:id="540"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5" w:name="WorldBank2024txt"/>
      <w:hyperlink w:anchor="WorldBank2024" w:history="1">
        <w:r>
          <w:rPr>
            <w:color w:val="1F3864"/>
            <w:u w:val="single"/>
          </w:rPr>
          <w:t xml:space="preserve">World Bank</w:t>
        </w:r>
      </w:hyperlink>
      <w:bookmarkEnd w:id="235"/>
      <w:r>
        <w:t xml:space="preserve">.</w:t>
      </w:r>
      <w:bookmarkEnd w:id="540"/>
    </w:p>
    <w:p>
      <w:pPr>
        <w:spacing w:before="0" w:after="80" w:line="240" w:lineRule="exact"/>
        <w:ind w:hanging="720" w:left="720"/>
        <w:jc w:val="both"/>
      </w:pPr>
      <w:bookmarkStart w:id="541"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1"/>
    </w:p>
    <w:p>
      <w:pPr>
        <w:spacing w:before="0" w:after="80" w:line="240" w:lineRule="exact"/>
        <w:ind w:hanging="720" w:left="720"/>
        <w:jc w:val="both"/>
      </w:pPr>
      <w:bookmarkStart w:id="542"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4"/>
    </w:p>
    <w:p>
      <w:pPr>
        <w:spacing w:before="0" w:after="80" w:line="240" w:lineRule="exact"/>
        <w:ind w:hanging="720" w:left="720"/>
        <w:jc w:val="both"/>
      </w:pPr>
      <w:bookmarkStart w:id="545"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6" w:name="WorldBank2024txt"/>
      <w:hyperlink w:anchor="WorldBank2024" w:history="1">
        <w:r>
          <w:rPr>
            <w:color w:val="1F3864"/>
            <w:u w:val="single"/>
          </w:rPr>
          <w:t xml:space="preserve">World Bank</w:t>
        </w:r>
      </w:hyperlink>
      <w:bookmarkEnd w:id="236"/>
      <w:r>
        <w:t xml:space="preserve">.</w:t>
      </w:r>
      <w:bookmarkEnd w:id="545"/>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943600" cy="5431221"/>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943600" cy="5431221"/>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4" w:name="Eq3txt904"/>
      <w:hyperlink w:anchor="Eq3" w:history="1">
        <w:r>
          <w:rPr>
            <w:rFonts w:ascii="Times New Roman" w:hAnsi="Times New Roman"/>
            <w:sz w:val="20"/>
            <w:color w:val="1F3864"/>
            <w:u w:val="single"/>
          </w:rPr>
          <w:t xml:space="preserve">equation (3)</w:t>
        </w:r>
      </w:hyperlink>
      <w:bookmarkEnd w:id="904"/>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4txt905"/>
      <w:hyperlink w:anchor="Eq4" w:history="1">
        <w:r>
          <w:rPr>
            <w:sz w:val="20"/>
            <w:color w:val="1F3864"/>
            <w:u w:val="single"/>
          </w:rPr>
          <w:t xml:space="preserve">equation (4)</w:t>
        </w:r>
      </w:hyperlink>
      <w:bookmarkEnd w:id="905"/>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4txt907"/>
      <w:hyperlink w:anchor="Eq4" w:history="1">
        <w:r>
          <w:rPr>
            <w:color w:val="1F3864"/>
            <w:u w:val="single"/>
          </w:rPr>
          <w:t xml:space="preserve">equation (4)</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8" w:name="Eq2txt908"/>
      <w:hyperlink w:anchor="Eq2" w:history="1">
        <w:r>
          <w:rPr>
            <w:color w:val="1F3864"/>
            <w:u w:val="single"/>
          </w:rPr>
          <w:t xml:space="preserve">equation (2)</w:t>
        </w:r>
      </w:hyperlink>
      <w:bookmarkEnd w:id="908"/>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37" w:name="ABD2020txt"/>
      <w:hyperlink w:anchor="ABD2020" w:history="1">
        <w:r>
          <w:rPr>
            <w:color w:val="1F3864"/>
            <w:u w:val="single"/>
          </w:rPr>
          <w:t xml:space="preserve">ABD 2020</w:t>
        </w:r>
      </w:hyperlink>
      <w:bookmarkEnd w:id="237"/>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i.e., there exists at least one country j with positive compute demand such that </w:t>
      </w:r>
      <m:oMath>
        <m:sSub>
          <m:sSubPr/>
          <m:e>
            <m:r>
              <m:rPr>
                <m:sty m:val="i"/>
              </m:rPr>
              <w:rPr>
                <w:rFonts w:ascii="Cambria Math" w:hAnsi="Cambria Math"/>
              </w:rPr>
              <m:t xml:space="preserve">d</m:t>
            </m:r>
          </m:e>
          <m:sub>
            <m:r>
              <m:rPr>
                <m:sty m:val="i"/>
              </m:rPr>
              <w:rPr>
                <w:rFonts w:ascii="Cambria Math" w:hAnsi="Cambria Math"/>
              </w:rPr>
              <m:t xml:space="preserve">ij</m:t>
            </m:r>
          </m:sub>
        </m:sSub>
        <m:r>
          <m:rPr>
            <m:sty m:val="p"/>
          </m:rPr>
          <w:rPr>
            <w:rFonts w:ascii="Cambria Math" w:hAnsi="Cambria Math"/>
          </w:rPr>
          <m:t xml:space="preserve"> &lt; </m:t>
        </m:r>
        <m:sSub>
          <m:sSubPr/>
          <m:e>
            <m:r>
              <m:rPr>
                <m:sty m:val="i"/>
              </m:rPr>
              <w:rPr>
                <w:rFonts w:ascii="Cambria Math" w:hAnsi="Cambria Math"/>
              </w:rPr>
              <m:t xml:space="preserve">τ</m:t>
            </m:r>
          </m:e>
          <m:sub>
            <m:r>
              <m:rPr>
                <m:sty m:val="i"/>
              </m:rPr>
              <w:rPr>
                <w:rFonts w:ascii="Cambria Math" w:hAnsi="Cambria Math"/>
              </w:rPr>
              <m:t xml:space="preserve">max</m:t>
            </m:r>
          </m:sub>
        </m:sSub>
      </m:oMath>
      <w:r>
        <w:t xml:space="preserve">. A hypothetical country with the globally lowest production cost but round-trip latency exceeding </w:t>
      </w:r>
      <m:oMath>
        <m:sSub>
          <m:sSubPr/>
          <m:e>
            <m:r>
              <m:rPr>
                <m:sty m:val="i"/>
              </m:rPr>
              <w:rPr>
                <w:rFonts w:ascii="Cambria Math" w:hAnsi="Cambria Math"/>
              </w:rPr>
              <m:t xml:space="preserve">τ</m:t>
            </m:r>
          </m:e>
          <m:sub>
            <m:r>
              <m:rPr>
                <m:sty m:val="i"/>
              </m:rPr>
              <w:rPr>
                <w:rFonts w:ascii="Cambria Math" w:hAnsi="Cambria Math"/>
              </w:rPr>
              <m:t xml:space="preserve">max</m:t>
            </m:r>
          </m:sub>
        </m:sSub>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