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v28  —  March 01, 2026  00:47</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2" w:name="IEA2025txt"/>
      <w:hyperlink w:anchor="IEA2025" w:history="1">
        <w:r>
          <w:rPr>
            <w:color w:val="1F3864"/>
            <w:u w:val="single"/>
          </w:rPr>
          <w:t xml:space="preserve">IEA 2025</w:t>
        </w:r>
      </w:hyperlink>
      <w:bookmarkEnd w:id="232"/>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3" w:name="Firebird2026txt"/>
      <w:hyperlink w:anchor="Firebird2026" w:history="1">
        <w:r>
          <w:rPr>
            <w:color w:val="1F3864"/>
            <w:u w:val="single"/>
          </w:rPr>
          <w:t xml:space="preserve">Firebird 2026</w:t>
        </w:r>
      </w:hyperlink>
      <w:bookmarkEnd w:id="233"/>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7" w:name="Korinek2021txt"/>
      <w:hyperlink w:anchor="Korinek2021" w:history="1">
        <w:r>
          <w:rPr>
            <w:color w:val="1F3864"/>
            <w:u w:val="single"/>
          </w:rPr>
          <w:t xml:space="preserve">Korinek and Stiglitz (2021)</w:t>
        </w:r>
      </w:hyperlink>
      <w:bookmarkEnd w:id="237"/>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In our setting, network latency plays analogous role.</w:t>
      </w:r>
    </w:p>
    <w:p>
      <w:pPr>
        <w:spacing w:before="0" w:after="160" w:line="360" w:lineRule="auto"/>
        <w:ind w:firstLine="0"/>
        <w:jc w:val="both"/>
      </w:pPr>
      <w:r>
        <w:t xml:space="preserve">The closest precedent to our model is IT services offshoring, which is labor-intensive and skill-biased (</w:t>
      </w:r>
      <w:bookmarkStart w:id="238" w:name="Blinder2006txt"/>
      <w:hyperlink w:anchor="Blinder2006" w:history="1">
        <w:r>
          <w:rPr>
            <w:color w:val="1F3864"/>
            <w:u w:val="single"/>
          </w:rPr>
          <w:t xml:space="preserve">Blinder 2006</w:t>
        </w:r>
      </w:hyperlink>
      <w:bookmarkEnd w:id="238"/>
      <w:r>
        <w:t xml:space="preserve">),  FLOP exporting is capital- and energy-intensive, so the set of potential exporters is fundamentally different — energy-rich countries rather than labor-abundant ones. A deeper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large.Several studies examine where firms should build data centers. </w:t>
      </w:r>
      <w:bookmarkStart w:id="204" w:name="Flucker2013txt"/>
      <w:hyperlink w:anchor="Flucker2013" w:history="1">
        <w:r>
          <w:rPr>
            <w:color w:val="1F3864"/>
            <w:u w:val="single"/>
          </w:rPr>
          <w:t xml:space="preserve">Flucker et al. (2013)</w:t>
        </w:r>
      </w:hyperlink>
      <w:bookmarkEnd w:id="204"/>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line="360" w:lineRule="auto"/>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5" w:name="Lehdonvirta2024txt"/>
      <w:hyperlink w:anchor="Lehdonvirta2024" w:history="1">
        <w:r>
          <w:rPr>
            <w:color w:val="1F3864"/>
            <w:u w:val="single"/>
          </w:rPr>
          <w:t xml:space="preserve">Lehdonvirta et al. (2024)</w:t>
        </w:r>
      </w:hyperlink>
      <w:bookmarkEnd w:id="205"/>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high-income countries hold 77% of colocation capacity,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6" w:name="Ohlin1933txt"/>
      <w:hyperlink w:anchor="Ohlin1933" w:history="1">
        <w:r>
          <w:rPr>
            <w:color w:val="1F3864"/>
            <w:u w:val="single"/>
          </w:rPr>
          <w:t xml:space="preserve">Ohlin 1933</w:t>
        </w:r>
      </w:hyperlink>
      <w:bookmarkEnd w:id="20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7" w:name="BaileyEtAl2017txt"/>
      <w:hyperlink w:anchor="BaileyEtAl2017" w:history="1">
        <w:r>
          <w:rPr>
            <w:color w:val="1F3864"/>
            <w:u w:val="single"/>
          </w:rPr>
          <w:t xml:space="preserve">Bailey, Strezhnev, and Voeten 2017</w:t>
        </w:r>
      </w:hyperlink>
      <w:bookmarkEnd w:id="207"/>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attract investment depends additionally on agglomeration economies, hyperscaler market structure, and network connectivity (</w:t>
      </w:r>
      <w:bookmarkStart w:id="208" w:name="Krugman1991txt"/>
      <w:hyperlink w:anchor="Krugman1991" w:history="1">
        <w:r>
          <w:rPr>
            <w:color w:val="1F3864"/>
            <w:u w:val="single"/>
          </w:rPr>
          <w:t xml:space="preserve">Krugman 1991</w:t>
        </w:r>
      </w:hyperlink>
      <w:bookmarkEnd w:id="208"/>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09" w:name="Eurostat2025txt"/>
      <w:hyperlink w:anchor="Eurostat2025" w:history="1">
        <w:r>
          <w:rPr>
            <w:color w:val="1F3864"/>
            <w:u w:val="single"/>
          </w:rPr>
          <w:t xml:space="preserve">Eurostat 2025</w:t>
        </w:r>
      </w:hyperlink>
      <w:bookmarkEnd w:id="209"/>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0" w:name="GlobalPetrolPrices2025txt"/>
      <w:hyperlink w:anchor="GlobalPetrolPrices2025" w:history="1">
        <w:r>
          <w:rPr>
            <w:color w:val="1F3864"/>
            <w:u w:val="single"/>
          </w:rPr>
          <w:t xml:space="preserve">GlobalPetrolPrices (2025)</w:t>
        </w:r>
      </w:hyperlink>
      <w:bookmarkEnd w:id="210"/>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1" w:name="Hersbach2020txt"/>
      <w:hyperlink w:anchor="Hersbach2020" w:history="1">
        <w:r>
          <w:rPr>
            <w:color w:val="1F3864"/>
            <w:u w:val="single"/>
          </w:rPr>
          <w:t xml:space="preserve">Hersbach et al. 2020</w:t>
        </w:r>
      </w:hyperlink>
      <w:bookmarkEnd w:id="211"/>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2" w:name="TurnerTownsend2025txt"/>
      <w:hyperlink w:anchor="TurnerTownsend2025" w:history="1">
        <w:r>
          <w:rPr>
            <w:color w:val="1F3864"/>
            <w:u w:val="single"/>
          </w:rPr>
          <w:t xml:space="preserve">Turner &amp; Townsend 2025</w:t>
        </w:r>
      </w:hyperlink>
      <w:bookmarkEnd w:id="212"/>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3" w:name="WonderNetwork2024txt"/>
      <w:hyperlink w:anchor="WonderNetwork2024" w:history="1">
        <w:r>
          <w:rPr>
            <w:color w:val="1F3864"/>
            <w:u w:val="single"/>
          </w:rPr>
          <w:t xml:space="preserve">WonderNetwork 2024</w:t>
        </w:r>
      </w:hyperlink>
      <w:bookmarkEnd w:id="213"/>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4" w:name="Cloudscene2025txt"/>
      <w:hyperlink w:anchor="Cloudscene2025" w:history="1">
        <w:r>
          <w:rPr>
            <w:color w:val="1F3864"/>
            <w:u w:val="single"/>
          </w:rPr>
          <w:t xml:space="preserve">Cloudscene 2025</w:t>
        </w:r>
      </w:hyperlink>
      <w:bookmarkEnd w:id="214"/>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5" w:name="UptimeInstitute2024txt"/>
      <w:hyperlink w:anchor="UptimeInstitute2024" w:history="1">
        <w:r>
          <w:rPr>
            <w:color w:val="1F3864"/>
            <w:u w:val="single"/>
          </w:rPr>
          <w:t xml:space="preserve">Uptime Institute 2024</w:t>
        </w:r>
      </w:hyperlink>
      <w:bookmarkEnd w:id="215"/>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6" w:name="Liu2023txt"/>
      <w:hyperlink w:anchor="Liu2023" w:history="1">
        <w:r>
          <w:rPr>
            <w:color w:val="1F3864"/>
            <w:u w:val="single"/>
          </w:rPr>
          <w:t xml:space="preserve">Liu et al. 2023</w:t>
        </w:r>
      </w:hyperlink>
      <w:bookmarkEnd w:id="216"/>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7" w:name="UptimeInstitute2024txt"/>
      <w:hyperlink w:anchor="UptimeInstitute2024" w:history="1">
        <w:r>
          <w:rPr>
            <w:color w:val="1F3864"/>
            <w:u w:val="single"/>
          </w:rPr>
          <w:t xml:space="preserve">Uptime Institute 2024</w:t>
        </w:r>
      </w:hyperlink>
      <w:bookmarkEnd w:id="217"/>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8" w:name="Barroso2018txt"/>
      <w:hyperlink w:anchor="Barroso2018" w:history="1">
        <w:r>
          <w:rPr>
            <w:color w:val="1F3864"/>
            <w:u w:val="single"/>
          </w:rPr>
          <w:t xml:space="preserve">Barroso et al. 2018</w:t>
        </w:r>
      </w:hyperlink>
      <w:bookmarkEnd w:id="218"/>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19" w:name="Barroso2018txt"/>
      <w:hyperlink w:anchor="Barroso2018" w:history="1">
        <w:r>
          <w:rPr>
            <w:color w:val="1F3864"/>
            <w:u w:val="single"/>
          </w:rPr>
          <w:t xml:space="preserve">Barroso et al. 2018</w:t>
        </w:r>
      </w:hyperlink>
      <w:bookmarkEnd w:id="219"/>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0" w:name="Deloitte2020txt"/>
      <w:hyperlink w:anchor="Deloitte2020" w:history="1">
        <w:r>
          <w:rPr>
            <w:color w:val="1F3864"/>
            <w:u w:val="single"/>
          </w:rPr>
          <w:t xml:space="preserve">Deloitte (2020)</w:t>
        </w:r>
      </w:hyperlink>
      <w:bookmarkEnd w:id="220"/>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1" w:name="Deloitte2025txt"/>
      <w:hyperlink w:anchor="Deloitte2025" w:history="1">
        <w:r>
          <w:rPr>
            <w:color w:val="1F3864"/>
            <w:u w:val="single"/>
          </w:rPr>
          <w:t xml:space="preserve">Deloitte 2025</w:t>
        </w:r>
      </w:hyperlink>
      <w:bookmarkEnd w:id="221"/>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2" w:name="Lazard2025txt"/>
      <w:hyperlink w:anchor="Lazard2025" w:history="1">
        <w:r>
          <w:rPr>
            <w:color w:val="1F3864"/>
            <w:u w:val="single"/>
          </w:rPr>
          <w:t xml:space="preserve">Lazard 2025</w:t>
        </w:r>
      </w:hyperlink>
      <w:bookmarkEnd w:id="222"/>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3" w:name="EatonKortum2002txt"/>
      <w:hyperlink w:anchor="EatonKortum2002" w:history="1">
        <w:r>
          <w:rPr>
            <w:color w:val="1F3864"/>
            <w:u w:val="single"/>
          </w:rPr>
          <w:t xml:space="preserve">Eaton and Kortum 2002</w:t>
        </w:r>
      </w:hyperlink>
      <w:bookmarkEnd w:id="223"/>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4" w:name="WorldBank2025txt"/>
      <w:hyperlink w:anchor="WorldBank2025" w:history="1">
        <w:r>
          <w:rPr>
            <w:color w:val="1F3864"/>
            <w:u w:val="single"/>
          </w:rPr>
          <w:t xml:space="preserve">World Bank (2025)</w:t>
        </w:r>
      </w:hyperlink>
      <w:bookmarkEnd w:id="224"/>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5" w:name="Calcaterra2024txt"/>
      <w:hyperlink w:anchor="Calcaterra2024" w:history="1">
        <w:r>
          <w:rPr>
            <w:color w:val="1F3864"/>
            <w:u w:val="single"/>
          </w:rPr>
          <w:t xml:space="preserve">Calcaterra et al. 2024</w:t>
        </w:r>
      </w:hyperlink>
      <w:bookmarkEnd w:id="225"/>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line="360" w:lineRule="auto"/>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6" w:name="vanderPloeg2011txt"/>
      <w:hyperlink w:anchor="vanderPloeg2011" w:history="1">
        <w:r>
          <w:rPr>
            <w:color w:val="1F3864"/>
            <w:u w:val="single"/>
          </w:rPr>
          <w:t xml:space="preserve">van der Ploeg 2011</w:t>
        </w:r>
      </w:hyperlink>
      <w:bookmarkEnd w:id="226"/>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7" w:name="WorldBank2024txt"/>
      <w:hyperlink w:anchor="WorldBank2024" w:history="1">
        <w:r>
          <w:rPr>
            <w:color w:val="1F3864"/>
            <w:u w:val="single"/>
          </w:rPr>
          <w:t xml:space="preserve">World Bank</w:t>
        </w:r>
      </w:hyperlink>
      <w:bookmarkEnd w:id="227"/>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8" w:name="WorldBank2024txt"/>
      <w:hyperlink w:anchor="WorldBank2024" w:history="1">
        <w:r>
          <w:rPr>
            <w:i/>
            <w:color w:val="1F3864"/>
            <w:u w:val="single"/>
          </w:rPr>
          <w:t xml:space="preserve">World Bank</w:t>
        </w:r>
      </w:hyperlink>
      <w:bookmarkEnd w:id="228"/>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0" w:name="WorldBank2024txt"/>
      <w:hyperlink w:anchor="WorldBank2024" w:history="1">
        <w:r>
          <w:rPr>
            <w:color w:val="1F3864"/>
            <w:u w:val="single"/>
          </w:rPr>
          <w:t xml:space="preserve">World Bank</w:t>
        </w:r>
      </w:hyperlink>
      <w:bookmarkEnd w:id="230"/>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1" w:name="WorldBank2024txt"/>
      <w:hyperlink w:anchor="WorldBank2024" w:history="1">
        <w:r>
          <w:rPr>
            <w:color w:val="1F3864"/>
            <w:u w:val="single"/>
          </w:rPr>
          <w:t xml:space="preserve">World Bank</w:t>
        </w:r>
      </w:hyperlink>
      <w:bookmarkEnd w:id="231"/>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