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v31  —  April 09, 2026  18:40</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that distinguishes latency-insensitive training from latency-sensitive inference and incorporates a bilateral sovereignty premium. Calibration across 85 countries shows that several developing countries rank among the cheapest producers under cost-recovery pricing, but bilateral trust deficits sharply curtail developing-country exports. Because hardware dominates unit cost, the cross-country cost spread is only 12–20 percent, making compute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7" w:name="IEA2025txt"/>
      <w:hyperlink w:anchor="IEA2025" w:history="1">
        <w:r>
          <w:rPr>
            <w:color w:val="1F3864"/>
            <w:u w:val="single"/>
          </w:rPr>
          <w:t xml:space="preserve">IEA 2025</w:t>
        </w:r>
      </w:hyperlink>
      <w:bookmarkEnd w:id="237"/>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8" w:name="Firebird2026txt"/>
      <w:hyperlink w:anchor="Firebird2026" w:history="1">
        <w:r>
          <w:rPr>
            <w:color w:val="1F3864"/>
            <w:u w:val="single"/>
          </w:rPr>
          <w:t xml:space="preserve">Firebird 2026</w:t>
        </w:r>
      </w:hyperlink>
      <w:bookmarkEnd w:id="238"/>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EMDEs accounting for roughly 40 percent of projects (</w:t>
      </w:r>
      <w:bookmarkStart w:id="239" w:name="AykutEtAl2026txt"/>
      <w:hyperlink w:anchor="AykutEtAl2026" w:history="1">
        <w:r>
          <w:rPr>
            <w:color w:val="1F3864"/>
            <w:u w:val="single"/>
          </w:rPr>
          <w:t xml:space="preserve">Aykut et al. 2026</w:t>
        </w:r>
      </w:hyperlink>
      <w:bookmarkEnd w:id="239"/>
      <w:r>
        <w:t xml:space="preserve">). Cloud computing exports already exceed $9 billion annually (</w:t>
      </w:r>
      <w:bookmarkStart w:id="252" w:name="WorldBank2025txt"/>
      <w:hyperlink w:anchor="WorldBank2025" w:history="1">
        <w:r>
          <w:rPr>
            <w:color w:val="1F3864"/>
            <w:u w:val="single"/>
          </w:rPr>
          <w:t xml:space="preserve">World Bank 2025</w:t>
        </w:r>
      </w:hyperlink>
      <w:bookmarkEnd w:id="252"/>
      <w:r>
        <w:t xml:space="preserve">). If Kyrgyzstan builds a 40 MW AI data center, it could generate annual revenue of $630–950 million at wholesale contract rates, equivalent to over 15% of Kyrgyzstan’s $3.8 billion in goods exports (</w:t>
      </w:r>
      <w:bookmarkStart w:id="258" w:name="WorldBank2024txt"/>
      <w:hyperlink w:anchor="WorldBank2024" w:history="1">
        <w:r>
          <w:rPr>
            <w:color w:val="1F3864"/>
            <w:u w:val="single"/>
          </w:rPr>
          <w:t xml:space="preserve">World Bank 2024</w:t>
        </w:r>
      </w:hyperlink>
      <w:bookmarkEnd w:id="258"/>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2" w:name="Korinek2021txt"/>
      <w:hyperlink w:anchor="Korinek2021" w:history="1">
        <w:r>
          <w:rPr>
            <w:color w:val="1F3864"/>
            <w:u w:val="single"/>
          </w:rPr>
          <w:t xml:space="preserve">Korinek and Stiglitz (2021)</w:t>
        </w:r>
      </w:hyperlink>
      <w:bookmarkEnd w:id="242"/>
      <w:r>
        <w:t xml:space="preserve"> warn that developing countries may be left behind in the AI revolution; FLOP exporting offers a route in. The concept relates to </w:t>
      </w:r>
      <w:bookmarkStart w:id="259" w:name="Hausmann2007txt"/>
      <w:hyperlink w:anchor="Hausmann2007" w:history="1">
        <w:r>
          <w:rPr>
            <w:color w:val="1F3864"/>
            <w:u w:val="single"/>
          </w:rPr>
          <w:t xml:space="preserve">Hausmann et al. (2007)</w:t>
        </w:r>
      </w:hyperlink>
      <w:bookmarkEnd w:id="259"/>
      <w:r>
        <w:t xml:space="preserve"> on export composition and growth, and to </w:t>
      </w:r>
      <w:bookmarkStart w:id="253" w:name="Limao2001txt"/>
      <w:hyperlink w:anchor="Limao2001" w:history="1">
        <w:r>
          <w:rPr>
            <w:color w:val="1F3864"/>
            <w:u w:val="single"/>
          </w:rPr>
          <w:t xml:space="preserve">Limão and Venables (2001)</w:t>
        </w:r>
      </w:hyperlink>
      <w:bookmarkEnd w:id="253"/>
      <w:r>
        <w:t xml:space="preserve"> on infrastructure as a trade cost determinant.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54" w:name="Liu2023txt"/>
      <w:hyperlink w:anchor="Liu2023" w:history="1">
        <w:r>
          <w:rPr>
            <w:color w:val="1F3864"/>
            <w:u w:val="single"/>
          </w:rPr>
          <w:t xml:space="preserve">Liu et al. (2023)</w:t>
        </w:r>
      </w:hyperlink>
      <w:bookmarkEnd w:id="254"/>
      <w:r>
        <w:t xml:space="preserve"> study data center placement under renewable energy constraints. In international trade theory, </w:t>
      </w:r>
      <w:bookmarkStart w:id="260" w:name="Brainard1997txt"/>
      <w:hyperlink w:anchor="Brainard1997" w:history="1">
        <w:r>
          <w:rPr>
            <w:color w:val="1F3864"/>
            <w:u w:val="single"/>
          </w:rPr>
          <w:t xml:space="preserve">Brainard (1997)</w:t>
        </w:r>
      </w:hyperlink>
      <w:bookmarkEnd w:id="260"/>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line="360" w:lineRule="auto"/>
        <w:ind w:firstLine="0"/>
        <w:jc w:val="both"/>
      </w:pPr>
      <w:r>
        <w:t xml:space="preserve">On governance, </w:t>
      </w:r>
      <w:bookmarkStart w:id="244" w:name="Sastry2024txt"/>
      <w:hyperlink w:anchor="Sastry2024" w:history="1">
        <w:r>
          <w:rPr>
            <w:color w:val="1F3864"/>
            <w:u w:val="single"/>
          </w:rPr>
          <w:t xml:space="preserve">Sastry et al. (2024)</w:t>
        </w:r>
      </w:hyperlink>
      <w:bookmarkEnd w:id="244"/>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55" w:name="Pilz2025txt"/>
      <w:hyperlink w:anchor="Pilz2025" w:history="1">
        <w:r>
          <w:rPr>
            <w:color w:val="1F3864"/>
            <w:u w:val="single"/>
          </w:rPr>
          <w:t xml:space="preserve">Pilz et al. (2025)</w:t>
        </w:r>
      </w:hyperlink>
      <w:bookmarkEnd w:id="255"/>
      <w:r>
        <w:t xml:space="preserve"> project that data center power demand could reach 327 GW by 2030. The </w:t>
      </w:r>
      <w:bookmarkStart w:id="261" w:name="WorldBank2025txt"/>
      <w:hyperlink w:anchor="WorldBank2025" w:history="1">
        <w:r>
          <w:rPr>
            <w:color w:val="1F3864"/>
            <w:u w:val="single"/>
          </w:rPr>
          <w:t xml:space="preserve">World Bank (2025)</w:t>
        </w:r>
      </w:hyperlink>
      <w:bookmarkEnd w:id="261"/>
      <w:r>
        <w:t xml:space="preserve"> documents the resulting divide,  high-income countries hold 77% of colocation capacity,  but without a formal framework linking costs to trade patterns. </w:t>
      </w:r>
      <w:bookmarkStart w:id="245" w:name="Biglaiser2024txt"/>
      <w:hyperlink w:anchor="Biglaiser2024" w:history="1">
        <w:r>
          <w:rPr>
            <w:color w:val="1F3864"/>
            <w:u w:val="single"/>
          </w:rPr>
          <w:t xml:space="preserve">Biglaiser et al. (2024)</w:t>
        </w:r>
      </w:hyperlink>
      <w:bookmarkEnd w:id="245"/>
      <w:r>
        <w:t xml:space="preserve"> survey cloud market IO, and </w:t>
      </w:r>
      <w:bookmarkStart w:id="256" w:name="Stojkoski2024txt"/>
      <w:hyperlink w:anchor="Stojkoski2024" w:history="1">
        <w:r>
          <w:rPr>
            <w:color w:val="1F3864"/>
            <w:u w:val="single"/>
          </w:rPr>
          <w:t xml:space="preserve">Stojkoski et al. (2024)</w:t>
        </w:r>
      </w:hyperlink>
      <w:bookmarkEnd w:id="256"/>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6" w:name="EIA2025txt"/>
      <w:hyperlink w:anchor="EIA2025" w:history="1">
        <w:r>
          <w:rPr>
            <w:color w:val="1F3864"/>
            <w:u w:val="single"/>
          </w:rPr>
          <w:t xml:space="preserve">EIA 2025</w:t>
        </w:r>
      </w:hyperlink>
      <w:bookmarkEnd w:id="246"/>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7" w:name="IMF2025txt"/>
      <w:hyperlink w:anchor="IMF2025" w:history="1">
        <w:r>
          <w:rPr>
            <w:color w:val="1F3864"/>
            <w:u w:val="single"/>
          </w:rPr>
          <w:t xml:space="preserve">IMF 2025</w:t>
        </w:r>
      </w:hyperlink>
      <w:bookmarkEnd w:id="247"/>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$93 million per year in implicit fiscal transfer. At hyperscale,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Brazil—countries with moderate electricity costs but strong regulatory frameworks and credible grid infrastructure—while the cheapest producers in our calibration (Kyrgyzstan, Tajikistan, Ethiopia) have received virtually no data-center FDI (</w:t>
      </w:r>
      <w:bookmarkStart w:id="257" w:name="AykutEtAl2026txt"/>
      <w:hyperlink w:anchor="AykutEtAl2026" w:history="1">
        <w:r>
          <w:rPr>
            <w:color w:val="1F3864"/>
            <w:u w:val="single"/>
          </w:rPr>
          <w:t xml:space="preserve">Aykut et al. 2026</w:t>
        </w:r>
      </w:hyperlink>
      <w:bookmarkEnd w:id="257"/>
      <w:r>
        <w:t xml:space="preserve">). Moreover, most announced investment flows between geopolitical allies, consistent with the bilateral sovereignty premium rather than cost alone determining where capacity is built (</w:t>
      </w:r>
      <w:bookmarkStart w:id="248" w:name="StraubEtAl2026txt"/>
      <w:hyperlink w:anchor="StraubEtAl2026" w:history="1">
        <w:r>
          <w:rPr>
            <w:color w:val="1F3864"/>
            <w:u w:val="single"/>
          </w:rPr>
          <w:t xml:space="preserve">Straub et al. 2026</w:t>
        </w:r>
      </w:hyperlink>
      <w:bookmarkEnd w:id="248"/>
      <w:r>
        <w:t xml:space="preserve">). Econometric evidence confirms that electricity costs are not a robust predictor of data center location once market size and regulatory environment are controlled for (</w:t>
      </w:r>
      <w:bookmarkStart w:id="224" w:name="CaouiSteck2025txt"/>
      <w:hyperlink w:anchor="CaouiSteck2025" w:history="1">
        <w:r>
          <w:rPr>
            <w:color w:val="1F3864"/>
            <w:u w:val="single"/>
          </w:rPr>
          <w:t xml:space="preserve">Caoui and Steck 2025</w:t>
        </w:r>
      </w:hyperlink>
      <w:bookmarkEnd w:id="224"/>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0.9959),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0.2591).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domestically.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25" w:name="AykutEtAl2026txt"/>
      <w:hyperlink w:anchor="AykutEtAl2026" w:history="1">
        <w:r>
          <w:rPr>
            <w:color w:val="1F3864"/>
            <w:u w:val="single"/>
          </w:rPr>
          <w:t xml:space="preserve">Aykut et al. 2026</w:t>
        </w:r>
      </w:hyperlink>
      <w:bookmarkEnd w:id="225"/>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9" w:name="ACR2012txt"/>
      <w:hyperlink w:anchor="ACR2012" w:history="1">
        <w:r>
          <w:rPr>
            <w:color w:val="1F3864"/>
            <w:u w:val="single"/>
          </w:rPr>
          <w:t xml:space="preserve">Arkolakis et al. 2012</w:t>
        </w:r>
      </w:hyperlink>
      <w:bookmarkEnd w:id="249"/>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27" w:name="WorldBank2025txt"/>
      <w:hyperlink w:anchor="WorldBank2025" w:history="1">
        <w:r>
          <w:rPr>
            <w:color w:val="1F3864"/>
            <w:u w:val="single"/>
          </w:rPr>
          <w:t xml:space="preserve">World Bank (2025)</w:t>
        </w:r>
      </w:hyperlink>
      <w:bookmarkEnd w:id="227"/>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that intensify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28" w:name="Chandramowli2024txt"/>
      <w:hyperlink w:anchor="Chandramowli2024" w:history="1">
        <w:r>
          <w:rPr>
            <w:color w:val="1F3864"/>
            <w:u w:val="single"/>
          </w:rPr>
          <w:t xml:space="preserve">Chandramowli et al. 2024</w:t>
        </w:r>
      </w:hyperlink>
      <w:bookmarkEnd w:id="228"/>
      <w:r>
        <w:t xml:space="preserve">), and AI data-center expansion alone could increase retail prices by 8–9 percent by 2030 (</w:t>
      </w:r>
      <w:bookmarkStart w:id="250" w:name="IMF2025txt"/>
      <w:hyperlink w:anchor="IMF2025" w:history="1">
        <w:r>
          <w:rPr>
            <w:color w:val="1F3864"/>
            <w:u w:val="single"/>
          </w:rPr>
          <w:t xml:space="preserve">IMF 2025</w:t>
        </w:r>
      </w:hyperlink>
      <w:bookmarkEnd w:id="250"/>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9" w:name="Calcaterra2024txt"/>
      <w:hyperlink w:anchor="Calcaterra2024" w:history="1">
        <w:r>
          <w:rPr>
            <w:color w:val="1F3864"/>
            <w:u w:val="single"/>
          </w:rPr>
          <w:t xml:space="preserve">Calcaterra et al. 2024</w:t>
        </w:r>
      </w:hyperlink>
      <w:bookmarkEnd w:id="229"/>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erodes the cost advantage that defines FLOP-exporting potential, as the endogenous electricity price extension above illustrates.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making developing-country entry easier. Countries combining cheap energy with adequate governance retain their cost advantage regardless of the particular parameter choice.</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line="360" w:lineRule="auto"/>
        <w:ind w:firstLine="0"/>
        <w:jc w:val="both"/>
      </w:pPr>
      <w:r>
        <w:t xml:space="preserve">Cross-country evidence on policy readiness reinforces this conclusion. Economies with advanced AI and cloud strategies—such as Singapore, Australia, Japan, and South Korea—record estimated economic impacts from AI and cloud investment of 3–4 percent of GDP, compared with less than 1 percent in countries such as Indonesia and Viet Nam (</w:t>
      </w:r>
      <w:bookmarkStart w:id="251" w:name="KatzEtAl2025txt"/>
      <w:hyperlink w:anchor="KatzEtAl2025" w:history="1">
        <w:r>
          <w:rPr>
            <w:color w:val="1F3864"/>
            <w:u w:val="single"/>
          </w:rPr>
          <w:t xml:space="preserve">Katz et al. 2025</w:t>
        </w:r>
      </w:hyperlink>
      <w:bookmarkEnd w:id="251"/>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present model (</w:t>
      </w:r>
      <w:bookmarkStart w:id="231" w:name="AykutEtAl2026txt"/>
      <w:hyperlink w:anchor="AykutEtAl2026" w:history="1">
        <w:r>
          <w:rPr>
            <w:color w:val="1F3864"/>
            <w:u w:val="single"/>
          </w:rPr>
          <w:t xml:space="preserve">Aykut et al. 2026</w:t>
        </w:r>
      </w:hyperlink>
      <w:bookmarkEnd w:id="231"/>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the same narrowness means that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such as non-sanctioned status, credible long-term power contracts, stable network connectivity, and a regulatory environment conducive for capital-intensive investment over a multi-decade horizon. The absence of these conditions shifts most countries toward domestic production at a nontrivial welfare cost. The welfare loss is small enough, however, that governments with legitimate data-sovereignty objectives may prefer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when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sharper tests of the model’s predictions and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2" w:name="WorldBank2024txt"/>
      <w:hyperlink w:anchor="WorldBank2024" w:history="1">
        <w:r>
          <w:rPr>
            <w:color w:val="1F3864"/>
            <w:u w:val="single"/>
          </w:rPr>
          <w:t xml:space="preserve">World Bank</w:t>
        </w:r>
      </w:hyperlink>
      <w:bookmarkEnd w:id="232"/>
      <w:r>
        <w:t xml:space="preserve"> Group.</w:t>
      </w:r>
      <w:bookmarkEnd w:id="502"/>
    </w:p>
    <w:p>
      <w:pPr>
        <w:spacing w:before="0" w:after="80" w:line="240" w:lineRule="exact"/>
        <w:ind w:hanging="720" w:left="720"/>
        <w:jc w:val="both"/>
      </w:pPr>
      <w:bookmarkStart w:id="503"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3"/>
    </w:p>
    <w:p>
      <w:pPr>
        <w:spacing w:before="0" w:after="80" w:line="240" w:lineRule="exact"/>
        <w:ind w:hanging="720" w:left="720"/>
        <w:jc w:val="both"/>
      </w:pPr>
      <w:bookmarkStart w:id="504"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4"/>
    </w:p>
    <w:p>
      <w:pPr>
        <w:spacing w:before="0" w:after="80" w:line="240" w:lineRule="exact"/>
        <w:ind w:hanging="720" w:left="720"/>
        <w:jc w:val="both"/>
      </w:pPr>
      <w:bookmarkStart w:id="505"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5"/>
    </w:p>
    <w:p>
      <w:pPr>
        <w:spacing w:before="0" w:after="80" w:line="240" w:lineRule="exact"/>
        <w:ind w:hanging="720" w:left="720"/>
        <w:jc w:val="both"/>
      </w:pPr>
      <w:bookmarkStart w:id="506"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6"/>
    </w:p>
    <w:p>
      <w:pPr>
        <w:spacing w:before="0" w:after="80" w:line="240" w:lineRule="exact"/>
        <w:ind w:hanging="720" w:left="720"/>
        <w:jc w:val="both"/>
      </w:pPr>
      <w:bookmarkStart w:id="507"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7"/>
    </w:p>
    <w:p>
      <w:pPr>
        <w:spacing w:before="0" w:after="80" w:line="240" w:lineRule="exact"/>
        <w:ind w:hanging="720" w:left="720"/>
        <w:jc w:val="both"/>
      </w:pPr>
      <w:bookmarkStart w:id="508"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8"/>
    </w:p>
    <w:p>
      <w:pPr>
        <w:spacing w:before="0" w:after="80" w:line="240" w:lineRule="exact"/>
        <w:ind w:hanging="720" w:left="720"/>
        <w:jc w:val="both"/>
      </w:pPr>
      <w:bookmarkStart w:id="509"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9"/>
    </w:p>
    <w:p>
      <w:pPr>
        <w:spacing w:before="0" w:after="80" w:line="240" w:lineRule="exact"/>
        <w:ind w:hanging="720" w:left="720"/>
        <w:jc w:val="both"/>
      </w:pPr>
      <w:bookmarkStart w:id="510"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0"/>
    </w:p>
    <w:p>
      <w:pPr>
        <w:spacing w:before="0" w:after="80" w:line="240" w:lineRule="exact"/>
        <w:ind w:hanging="720" w:left="720"/>
        <w:jc w:val="both"/>
      </w:pPr>
      <w:bookmarkStart w:id="511"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1"/>
    </w:p>
    <w:p>
      <w:pPr>
        <w:spacing w:before="0" w:after="80" w:line="240" w:lineRule="exact"/>
        <w:ind w:hanging="720" w:left="720"/>
        <w:jc w:val="both"/>
      </w:pPr>
      <w:bookmarkStart w:id="512"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2"/>
    </w:p>
    <w:p>
      <w:pPr>
        <w:spacing w:before="0" w:after="80" w:line="240" w:lineRule="exact"/>
        <w:ind w:hanging="720" w:left="720"/>
        <w:jc w:val="both"/>
      </w:pPr>
      <w:bookmarkStart w:id="513" w:name="Deloitte2020"/>
      <w:hyperlink w:anchor="Deloitte2020txt" w:history="1">
        <w:r>
          <w:rPr>
            <w:color w:val="1F3864"/>
            <w:u w:val="single"/>
          </w:rPr>
          <w:t xml:space="preserve">Deloitte and Google. (2020). </w:t>
        </w:r>
      </w:hyperlink>
      <w:r>
        <w:t>“Milliseconds Make Millions.” Deloitte Digital and Google.</w:t>
      </w:r>
      <w:bookmarkEnd w:id="513"/>
    </w:p>
    <w:p>
      <w:pPr>
        <w:spacing w:before="0" w:after="80" w:line="240" w:lineRule="exact"/>
        <w:ind w:hanging="720" w:left="720"/>
        <w:jc w:val="both"/>
      </w:pPr>
      <w:bookmarkStart w:id="514"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4"/>
    </w:p>
    <w:p>
      <w:pPr>
        <w:spacing w:before="0" w:after="80" w:line="240" w:lineRule="exact"/>
        <w:ind w:hanging="720" w:left="720"/>
        <w:jc w:val="both"/>
      </w:pPr>
      <w:bookmarkStart w:id="515"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5"/>
    </w:p>
    <w:p>
      <w:pPr>
        <w:spacing w:before="0" w:after="80" w:line="240" w:lineRule="exact"/>
        <w:ind w:hanging="720" w:left="720"/>
        <w:jc w:val="both"/>
      </w:pPr>
      <w:bookmarkStart w:id="516"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6"/>
    </w:p>
    <w:p>
      <w:pPr>
        <w:spacing w:before="0" w:after="80" w:line="240" w:lineRule="exact"/>
        <w:ind w:hanging="720" w:left="720"/>
        <w:jc w:val="both"/>
      </w:pPr>
      <w:bookmarkStart w:id="517" w:name="EpochAI2024"/>
      <w:hyperlink w:anchor="EpochAI2024txt" w:history="1">
        <w:r>
          <w:rPr>
            <w:color w:val="1F3864"/>
            <w:u w:val="single"/>
          </w:rPr>
          <w:t xml:space="preserve">Epoch AI. (2024). </w:t>
        </w:r>
      </w:hyperlink>
      <w:r>
        <w:t>“The Training Compute of Notable AI Models.” epochai.org.</w:t>
      </w:r>
      <w:bookmarkEnd w:id="517"/>
    </w:p>
    <w:p>
      <w:pPr>
        <w:spacing w:before="0" w:after="80" w:line="240" w:lineRule="exact"/>
        <w:ind w:hanging="720" w:left="720"/>
        <w:jc w:val="both"/>
      </w:pPr>
      <w:bookmarkStart w:id="518"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8"/>
    </w:p>
    <w:p>
      <w:pPr>
        <w:spacing w:before="0" w:after="80" w:line="240" w:lineRule="exact"/>
        <w:ind w:hanging="720" w:left="720"/>
        <w:jc w:val="both"/>
      </w:pPr>
      <w:bookmarkStart w:id="519"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9"/>
    </w:p>
    <w:p>
      <w:pPr>
        <w:spacing w:before="0" w:after="80" w:line="240" w:lineRule="exact"/>
        <w:ind w:hanging="720" w:left="720"/>
        <w:jc w:val="both"/>
      </w:pPr>
      <w:bookmarkStart w:id="520"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0"/>
    </w:p>
    <w:p>
      <w:pPr>
        <w:spacing w:before="0" w:after="80" w:line="240" w:lineRule="exact"/>
        <w:ind w:hanging="720" w:left="720"/>
        <w:jc w:val="both"/>
      </w:pPr>
      <w:bookmarkStart w:id="521"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1"/>
    </w:p>
    <w:p>
      <w:pPr>
        <w:spacing w:before="0" w:after="80" w:line="240" w:lineRule="exact"/>
        <w:ind w:hanging="720" w:left="720"/>
        <w:jc w:val="both"/>
      </w:pPr>
      <w:bookmarkStart w:id="522"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2"/>
    </w:p>
    <w:p>
      <w:pPr>
        <w:spacing w:before="0" w:after="80" w:line="240" w:lineRule="exact"/>
        <w:ind w:hanging="720" w:left="720"/>
        <w:jc w:val="both"/>
      </w:pPr>
      <w:bookmarkStart w:id="523" w:name="Google2024"/>
      <w:hyperlink w:anchor="Google2024txt" w:history="1">
        <w:r>
          <w:rPr>
            <w:color w:val="1F3864"/>
            <w:u w:val="single"/>
          </w:rPr>
          <w:t xml:space="preserve">Google. </w:t>
        </w:r>
      </w:hyperlink>
      <w:r>
        <w:t xml:space="preserve">(2024). </w:t>
      </w:r>
      <w:r>
        <w:rPr>
          <w:i/>
        </w:rPr>
        <w:t>2024 Environmental Report</w:t>
      </w:r>
      <w:r>
        <w:t>. sustainability.google.</w:t>
      </w:r>
      <w:bookmarkEnd w:id="523"/>
    </w:p>
    <w:p>
      <w:pPr>
        <w:spacing w:before="0" w:after="80" w:line="240" w:lineRule="exact"/>
        <w:ind w:hanging="720" w:left="720"/>
        <w:jc w:val="both"/>
      </w:pPr>
      <w:bookmarkStart w:id="524"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4"/>
    </w:p>
    <w:p>
      <w:pPr>
        <w:spacing w:before="0" w:after="80" w:line="240" w:lineRule="exact"/>
        <w:ind w:hanging="720" w:left="720"/>
        <w:jc w:val="both"/>
      </w:pPr>
      <w:bookmarkStart w:id="525"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5"/>
    </w:p>
    <w:p>
      <w:pPr>
        <w:spacing w:before="0" w:after="80" w:line="240" w:lineRule="exact"/>
        <w:ind w:hanging="720" w:left="720"/>
        <w:jc w:val="both"/>
      </w:pPr>
      <w:bookmarkStart w:id="526"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6"/>
    </w:p>
    <w:p>
      <w:pPr>
        <w:spacing w:before="0" w:after="80" w:line="240" w:lineRule="exact"/>
        <w:ind w:hanging="720" w:left="720"/>
        <w:jc w:val="both"/>
      </w:pPr>
      <w:bookmarkStart w:id="527" w:name="IEA2025"/>
      <w:hyperlink w:anchor="IEA2025txt" w:history="1">
        <w:r>
          <w:rPr>
            <w:color w:val="1F3864"/>
            <w:u w:val="single"/>
          </w:rPr>
          <w:t xml:space="preserve">IEA. (2025). </w:t>
        </w:r>
      </w:hyperlink>
      <w:r>
        <w:t>“Energy Demand from AI.” Published online at iea.org.</w:t>
      </w:r>
      <w:bookmarkEnd w:id="527"/>
    </w:p>
    <w:p>
      <w:pPr>
        <w:spacing w:before="0" w:after="80" w:line="240" w:lineRule="exact"/>
        <w:ind w:hanging="720" w:left="720"/>
        <w:jc w:val="both"/>
      </w:pPr>
      <w:bookmarkStart w:id="528"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8"/>
    </w:p>
    <w:p>
      <w:pPr>
        <w:spacing w:before="0" w:after="80" w:line="240" w:lineRule="exact"/>
        <w:ind w:hanging="720" w:left="720"/>
        <w:jc w:val="both"/>
      </w:pPr>
      <w:bookmarkStart w:id="529"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29"/>
    </w:p>
    <w:p>
      <w:pPr>
        <w:spacing w:before="0" w:after="80" w:line="240" w:lineRule="exact"/>
        <w:ind w:hanging="720" w:left="720"/>
        <w:jc w:val="both"/>
      </w:pPr>
      <w:bookmarkStart w:id="530"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0"/>
    </w:p>
    <w:p>
      <w:pPr>
        <w:spacing w:before="0" w:after="80" w:line="240" w:lineRule="exact"/>
        <w:ind w:hanging="720" w:left="720"/>
        <w:jc w:val="both"/>
      </w:pPr>
      <w:bookmarkStart w:id="531"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1"/>
    </w:p>
    <w:p>
      <w:pPr>
        <w:spacing w:before="0" w:after="80" w:line="240" w:lineRule="exact"/>
        <w:ind w:hanging="720" w:left="720"/>
        <w:jc w:val="both"/>
      </w:pPr>
      <w:bookmarkStart w:id="532"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2"/>
    </w:p>
    <w:p>
      <w:pPr>
        <w:spacing w:before="0" w:after="80" w:line="240" w:lineRule="exact"/>
        <w:ind w:hanging="720" w:left="720"/>
        <w:jc w:val="both"/>
      </w:pPr>
      <w:bookmarkStart w:id="533"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3"/>
    </w:p>
    <w:p>
      <w:pPr>
        <w:spacing w:before="0" w:after="80" w:line="240" w:lineRule="exact"/>
        <w:ind w:hanging="720" w:left="720"/>
        <w:jc w:val="both"/>
      </w:pPr>
      <w:bookmarkStart w:id="534"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34"/>
    </w:p>
    <w:p>
      <w:pPr>
        <w:spacing w:before="0" w:after="80" w:line="240" w:lineRule="exact"/>
        <w:ind w:hanging="720" w:left="720"/>
        <w:jc w:val="both"/>
      </w:pPr>
      <w:bookmarkStart w:id="535"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5"/>
    </w:p>
    <w:p>
      <w:pPr>
        <w:spacing w:before="0" w:after="80" w:line="240" w:lineRule="exact"/>
        <w:ind w:hanging="720" w:left="720"/>
        <w:jc w:val="both"/>
      </w:pPr>
      <w:bookmarkStart w:id="536" w:name="NVIDIA2024"/>
      <w:r>
        <w:rPr>
          <w:color w:val="1F3864"/>
          <w:u w:val="single"/>
        </w:rPr>
        <w:t xml:space="preserve">NVIDIA. </w:t>
      </w:r>
      <w:r>
        <w:t xml:space="preserve">(2024). </w:t>
      </w:r>
      <w:r>
        <w:rPr>
          <w:i/>
        </w:rPr>
        <w:t>NVIDIA H100 Tensor Core GPU Datasheet</w:t>
      </w:r>
      <w:r>
        <w:t>. nvidia.com.</w:t>
      </w:r>
      <w:bookmarkEnd w:id="536"/>
    </w:p>
    <w:p>
      <w:pPr>
        <w:spacing w:before="0" w:after="80" w:line="240" w:lineRule="exact"/>
        <w:ind w:hanging="720" w:left="720"/>
        <w:jc w:val="both"/>
      </w:pPr>
      <w:bookmarkStart w:id="537"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7"/>
    </w:p>
    <w:p>
      <w:pPr>
        <w:spacing w:before="0" w:after="80" w:line="240" w:lineRule="exact"/>
        <w:ind w:hanging="720" w:left="720"/>
        <w:jc w:val="both"/>
      </w:pPr>
      <w:bookmarkStart w:id="538"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8"/>
    </w:p>
    <w:p>
      <w:pPr>
        <w:spacing w:before="0" w:after="80" w:line="240" w:lineRule="exact"/>
        <w:ind w:hanging="720" w:left="720"/>
        <w:jc w:val="both"/>
      </w:pPr>
      <w:bookmarkStart w:id="539" w:name="Sastry2024"/>
      <w:hyperlink w:anchor="Sastry2024txt" w:history="1">
        <w:r>
          <w:rPr>
            <w:color w:val="1F3864"/>
            <w:u w:val="single"/>
          </w:rPr>
          <w:t xml:space="preserve">Sastry, G., L. Heim, et al. (2024). </w:t>
        </w:r>
      </w:hyperlink>
      <w:r>
        <w:t>“Computing Power and the Governance of Artificial Intelligence.” arXiv:2402.08797.</w:t>
      </w:r>
      <w:bookmarkEnd w:id="539"/>
    </w:p>
    <w:p>
      <w:pPr>
        <w:spacing w:before="0" w:after="80" w:line="240" w:lineRule="exact"/>
        <w:ind w:hanging="720" w:left="720"/>
        <w:jc w:val="both"/>
      </w:pPr>
      <w:bookmarkStart w:id="540"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0"/>
    </w:p>
    <w:p>
      <w:pPr>
        <w:spacing w:before="0" w:after="80" w:line="240" w:lineRule="exact"/>
        <w:ind w:hanging="720" w:left="720"/>
        <w:jc w:val="both"/>
      </w:pPr>
      <w:bookmarkStart w:id="541"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4" w:name="WorldBank2024txt"/>
      <w:hyperlink w:anchor="WorldBank2024" w:history="1">
        <w:r>
          <w:rPr>
            <w:color w:val="1F3864"/>
            <w:u w:val="single"/>
          </w:rPr>
          <w:t xml:space="preserve">World Bank</w:t>
        </w:r>
      </w:hyperlink>
      <w:bookmarkEnd w:id="234"/>
      <w:r>
        <w:t xml:space="preserve">.</w:t>
      </w:r>
      <w:bookmarkEnd w:id="541"/>
    </w:p>
    <w:p>
      <w:pPr>
        <w:spacing w:before="0" w:after="80" w:line="240" w:lineRule="exact"/>
        <w:ind w:hanging="720" w:left="720"/>
        <w:jc w:val="both"/>
      </w:pPr>
      <w:bookmarkStart w:id="542"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2"/>
    </w:p>
    <w:p>
      <w:pPr>
        <w:spacing w:before="0" w:after="80" w:line="240" w:lineRule="exact"/>
        <w:ind w:hanging="720" w:left="720"/>
        <w:jc w:val="both"/>
      </w:pPr>
      <w:bookmarkStart w:id="543"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3"/>
    </w:p>
    <w:p>
      <w:pPr>
        <w:spacing w:before="0" w:after="80" w:line="240" w:lineRule="exact"/>
        <w:ind w:hanging="720" w:left="720"/>
        <w:jc w:val="both"/>
      </w:pPr>
      <w:bookmarkStart w:id="544"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5" w:name="WorldBank2024txt"/>
      <w:hyperlink w:anchor="WorldBank2024" w:history="1">
        <w:r>
          <w:rPr>
            <w:color w:val="1F3864"/>
            <w:u w:val="single"/>
          </w:rPr>
          <w:t xml:space="preserve">World Bank</w:t>
        </w:r>
      </w:hyperlink>
      <w:bookmarkEnd w:id="235"/>
      <w:r>
        <w:t xml:space="preserve">.</w:t>
      </w:r>
      <w:bookmarkEnd w:id="546"/>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943600" cy="5431221"/>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943600" cy="5431221"/>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36" w:name="ABD2020txt"/>
      <w:hyperlink w:anchor="ABD2020" w:history="1">
        <w:r>
          <w:rPr>
            <w:color w:val="1F3864"/>
            <w:u w:val="single"/>
          </w:rPr>
          <w:t xml:space="preserve">ABD 2020</w:t>
        </w:r>
      </w:hyperlink>
      <w:bookmarkEnd w:id="236"/>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i.e., there exists at least one country k with positive compute demand such that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