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19:38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commentRangeStart w:id="202"/>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commentRangeEnd w:id="202"/>
      <w:r>
        <w:rPr>
          <w:rStyle w:val="CommentReference"/>
        </w:rPr>
        <w:commentReference w:id="202"/>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commentRangeStart w:id="201"/>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commentRangeEnd w:id="201"/>
      <w:r>
        <w:rPr>
          <w:rStyle w:val="CommentReference"/>
        </w:rPr>
        <w:commentReference w:id="201"/>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commentRangeStart w:id="200"/>
      <w:r>
        <w:rPr>
          <w:b/>
          <w:sz w:val="20"/>
        </w:rPr>
        <w:t>. Rank change with efficiency adjustment</w:t>
      </w:r>
      <w:commentRangeEnd w:id="200"/>
      <w:r>
        <w:rPr>
          <w:rStyle w:val="CommentReference"/>
        </w:rPr>
        <w:commentReference w:id="200"/>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r="http://schemas.openxmlformats.org/officeDocument/2006/relationships">
  <w:comment w:id="200" w:author="Claude" w:date="2026-02-24T19:39:47Z" w:initials="C">
    <w:p>
      <w:r>
        <w:t>AUTHOR: Regenerate Figure 2 with Form B adjusted costs. Rank changes are now smaller (max +57 Turkmenistan vs previous +82 Iran). Current embedded figure was auto-generated from Form B values but should be verified.</w:t>
      </w:r>
    </w:p>
  </w:comment>
  <w:comment w:id="201" w:author="Claude" w:date="2026-02-24T19:39:47Z" w:initials="C">
    <w:p>
      <w:r>
        <w:t>AUTHOR: Verify welfare cost with new Form B specification and ξ values. This number derives from the bilateral sovereignty premium equilibrium and may change.</w:t>
      </w:r>
    </w:p>
  </w:comment>
  <w:comment w:id="202" w:author="Claude" w:date="2026-02-24T19:39:47Z" w:initials="C">
    <w:p>
      <w:r>
        <w:t>AUTHOR: Verify trade regime count with new Form B specification. This number is dynamically computed and should be checked against the equilibrium results.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 Id="rId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