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00:40</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7" w:name="IEA2025txt"/>
      <w:hyperlink w:anchor="IEA2025" w:history="1">
        <w:r>
          <w:rPr>
            <w:color w:val="1F3864"/>
            <w:u w:val="single"/>
          </w:rPr>
          <w:t xml:space="preserve">IEA 2025</w:t>
        </w:r>
      </w:hyperlink>
      <w:bookmarkEnd w:id="247"/>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8" w:name="Hausmann2007txt"/>
      <w:hyperlink w:anchor="Hausmann2007" w:history="1">
        <w:r>
          <w:rPr>
            <w:color w:val="1F3864"/>
            <w:u w:val="single"/>
          </w:rPr>
          <w:t xml:space="preserve">Hausmann et al. (2007)</w:t>
        </w:r>
      </w:hyperlink>
      <w:bookmarkEnd w:id="248"/>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49" w:name="Liu2023txt"/>
      <w:hyperlink w:anchor="Liu2023" w:history="1">
        <w:r>
          <w:rPr>
            <w:color w:val="1F3864"/>
            <w:u w:val="single"/>
          </w:rPr>
          <w:t xml:space="preserve">Liu et al. (2023)</w:t>
        </w:r>
      </w:hyperlink>
      <w:bookmarkEnd w:id="249"/>
      <w:r>
        <w:t xml:space="preserve"> study data center placement under renewable energy constraints. These studies focus on where firms should build data centers. In international trade theory, </w:t>
      </w:r>
      <w:bookmarkStart w:id="254" w:name="Brainard1997txt"/>
      <w:hyperlink w:anchor="Brainard1997" w:history="1">
        <w:r>
          <w:rPr>
            <w:color w:val="1F3864"/>
            <w:u w:val="single"/>
          </w:rPr>
          <w:t xml:space="preserve">Brainard (1997)</w:t>
        </w:r>
      </w:hyperlink>
      <w:bookmarkEnd w:id="254"/>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5" w:name="Pilz2025txt"/>
      <w:hyperlink w:anchor="Pilz2025" w:history="1">
        <w:r>
          <w:rPr>
            <w:color w:val="1F3864"/>
            <w:u w:val="single"/>
          </w:rPr>
          <w:t xml:space="preserve">Pilz et al. (2025)</w:t>
        </w:r>
      </w:hyperlink>
      <w:bookmarkEnd w:id="255"/>
      <w:r>
        <w:t xml:space="preserve"> project that AI data center power demand could reach 327 GW by 2030 and that domestic power shortages may push compute infrastructure abroad. The </w:t>
      </w:r>
      <w:bookmarkStart w:id="256" w:name="WorldBank2025txt"/>
      <w:hyperlink w:anchor="WorldBank2025" w:history="1">
        <w:r>
          <w:rPr>
            <w:color w:val="1F3864"/>
            <w:u w:val="single"/>
          </w:rPr>
          <w:t xml:space="preserve">World Bank (2025)</w:t>
        </w:r>
      </w:hyperlink>
      <w:bookmarkEnd w:id="256"/>
      <w:r>
        <w:t xml:space="preserve"> documents the resulting global compute divide: high-income countries hold 77% of colocation data center capacity and account for 87% of cloud computing exports (</w:t>
      </w:r>
      <w:bookmarkStart w:id="250" w:name="Stojkoski2024txt"/>
      <w:hyperlink w:anchor="Stojkoski2024" w:history="1">
        <w:r>
          <w:rPr>
            <w:color w:val="1F3864"/>
            <w:u w:val="single"/>
          </w:rPr>
          <w:t xml:space="preserve">Stojkoski et al. 2024</w:t>
        </w:r>
      </w:hyperlink>
      <w:bookmarkEnd w:id="250"/>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1" w:name="EIA2025txt"/>
      <w:hyperlink w:anchor="EIA2025" w:history="1">
        <w:r>
          <w:rPr>
            <w:color w:val="1F3864"/>
            <w:u w:val="single"/>
          </w:rPr>
          <w:t xml:space="preserve">EIA 2025</w:t>
        </w:r>
      </w:hyperlink>
      <w:bookmarkEnd w:id="251"/>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2" w:name="NVIDIA2024txt"/>
      <w:hyperlink w:anchor="NVIDIA2024" w:history="1">
        <w:r>
          <w:rPr>
            <w:color w:val="1F3864"/>
            <w:u w:val="single"/>
          </w:rPr>
          <w:t xml:space="preserve">NVIDIA 2024</w:t>
        </w:r>
      </w:hyperlink>
      <w:bookmarkEnd w:id="252"/>
      <w:r>
        <w:t xml:space="preserve">). Google’s fleet-wide GPU utilization, after years of optimization with custom schedulers and workload packing,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amortizes hardware and construction costs using straight-line depreciation, implicitly assuming a zero discount rate and uniform financing costs across countries. In practice, the cost of capital varies substantially. An OECD-based hyperscaler financing at a weighted average cost of capital (WACC) of 8% faces an annualized hardware cost of $1.58 per GPU-hour, compared with $1.36 under straight-line depreciation. A locally financed facility in a developing country, facing a WACC of 18% owing to sovereign risk, currency risk, and shallow domestic capital markets, would pay $1.87 per GPU-hour for the same hardware—a financing gap of $0.29 per GPU-hour on hardware alone. Including construction (at 15-year facility life), the total financing gap between an OECD and a developing-country operator widens to approximately $0.37 per GPU-hour, roughly four times the entire electricity cost spread across the top 20 countries in the baseline ranking. The effect on comparative advantage depends on the ownership model. If hyperscalers finance facilities at their own WACC regardless of host country, financing costs are approximately uniform and the baseline rankings hold. If local entrepreneurs or sovereign wealth funds finance at domestic rates,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compounding the disadvantage of low-income producers. The calibration’s implicit assumption of uniform financing is therefore conservative in the sense that it overstates developing-country cost competitiveness relative to a scenario with heterogeneous cost of capital.</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8" w:name="Krugman1991txt"/>
      <w:hyperlink w:anchor="Krugman1991" w:history="1">
        <w:r>
          <w:rPr>
            <w:color w:val="1F3864"/>
            <w:u w:val="single"/>
          </w:rPr>
          <w:t xml:space="preserve">Krugman 1991</w:t>
        </w:r>
      </w:hyperlink>
      <w:bookmarkEnd w:id="228"/>
      <w:r>
        <w:t xml:space="preserve">). The concentration of data centers in locations such as Northern Virginia reflects these centripetal forces.</w:t>
      </w:r>
    </w:p>
    <w:p>
      <w:pPr>
        <w:spacing w:before="0" w:after="160"/>
        <w:ind w:firstLine="0"/>
        <w:jc w:val="both"/>
      </w:pPr>
      <w:r>
        <w:t>The model’s contribution is to identify which countries satisfy the necessary cost condition for competitive supply. Even under increasing returns, hyperscalers expanding internationally will favor locations with the lowest electricity, cooling, and construction costs, conditional on meeting minimum infrastructure thresholds. The cost ranking in Table A1 thus identifies the feasibility frontier. Cost-competitive countries have a prerequisite for attracting investment, though cost competitiveness alone is not sufficient. The thin margins documented above (a 12% spread between the cheapest and the most expensive) reinforce this point. Since unit cost advantages are modest, institutional and agglomeration factors are often decisive in determining which countries are cost-competitive and attract investment.</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3" w:name="ACR2012txt"/>
      <w:hyperlink w:anchor="ACR2012" w:history="1">
        <w:r>
          <w:rPr>
            <w:color w:val="1F3864"/>
            <w:u w:val="single"/>
          </w:rPr>
          <w:t xml:space="preserve">Arkolakis et al. 2012</w:t>
        </w:r>
      </w:hyperlink>
      <w:bookmarkEnd w:id="253"/>
      <w:r>
        <w:t xml:space="preserve">). The model generates a country taxonomy (full importers, training exporters, inference hubs, and hybrid regimes) that maps onto observed investment patterns. This geographic structure is consistent with </w:t>
      </w:r>
      <w:bookmarkStart w:id="229" w:name="Lehdonvirta2024txt"/>
      <w:hyperlink w:anchor="Lehdonvirta2024" w:history="1">
        <w:r>
          <w:rPr>
            <w:color w:val="1F3864"/>
            <w:u w:val="single"/>
          </w:rPr>
          <w:t xml:space="preserve">Lehdonvirta et al. (2024)</w:t>
        </w:r>
      </w:hyperlink>
      <w:bookmarkEnd w:id="229"/>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0" w:name="vanderPloeg2011txt"/>
      <w:hyperlink w:anchor="vanderPloeg2011" w:history="1">
        <w:r>
          <w:rPr>
            <w:color w:val="1F3864"/>
            <w:u w:val="single"/>
          </w:rPr>
          <w:t xml:space="preserve">van der Ploeg 2011</w:t>
        </w:r>
      </w:hyperlink>
      <w:bookmarkEnd w:id="230"/>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5"/>
    </w:p>
    <w:p>
      <w:pPr>
        <w:spacing w:before="0" w:after="80" w:line="240" w:lineRule="exact"/>
        <w:ind w:hanging="720" w:left="720"/>
        <w:jc w:val="both"/>
      </w:pPr>
      <w:bookmarkStart w:id="506" w:name="Deloitte2020"/>
      <w:hyperlink w:anchor="Deloitte2020txt" w:history="1">
        <w:r>
          <w:rPr>
            <w:color w:val="1F3864"/>
            <w:u w:val="single"/>
          </w:rPr>
          <w:t xml:space="preserve">Deloitte and Google. (2020). </w:t>
        </w:r>
      </w:hyperlink>
      <w:r>
        <w:t>“Milliseconds Make Millions.” Deloitte Digital and Google.</w:t>
      </w:r>
      <w:bookmarkEnd w:id="506"/>
    </w:p>
    <w:p>
      <w:pPr>
        <w:spacing w:before="0" w:after="80" w:line="240" w:lineRule="exact"/>
        <w:ind w:hanging="720" w:left="720"/>
        <w:jc w:val="both"/>
      </w:pPr>
      <w:bookmarkStart w:id="50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7"/>
    </w:p>
    <w:p>
      <w:pPr>
        <w:spacing w:before="0" w:after="80" w:line="240" w:lineRule="exact"/>
        <w:ind w:hanging="720" w:left="720"/>
        <w:jc w:val="both"/>
      </w:pPr>
      <w:bookmarkStart w:id="50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8"/>
    </w:p>
    <w:p>
      <w:pPr>
        <w:spacing w:before="0" w:after="80" w:line="240" w:lineRule="exact"/>
        <w:ind w:hanging="720" w:left="720"/>
        <w:jc w:val="both"/>
      </w:pPr>
      <w:bookmarkStart w:id="50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09"/>
    </w:p>
    <w:p>
      <w:pPr>
        <w:spacing w:before="0" w:after="80" w:line="240" w:lineRule="exact"/>
        <w:ind w:hanging="720" w:left="720"/>
        <w:jc w:val="both"/>
      </w:pPr>
      <w:bookmarkStart w:id="510" w:name="EpochAI2024"/>
      <w:hyperlink w:anchor="EpochAI2024txt" w:history="1">
        <w:r>
          <w:rPr>
            <w:color w:val="1F3864"/>
            <w:u w:val="single"/>
          </w:rPr>
          <w:t xml:space="preserve">Epoch AI. (2024). </w:t>
        </w:r>
      </w:hyperlink>
      <w:r>
        <w:t>“The Training Compute of Notable AI Models.” epochai.org.</w:t>
      </w:r>
      <w:bookmarkEnd w:id="510"/>
    </w:p>
    <w:p>
      <w:pPr>
        <w:spacing w:before="0" w:after="80" w:line="240" w:lineRule="exact"/>
        <w:ind w:hanging="720" w:left="720"/>
        <w:jc w:val="both"/>
      </w:pPr>
      <w:bookmarkStart w:id="51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1"/>
    </w:p>
    <w:p>
      <w:pPr>
        <w:spacing w:before="0" w:after="80" w:line="240" w:lineRule="exact"/>
        <w:ind w:hanging="720" w:left="720"/>
        <w:jc w:val="both"/>
      </w:pPr>
      <w:bookmarkStart w:id="51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2"/>
    </w:p>
    <w:p>
      <w:pPr>
        <w:spacing w:before="0" w:after="80" w:line="240" w:lineRule="exact"/>
        <w:ind w:hanging="720" w:left="720"/>
        <w:jc w:val="both"/>
      </w:pPr>
      <w:bookmarkStart w:id="51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3"/>
    </w:p>
    <w:p>
      <w:pPr>
        <w:spacing w:before="0" w:after="80" w:line="240" w:lineRule="exact"/>
        <w:ind w:hanging="720" w:left="720"/>
        <w:jc w:val="both"/>
      </w:pPr>
      <w:bookmarkStart w:id="51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4"/>
    </w:p>
    <w:p>
      <w:pPr>
        <w:spacing w:before="0" w:after="80" w:line="240" w:lineRule="exact"/>
        <w:ind w:hanging="720" w:left="720"/>
        <w:jc w:val="both"/>
      </w:pPr>
      <w:bookmarkStart w:id="51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5"/>
    </w:p>
    <w:p>
      <w:pPr>
        <w:spacing w:before="0" w:after="80" w:line="240" w:lineRule="exact"/>
        <w:ind w:hanging="720" w:left="720"/>
        <w:jc w:val="both"/>
      </w:pPr>
      <w:bookmarkStart w:id="516" w:name="Google2024"/>
      <w:r>
        <w:rPr>
          <w:color w:val="1F3864"/>
          <w:u w:val="single"/>
        </w:rPr>
        <w:t xml:space="preserve">Google. </w:t>
      </w:r>
      <w:r>
        <w:t xml:space="preserve">(2024). </w:t>
      </w:r>
      <w:r>
        <w:rPr>
          <w:i/>
        </w:rPr>
        <w:t>2024 Environmental Report</w:t>
      </w:r>
      <w:r>
        <w:t>. sustainability.google.</w:t>
      </w:r>
      <w:bookmarkEnd w:id="516"/>
    </w:p>
    <w:p>
      <w:pPr>
        <w:spacing w:before="0" w:after="80" w:line="240" w:lineRule="exact"/>
        <w:ind w:hanging="720" w:left="720"/>
        <w:jc w:val="both"/>
      </w:pPr>
      <w:bookmarkStart w:id="51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7"/>
    </w:p>
    <w:p>
      <w:pPr>
        <w:spacing w:before="0" w:after="80" w:line="240" w:lineRule="exact"/>
        <w:ind w:hanging="720" w:left="720"/>
        <w:jc w:val="both"/>
      </w:pPr>
      <w:bookmarkStart w:id="518"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8"/>
    </w:p>
    <w:p>
      <w:pPr>
        <w:spacing w:before="0" w:after="80" w:line="240" w:lineRule="exact"/>
        <w:ind w:hanging="720" w:left="720"/>
        <w:jc w:val="both"/>
      </w:pPr>
      <w:bookmarkStart w:id="519"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19"/>
    </w:p>
    <w:p>
      <w:pPr>
        <w:spacing w:before="0" w:after="80" w:line="240" w:lineRule="exact"/>
        <w:ind w:hanging="720" w:left="720"/>
        <w:jc w:val="both"/>
      </w:pPr>
      <w:bookmarkStart w:id="520"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0"/>
    </w:p>
    <w:p>
      <w:pPr>
        <w:spacing w:before="0" w:after="80" w:line="240" w:lineRule="exact"/>
        <w:ind w:hanging="720" w:left="720"/>
        <w:jc w:val="both"/>
      </w:pPr>
      <w:bookmarkStart w:id="521" w:name="IEA2025"/>
      <w:hyperlink w:anchor="IEA2025txt" w:history="1">
        <w:r>
          <w:rPr>
            <w:color w:val="1F3864"/>
            <w:u w:val="single"/>
          </w:rPr>
          <w:t xml:space="preserve">IEA. (2025). </w:t>
        </w:r>
      </w:hyperlink>
      <w:r>
        <w:t>“Energy Demand from AI.” Published online at iea.org.</w:t>
      </w:r>
      <w:bookmarkEnd w:id="521"/>
    </w:p>
    <w:p>
      <w:pPr>
        <w:spacing w:before="0" w:after="80" w:line="240" w:lineRule="exact"/>
        <w:ind w:hanging="720" w:left="720"/>
        <w:jc w:val="both"/>
      </w:pPr>
      <w:bookmarkStart w:id="52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2"/>
    </w:p>
    <w:p>
      <w:pPr>
        <w:spacing w:before="0" w:after="80" w:line="240" w:lineRule="exact"/>
        <w:ind w:hanging="720" w:left="720"/>
        <w:jc w:val="both"/>
      </w:pPr>
      <w:bookmarkStart w:id="523"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3"/>
    </w:p>
    <w:p>
      <w:pPr>
        <w:spacing w:before="0" w:after="80" w:line="240" w:lineRule="exact"/>
        <w:ind w:hanging="720" w:left="720"/>
        <w:jc w:val="both"/>
      </w:pPr>
      <w:bookmarkStart w:id="524"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4"/>
    </w:p>
    <w:p>
      <w:pPr>
        <w:spacing w:before="0" w:after="80" w:line="240" w:lineRule="exact"/>
        <w:ind w:hanging="720" w:left="720"/>
        <w:jc w:val="both"/>
      </w:pPr>
      <w:bookmarkStart w:id="525"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5"/>
    </w:p>
    <w:p>
      <w:pPr>
        <w:spacing w:before="0" w:after="80" w:line="240" w:lineRule="exact"/>
        <w:ind w:hanging="720" w:left="720"/>
        <w:jc w:val="both"/>
      </w:pPr>
      <w:bookmarkStart w:id="526"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6"/>
    </w:p>
    <w:p>
      <w:pPr>
        <w:spacing w:before="0" w:after="80" w:line="240" w:lineRule="exact"/>
        <w:ind w:hanging="720" w:left="720"/>
        <w:jc w:val="both"/>
      </w:pPr>
      <w:bookmarkStart w:id="527"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7"/>
    </w:p>
    <w:p>
      <w:pPr>
        <w:spacing w:before="0" w:after="80" w:line="240" w:lineRule="exact"/>
        <w:ind w:hanging="720" w:left="720"/>
        <w:jc w:val="both"/>
      </w:pPr>
      <w:bookmarkStart w:id="528"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8"/>
    </w:p>
    <w:p>
      <w:pPr>
        <w:spacing w:before="0" w:after="80" w:line="240" w:lineRule="exact"/>
        <w:ind w:hanging="720" w:left="720"/>
        <w:jc w:val="both"/>
      </w:pPr>
      <w:bookmarkStart w:id="529" w:name="NVIDIA2024"/>
      <w:hyperlink w:anchor="NVIDIA2024txt" w:history="1">
        <w:r>
          <w:rPr>
            <w:color w:val="1F3864"/>
            <w:u w:val="single"/>
          </w:rPr>
          <w:t xml:space="preserve">NVIDIA. </w:t>
        </w:r>
      </w:hyperlink>
      <w:r>
        <w:t xml:space="preserve">(2024). </w:t>
      </w:r>
      <w:r>
        <w:rPr>
          <w:i/>
        </w:rPr>
        <w:t>NVIDIA H100 Tensor Core GPU Datasheet</w:t>
      </w:r>
      <w:r>
        <w:t>. nvidia.com.</w:t>
      </w:r>
      <w:bookmarkEnd w:id="529"/>
    </w:p>
    <w:p>
      <w:pPr>
        <w:spacing w:before="0" w:after="80" w:line="240" w:lineRule="exact"/>
        <w:ind w:hanging="720" w:left="720"/>
        <w:jc w:val="both"/>
      </w:pPr>
      <w:bookmarkStart w:id="530"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0"/>
    </w:p>
    <w:p>
      <w:pPr>
        <w:spacing w:before="0" w:after="80" w:line="240" w:lineRule="exact"/>
        <w:ind w:hanging="720" w:left="720"/>
        <w:jc w:val="both"/>
      </w:pPr>
      <w:bookmarkStart w:id="531"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1"/>
    </w:p>
    <w:p>
      <w:pPr>
        <w:spacing w:before="0" w:after="80" w:line="240" w:lineRule="exact"/>
        <w:ind w:hanging="720" w:left="720"/>
        <w:jc w:val="both"/>
      </w:pPr>
      <w:bookmarkStart w:id="532" w:name="Sastry2024"/>
      <w:hyperlink w:anchor="Sastry2024txt" w:history="1">
        <w:r>
          <w:rPr>
            <w:color w:val="1F3864"/>
            <w:u w:val="single"/>
          </w:rPr>
          <w:t xml:space="preserve">Sastry, G., L. Heim, et al. (2024). </w:t>
        </w:r>
      </w:hyperlink>
      <w:r>
        <w:t>“Computing Power and the Governance of Artificial Intelligence.” arXiv:2402.08797.</w:t>
      </w:r>
      <w:bookmarkEnd w:id="532"/>
    </w:p>
    <w:p>
      <w:pPr>
        <w:spacing w:before="0" w:after="80" w:line="240" w:lineRule="exact"/>
        <w:ind w:hanging="720" w:left="720"/>
        <w:jc w:val="both"/>
      </w:pPr>
      <w:bookmarkStart w:id="533"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3"/>
    </w:p>
    <w:p>
      <w:pPr>
        <w:spacing w:before="0" w:after="80" w:line="240" w:lineRule="exact"/>
        <w:ind w:hanging="720" w:left="720"/>
        <w:jc w:val="both"/>
      </w:pPr>
      <w:bookmarkStart w:id="534"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4"/>
    </w:p>
    <w:p>
      <w:pPr>
        <w:spacing w:before="0" w:after="80" w:line="240" w:lineRule="exact"/>
        <w:ind w:hanging="720" w:left="720"/>
        <w:jc w:val="both"/>
      </w:pPr>
      <w:bookmarkStart w:id="535" w:name="TurnerLee2025"/>
      <w:hyperlink w:anchor="TurnerLee2025txt" w:history="1">
        <w:r>
          <w:rPr>
            <w:color w:val="1F3864"/>
            <w:u w:val="single"/>
          </w:rPr>
          <w:t xml:space="preserve">Turner Lee, N., and D. West. (2025). </w:t>
        </w:r>
      </w:hyperlink>
      <w:r>
        <w:t>“The Future of Data Centers.” Brookings Institution, November 2025.</w:t>
      </w:r>
      <w:bookmarkEnd w:id="535"/>
    </w:p>
    <w:p>
      <w:pPr>
        <w:spacing w:before="0" w:after="80" w:line="240" w:lineRule="exact"/>
        <w:ind w:hanging="720" w:left="720"/>
        <w:jc w:val="both"/>
      </w:pPr>
      <w:bookmarkStart w:id="536" w:name="DOJFTC2010"/>
      <w:r>
        <w:rPr>
          <w:color w:val="1F3864"/>
          <w:u w:val="single"/>
        </w:rPr>
        <w:t xml:space="preserve">U.S. Department of Justice and Federal Trade Commission. </w:t>
      </w:r>
      <w:r>
        <w:t xml:space="preserve">(2010). </w:t>
      </w:r>
      <w:r>
        <w:rPr>
          <w:i/>
        </w:rPr>
        <w:t>Horizontal Merger Guidelines</w:t>
      </w:r>
      <w:r>
        <w:t>. Washington, DC.</w:t>
      </w:r>
      <w:bookmarkEnd w:id="536"/>
    </w:p>
    <w:p>
      <w:pPr>
        <w:spacing w:before="0" w:after="80" w:line="240" w:lineRule="exact"/>
        <w:ind w:hanging="720" w:left="720"/>
        <w:jc w:val="both"/>
      </w:pPr>
      <w:bookmarkStart w:id="537" w:name="UNCTAD2025"/>
      <w:r>
        <w:rPr>
          <w:color w:val="1F3864"/>
          <w:u w:val="single"/>
        </w:rPr>
        <w:t xml:space="preserve">UNCTAD. </w:t>
      </w:r>
      <w:r>
        <w:t xml:space="preserve">(2025). </w:t>
      </w:r>
      <w:r>
        <w:rPr>
          <w:i/>
        </w:rPr>
        <w:t>Technology and Innovation Report 2025</w:t>
      </w:r>
      <w:r>
        <w:t>. Geneva: United Nations.</w:t>
      </w:r>
      <w:bookmarkEnd w:id="537"/>
    </w:p>
    <w:p>
      <w:pPr>
        <w:spacing w:before="0" w:after="80" w:line="240" w:lineRule="exact"/>
        <w:ind w:hanging="720" w:left="720"/>
        <w:jc w:val="both"/>
      </w:pPr>
      <w:bookmarkStart w:id="538"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8"/>
    </w:p>
    <w:p>
      <w:pPr>
        <w:spacing w:before="0" w:after="80" w:line="240" w:lineRule="exact"/>
        <w:ind w:hanging="720" w:left="720"/>
        <w:jc w:val="both"/>
      </w:pPr>
      <w:bookmarkStart w:id="539"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39"/>
    </w:p>
    <w:p>
      <w:pPr>
        <w:spacing w:before="0" w:after="80" w:line="240" w:lineRule="exact"/>
        <w:ind w:hanging="720" w:left="720"/>
        <w:jc w:val="both"/>
      </w:pPr>
      <w:bookmarkStart w:id="54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0"/>
    </w:p>
    <w:p>
      <w:pPr>
        <w:spacing w:before="0" w:after="80" w:line="240" w:lineRule="exact"/>
        <w:ind w:hanging="720" w:left="720"/>
        <w:jc w:val="both"/>
      </w:pPr>
      <w:bookmarkStart w:id="54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1"/>
    </w:p>
    <w:p>
      <w:pPr>
        <w:spacing w:before="0" w:after="80" w:line="240" w:lineRule="exact"/>
        <w:ind w:hanging="720" w:left="720"/>
        <w:jc w:val="both"/>
      </w:pPr>
      <w:bookmarkStart w:id="54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2"/>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both"/>
      </w:pPr>
      <w:r>
        <w:rPr>
          <w:rFonts w:ascii="Times New Roman" w:hAnsi="Times New Roman"/>
          <w:b w:val="0"/>
          <w:i/>
          <w:sz w:val="24"/>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sz w:val="20"/>
              </w:rPr>
              <w:t>Pᴳᴘᴜ</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w:r>
              <w:rPr>
                <w:rFonts w:ascii="Times New Roman" w:hAnsi="Times New Roman"/>
                <w:sz w:val="20"/>
              </w:rPr>
              <w:t>θ̄</w:t>
            </w:r>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w:r>
              <w:rPr>
                <w:rFonts w:ascii="Times New Roman" w:hAnsi="Times New Roman"/>
                <w:sz w:val="20"/>
              </w:rPr>
              <w:t>ξⱼ</w:t>
            </w:r>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both"/>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United States of 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Netherlands</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+46</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South Korea</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+40</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Spain</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Chile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+18</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Switzerland</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79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+50</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Malaysia</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Singapore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80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sz w:val="16"/>
              </w:rPr>
              <w:t>32</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both"/>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i/>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Top 20 countries shown by specification (3);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both"/>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both"/>
        <w:sectPr>
          <w:pgSz w:w="15840" w:h="12240" w:orient="landscape"/>
          <w:pgMar w:top="1080" w:right="1080" w:bottom="1080" w:left="1080" w:header="720" w:footer="720"/>
        </w:sectPr>
      </w:pPr>
      <w:r>
        <w:rPr>
          <w:b/>
          <w:sz w:val="20"/>
        </w:rPr>
        <w:t xml:space="preserve">Notes: </w:t>
      </w:r>
      <w:r>
        <w:rPr>
          <w:i/>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both"/>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both"/>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