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v24  —  February 22, 2026  21:46</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6" w:name="IEA2025txt"/>
      <w:hyperlink w:anchor="IEA2025" w:history="1">
        <w:r>
          <w:rPr>
            <w:color w:val="1F3864"/>
            <w:u w:val="single"/>
          </w:rPr>
          <w:t xml:space="preserve">IEA 2025</w:t>
        </w:r>
      </w:hyperlink>
      <w:bookmarkEnd w:id="246"/>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grid outages and weak governance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7" w:name="Hausmann2007txt"/>
      <w:hyperlink w:anchor="Hausmann2007" w:history="1">
        <w:r>
          <w:rPr>
            <w:color w:val="1F3864"/>
            <w:u w:val="single"/>
          </w:rPr>
          <w:t xml:space="preserve">Hausmann et al. (2007)</w:t>
        </w:r>
      </w:hyperlink>
      <w:bookmarkEnd w:id="247"/>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8" w:name="Liu2023txt"/>
      <w:hyperlink w:anchor="Liu2023" w:history="1">
        <w:r>
          <w:rPr>
            <w:color w:val="1F3864"/>
            <w:u w:val="single"/>
          </w:rPr>
          <w:t xml:space="preserve">Liu et al. (2023)</w:t>
        </w:r>
      </w:hyperlink>
      <w:bookmarkEnd w:id="248"/>
      <w:r>
        <w:t xml:space="preserve"> study data center placement under renewable energy constraints. These studies focus on where firms should build data centers. In international trade theory, </w:t>
      </w:r>
      <w:bookmarkStart w:id="251" w:name="Brainard1997txt"/>
      <w:hyperlink w:anchor="Brainard1997" w:history="1">
        <w:r>
          <w:rPr>
            <w:color w:val="1F3864"/>
            <w:u w:val="single"/>
          </w:rPr>
          <w:t xml:space="preserve">Brainard (1997)</w:t>
        </w:r>
      </w:hyperlink>
      <w:bookmarkEnd w:id="251"/>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3" w:name="WorldBank2025txt"/>
      <w:hyperlink w:anchor="WorldBank2025" w:history="1">
        <w:r>
          <w:rPr>
            <w:color w:val="1F3864"/>
            <w:u w:val="single"/>
          </w:rPr>
          <w:t xml:space="preserve">World Bank (2025)</w:t>
        </w:r>
      </w:hyperlink>
      <w:bookmarkEnd w:id="253"/>
      <w:r>
        <w:t xml:space="preserve"> documents the resulting global compute divide: high-income countries hold 77% of colocation data center capacity and account for 87% of cloud computing exports (</w:t>
      </w:r>
      <w:bookmarkStart w:id="249" w:name="Stojkoski2024txt"/>
      <w:hyperlink w:anchor="Stojkoski2024" w:history="1">
        <w:r>
          <w:rPr>
            <w:color w:val="1F3864"/>
            <w:u w:val="single"/>
          </w:rPr>
          <w:t xml:space="preserve">Stojkoski et al. 2024</w:t>
        </w:r>
      </w:hyperlink>
      <w:bookmarkEnd w:id="249"/>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The coefficients are calibrated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constructed as the product of two normalized scores: grid reliability (inverse of hours without electricity per firm per year) and operational risk (a composite of contract enforcement, expropriation risk, and regulatory predictability). It approaches one for countries with reliable power and sound institutions, and falls below one where outages or operational risk reduce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0" w:name="EIA2025txt"/>
      <w:hyperlink w:anchor="EIA2025" w:history="1">
        <w:r>
          <w:rPr>
            <w:color w:val="1F3864"/>
            <w:u w:val="single"/>
          </w:rPr>
          <w:t xml:space="preserve">EIA 2025</w:t>
        </w:r>
      </w:hyperlink>
      <w:bookmarkEnd w:id="250"/>
      <w:r>
        <w:t xml:space="preserve">) for the United States, KEPCO for South Korea,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Google’s GPU utilization, after years of optimization, runs in the 60–75% range (</w:t>
      </w:r>
      <w:bookmarkStart w:id="220" w:name="Barroso2018txt"/>
      <w:hyperlink w:anchor="Barroso2018" w:history="1">
        <w:r>
          <w:rPr>
            <w:color w:val="1F3864"/>
            <w:u w:val="single"/>
          </w:rPr>
          <w:t xml:space="preserve">Barroso et al. 2018</w:t>
        </w:r>
      </w:hyperlink>
      <w:bookmarkEnd w:id="220"/>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Our qualitative findings are therefore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2" w:name="Deloitte2020txt"/>
      <w:hyperlink w:anchor="Deloitte2020" w:history="1">
        <w:r>
          <w:rPr>
            <w:color w:val="1F3864"/>
            <w:u w:val="single"/>
          </w:rPr>
          <w:t xml:space="preserve">Deloitte (2020)</w:t>
        </w:r>
      </w:hyperlink>
      <w:bookmarkEnd w:id="222"/>
      <w:r>
        <w:t xml:space="preserve"> that a 0.1-second improvement in page load time raises e-commerce conversion rates by 8.4%.</w:t>
      </w:r>
      <w:r>
        <w:rPr>
          <w:rStyle w:val="FootnoteReference"/>
        </w:rPr>
        <w:footnoteReference w:id="14"/>
      </w:r>
      <w:r>
        <w:t xml:space="preserv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The coefficient weights are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constructed as the geometric mean of two normalized scores: governance quality (</w:t>
      </w:r>
      <w:bookmarkStart w:id="224" w:name="WorldBank2024txt"/>
      <w:hyperlink w:anchor="WorldBank2024" w:history="1">
        <w:r>
          <w:rPr>
            <w:color w:val="1F3864"/>
            <w:u w:val="single"/>
          </w:rPr>
          <w:t xml:space="preserve">World Bank</w:t>
        </w:r>
      </w:hyperlink>
      <w:bookmarkEnd w:id="224"/>
      <w:r>
        <w:t xml:space="preserve"> Worldwide Governance Indicators, Rule of Law percentile, rescaled to [0, 1]) and grid reliability (inverse of hours without electricity per firm per year, from the </w:t>
      </w:r>
      <w:bookmarkStart w:id="242" w:name="WorldBank2024txt"/>
      <w:hyperlink w:anchor="WorldBank2024" w:history="1">
        <w:r>
          <w:rPr>
            <w:color w:val="1F3864"/>
            <w:u w:val="single"/>
          </w:rPr>
          <w:t xml:space="preserve">World Bank</w:t>
        </w:r>
      </w:hyperlink>
      <w:bookmarkEnd w:id="242"/>
      <w:r>
        <w:t xml:space="preserve"> Enterprise Surveys). Sanctions exposure, previously part of ξ, is now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4" w:name="Eq2txt904"/>
      <w:hyperlink w:anchor="Eq2" w:history="1">
        <w:r>
          <w:rPr>
            <w:color w:val="1F3864"/>
            <w:u w:val="single"/>
          </w:rPr>
          <w:t xml:space="preserve">equation (2)</w:t>
        </w:r>
      </w:hyperlink>
      <w:bookmarkEnd w:id="904"/>
      <w:r>
        <w:t xml:space="preserve">. For OECD countries with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with weak grids and governance fall in between (e.g., Kyrgyzstan: 0.57, Iran: 0.51). Note that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after efficiency adjustment: penalizing low-ξ competitors pushes them down, mechanically raising higher-ξ countries. Moreover, ξ ranges from 0.95 to 1.00 even within the OECD, and the tight cross-country cost spread (≈20%) means small efficiency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such as electricity prices, temperatures, construction costs, and the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r>
        <w:t xml:space="preserve">Under observed electricity tariffs and without efficiency adjustment, the cheapest producer is Iran ($1.41/hr), followed by Turkmenistan ($1.42/hr) and Ethiopia ($1.43/hr),as shown in column (1) of </w:t>
      </w:r>
      <w:bookmarkStart w:id="112" w:name="Table3txt"/>
      <w:hyperlink w:anchor="Table3" w:history="1">
        <w:r>
          <w:rPr>
            <w:color w:val="1F3864"/>
            <w:u w:val="single"/>
          </w:rPr>
          <w:t xml:space="preserve">Table 3a</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5" w:name="Lazard2025txt"/>
      <w:hyperlink w:anchor="Lazard2025" w:history="1">
        <w:r>
          <w:rPr>
            <w:color w:val="1F3864"/>
            <w:u w:val="single"/>
          </w:rPr>
          <w:t xml:space="preserve">Lazard 2025</w:t>
        </w:r>
      </w:hyperlink>
      <w:bookmarkEnd w:id="225"/>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3a</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42 countries change their trade regimes.</w:t>
      </w:r>
    </w:p>
    <w:p>
      <w:pPr>
        <w:spacing w:before="0" w:after="160"/>
        <w:ind w:firstLine="0"/>
        <w:jc w:val="both"/>
      </w:pPr>
      <w:r>
        <w:t xml:space="preserve">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preferred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($1.46/hr), Norway ($1.47/hr), Finland ($1.47/hr), Sweden ($1.49/hr), and South Africa ($1.49/hr). </w:t>
      </w:r>
      <w:r>
        <w:t>The Δ column records the rank change from raw tariffs to the preferred specification: Iran drops 80 places</w:t>
      </w:r>
      <w:r>
        <w:t>, Kyrgyzstan drops 70</w:t>
      </w:r>
      <w:r>
        <w:t xml:space="preserve">, while Switzerland rises 63 places, </w:t>
      </w:r>
      <w:r>
        <w:t>and Singapore rises 62</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 xml:space="preserve">The efficiency-adjusted ranking captures governance quality and grid stability, while the bilateral sovereignty premium captures sanctions, geopolitical distance, and regulatory incompatibility.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fully captured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GPU export controls (Section 6.1) and water scarcity in Iran, Turkmenistan, Egypt, and Saudi Arabia further constrain several low-cost producers.</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20.3%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56.8%</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As a refinement, the model segments each country’s compute demand into three tiers: sovereign workloads (10% of demand, domestic only), regulated workloads (20%, higher regulatory compatibility weight), and commercial workloads (70%, geopolitical alignment only). Under the calibrated parameters, tiering leaves regime type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frameworks, favoring EU member states and APEC CBPR participants over geographically closer but less regulated alternatives.</w:t>
      </w:r>
      <w:r>
        <w:rPr>
          <w:rStyle w:val="FootnoteReference"/>
        </w:rPr>
        <w:footnoteReference w:id="17"/>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0.35). Under the bilateral sovereignty premium, most training demand is served domestically, and the smaller export market is served by 1 exporter (HHI = 1.00) at $1.58/hr.</w:t>
      </w:r>
    </w:p>
    <w:p>
      <w:pPr>
        <w:spacing w:before="0" w:after="160"/>
        <w:ind w:firstLine="0"/>
        <w:jc w:val="both"/>
      </w:pP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4.7%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4" w:name="ACR2012txt"/>
      <w:hyperlink w:anchor="ACR2012" w:history="1">
        <w:r>
          <w:rPr>
            <w:color w:val="1F3864"/>
            <w:u w:val="single"/>
          </w:rPr>
          <w:t xml:space="preserve">Arkolakis et al. 2012</w:t>
        </w:r>
      </w:hyperlink>
      <w:bookmarkEnd w:id="244"/>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($1.69/hr). For Germany, inference is sourced from Norway ($1.66/hr), for the United Kingdom from Finland ($1.67/hr), and for France from Finland ($1.67/hr). For China, the cheapest source of inference is Finland ($1.92/hr), a neighboring country with hydropower-based electricity. These patterns illustrate the model’s core prediction that inference organizes around latency-bounded regional hubs, and each major market has a distinct optimal supplier determined by geography. With the bilateral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a hyperscale data center can be large relative to the host grid. Kyrgyzstan’s 3,800 MW grid (Appendix D) would face significant strain from a single 100 MW facility consuming roughly 3% of national electricity output. At the multi-facility scale implied by the model’s export predictions, data centers would become the dominant industrial load competing with residential heating in winter when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efficiency adjustment: the same institutional weaknesses that lower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spacing w:before="0" w:after="160"/>
        <w:ind w:firstLine="0"/>
        <w:jc w:val="both"/>
      </w:pPr>
      <w:r>
        <w:rPr>
          <w:rFonts w:ascii="Times New Roman" w:hAnsi="Times New Roman"/>
          <w:b w:val="0"/>
          <w:i/>
          <w:sz w:val="24"/>
        </w:rPr>
        <w:t xml:space="preserve">Uniform sovereignty premium. </w:t>
      </w:r>
      <w:r>
        <w:t xml:space="preserve">As a robustness check, column (6) of </w:t>
      </w:r>
      <w:hyperlink w:anchor="Table3b" w:history="1">
        <w:r>
          <w:rPr>
            <w:color w:val="1F3864"/>
            <w:u w:val="single"/>
          </w:rPr>
          <w:t xml:space="preserve">Table 3b</w:t>
        </w:r>
      </w:hyperlink>
      <w:r>
        <w:t xml:space="preserve"> reports results under a uniform sovereignty premium </w:t>
      </w:r>
      <m:oMath>
        <m:r>
          <m:rPr>
            <m:sty m:val="i"/>
          </m:rPr>
          <w:rPr>
            <w:rFonts w:ascii="Cambria Math" w:hAnsi="Cambria Math"/>
          </w:rPr>
          <m:t xml:space="preserve">λ</m:t>
        </m:r>
        <m:r>
          <m:rPr>
            <m:sty m:val="p"/>
          </m:rPr>
          <w:rPr>
            <w:rFonts w:ascii="Cambria Math" w:hAnsi="Cambria Math"/>
          </w:rPr>
          <m:t xml:space="preserve"> = 10%</m:t>
        </m:r>
      </m:oMath>
      <w:r>
        <w:t>, the specification used in earlier versions of the model. The uniform premium produces broadly similar regime assignments: most countries produce domestically under either specification. The main difference is that the bilateral premium excludes sanctioned countries from serving any demand center, while the uniform premium treats all country pairs identically. The bilateral specification is preferred because it captures the observed heterogeneity in sovereignty preferences across country pairs.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4.7%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45" w:name="vanderPloeg2011txt"/>
      <w:hyperlink w:anchor="vanderPloeg2011" w:history="1">
        <w:r>
          <w:rPr>
            <w:color w:val="1F3864"/>
            <w:u w:val="single"/>
          </w:rPr>
          <w:t xml:space="preserve">van der Ploeg 2011</w:t>
        </w:r>
      </w:hyperlink>
      <w:bookmarkEnd w:id="245"/>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2"/>
    </w:p>
    <w:p>
      <w:pPr>
        <w:spacing w:before="0" w:after="80" w:line="240" w:lineRule="exact"/>
        <w:ind w:hanging="720" w:left="720"/>
        <w:jc w:val="both"/>
      </w:pPr>
      <w:bookmarkStart w:id="523" w:name="IEA2025"/>
      <w:hyperlink w:anchor="IEA2025txt" w:history="1">
        <w:r>
          <w:rPr>
            <w:color w:val="1F3864"/>
            <w:u w:val="single"/>
          </w:rPr>
          <w:t xml:space="preserve">IEA. (2025). </w:t>
        </w:r>
      </w:hyperlink>
      <w:r>
        <w:t>“Energy Demand from AI.” Published online at iea.org.</w:t>
      </w:r>
      <w:bookmarkEnd w:id="523"/>
    </w:p>
    <w:p>
      <w:pPr>
        <w:spacing w:before="0" w:after="80" w:line="240" w:lineRule="exact"/>
        <w:ind w:hanging="720" w:left="720"/>
        <w:jc w:val="both"/>
      </w:pPr>
      <w:bookmarkStart w:id="524"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4"/>
    </w:p>
    <w:p>
      <w:pPr>
        <w:spacing w:before="0" w:after="80" w:line="240" w:lineRule="exact"/>
        <w:ind w:hanging="720" w:left="720"/>
        <w:jc w:val="both"/>
      </w:pPr>
      <w:bookmarkStart w:id="52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5"/>
    </w:p>
    <w:p>
      <w:pPr>
        <w:spacing w:before="0" w:after="80" w:line="240" w:lineRule="exact"/>
        <w:ind w:hanging="720" w:left="720"/>
        <w:jc w:val="both"/>
      </w:pPr>
      <w:bookmarkStart w:id="52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6"/>
    </w:p>
    <w:p>
      <w:pPr>
        <w:spacing w:before="0" w:after="80" w:line="240" w:lineRule="exact"/>
        <w:ind w:hanging="720" w:left="720"/>
        <w:jc w:val="both"/>
      </w:pPr>
      <w:bookmarkStart w:id="52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7"/>
    </w:p>
    <w:p>
      <w:pPr>
        <w:spacing w:before="0" w:after="80" w:line="240" w:lineRule="exact"/>
        <w:ind w:hanging="720" w:left="720"/>
        <w:jc w:val="both"/>
      </w:pPr>
      <w:bookmarkStart w:id="52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8"/>
    </w:p>
    <w:p>
      <w:pPr>
        <w:spacing w:before="0" w:after="80" w:line="240" w:lineRule="exact"/>
        <w:ind w:hanging="720" w:left="720"/>
        <w:jc w:val="both"/>
      </w:pPr>
      <w:bookmarkStart w:id="52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9"/>
    </w:p>
    <w:p>
      <w:pPr>
        <w:spacing w:before="0" w:after="80" w:line="240" w:lineRule="exact"/>
        <w:ind w:hanging="720" w:left="720"/>
        <w:jc w:val="both"/>
      </w:pPr>
      <w:bookmarkStart w:id="53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0"/>
    </w:p>
    <w:p>
      <w:pPr>
        <w:spacing w:before="0" w:after="80" w:line="240" w:lineRule="exact"/>
        <w:ind w:hanging="720" w:left="720"/>
        <w:jc w:val="both"/>
      </w:pPr>
      <w:bookmarkStart w:id="531" w:name="NVIDIA2024"/>
      <w:r>
        <w:rPr>
          <w:color w:val="1F3864"/>
          <w:u w:val="single"/>
        </w:rPr>
        <w:t xml:space="preserve">NVIDIA. </w:t>
      </w:r>
      <w:r>
        <w:t xml:space="preserve">(2024). </w:t>
      </w:r>
      <w:r>
        <w:rPr>
          <w:i/>
        </w:rPr>
        <w:t>NVIDIA H100 Tensor Core GPU Datasheet</w:t>
      </w:r>
      <w:r>
        <w:t>. nvidia.com.</w:t>
      </w:r>
      <w:bookmarkEnd w:id="531"/>
    </w:p>
    <w:p>
      <w:pPr>
        <w:spacing w:before="0" w:after="80" w:line="240" w:lineRule="exact"/>
        <w:ind w:hanging="720" w:left="720"/>
        <w:jc w:val="both"/>
      </w:pPr>
      <w:bookmarkStart w:id="53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r>
        <w:rPr>
          <w:color w:val="1F3864"/>
          <w:u w:val="single"/>
        </w:rPr>
        <w:t xml:space="preserve">U.S. Department of Justice and Federal Trade Commission. </w:t>
      </w:r>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27563"/>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27563"/>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combines governance quality and grid reliability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45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b/>
                <w:sz w:val="16"/>
              </w:rPr>
              <w:t>52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b/>
                <w:sz w:val="16"/>
              </w:rPr>
              <w:t>65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sz w:val="16"/>
              </w:rPr>
              <w:t>74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b/>
                <w:sz w:val="16"/>
              </w:rPr>
              <w:t>74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b/>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tcBorders>
            <w:tcW w:w="2400" w:type="dxa"/>
          </w:tcPr>
          <w:p>
            <w:pPr>
              <w:jc w:val="center"/>
              <w:spacing w:before="10" w:after="10"/>
            </w:pPr>
            <w:r/>
            <w:r>
              <w:rPr>
                <w:rFonts w:ascii="Times New Roman" w:hAnsi="Times New Roman"/>
                <w:sz w:val="16"/>
              </w:rPr>
            </w:r>
          </w:p>
        </w:tc>
        <w:tc>
          <w:tcPr>
            <w:tcBorders>
              <w:top w:val="single" w:sz="4" w:space="0" w:color="auto"/>
            </w:tcBorders>
            <w:tcW w:w="1300" w:type="dxa"/>
          </w:tcPr>
          <w:p>
            <w:pPr>
              <w:jc w:val="center"/>
              <w:spacing w:before="10" w:after="10"/>
            </w:pPr>
            <w:r/>
            <w:r>
              <w:rPr>
                <w:rFonts w:ascii="Times New Roman" w:hAnsi="Times New Roman"/>
                <w:sz w:val="16"/>
              </w:rPr>
            </w:r>
          </w:p>
        </w:tc>
        <w:tc>
          <w:tcPr>
            <w:tcBorders>
              <w:top w:val="single" w:sz="4" w:space="0" w:color="auto"/>
            </w:tcBorders>
            <w:tcW w:w="1000" w:type="dxa"/>
          </w:tcPr>
          <w:p>
            <w:pPr>
              <w:jc w:val="center"/>
              <w:spacing w:before="10" w:after="10"/>
            </w:pPr>
            <w:r/>
            <w:r>
              <w:rPr>
                <w:rFonts w:ascii="Times New Roman" w:hAnsi="Times New Roman"/>
                <w:b/>
                <w:sz w:val="16"/>
              </w:rPr>
              <w:t>(4)/(5) Bilateral</w:t>
            </w:r>
          </w:p>
        </w:tc>
        <w:tc>
          <w:tcPr>
            <w:tcBorders>
              <w:top w:val="single" w:sz="4" w:space="0" w:color="auto"/>
            </w:tcBorders>
            <w:tcW w:w="10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1100" w:type="dxa"/>
          </w:tcPr>
          <w:p>
            <w:pPr>
              <w:jc w:val="center"/>
              <w:spacing w:before="10" w:after="10"/>
            </w:pPr>
            <w:r/>
            <w:r>
              <w:rPr>
                <w:rFonts w:ascii="Times New Roman" w:hAnsi="Times New Roman"/>
                <w:sz w:val="16"/>
              </w:rPr>
            </w:r>
          </w:p>
        </w:tc>
      </w:tr>
      <w:tr>
        <w:tc>
          <w:tcPr>
            <w:tcBorders>
              <w:bottom w:val="single" w:sz="4" w:space="0" w:color="auto"/>
            </w:tcBorders>
            <w:tcW w:w="2400" w:type="dxa"/>
          </w:tcPr>
          <w:p>
            <w:pPr>
              <w:jc w:val="left"/>
              <w:spacing w:before="10" w:after="10"/>
            </w:pPr>
            <w:r/>
            <w:r>
              <w:rPr>
                <w:rFonts w:ascii="Times New Roman" w:hAnsi="Times New Roman"/>
                <w:b/>
                <w:sz w:val="16"/>
              </w:rPr>
              <w:t>Country</w:t>
            </w:r>
          </w:p>
        </w:tc>
        <w:tc>
          <w:tcPr>
            <w:tcBorders>
              <w:bottom w:val="single" w:sz="4" w:space="0" w:color="auto"/>
            </w:tcBorders>
            <w:tcW w:w="1300" w:type="dxa"/>
          </w:tcPr>
          <w:p>
            <w:pPr>
              <w:jc w:val="center"/>
              <w:spacing w:before="10" w:after="10"/>
            </w:pPr>
            <w:r/>
            <w:r>
              <w:rPr>
                <w:rFonts w:ascii="Times New Roman" w:hAnsi="Times New Roman"/>
                <w:b/>
                <w:sz w:val="16"/>
              </w:rPr>
              <w:t>cⱼ/ξⱼᵉᶠᶠ</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−6.6%</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−5.0%</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−2.5%</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−0.9%</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−0.8%</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$1.73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w:t>
            </w:r>
          </w:p>
        </w:tc>
        <w:tc>
          <w:tcPr>
            <w:tcW w:w="1100" w:type="dxa"/>
          </w:tcPr>
          <w:p>
            <w:pPr>
              <w:jc w:val="center"/>
              <w:spacing w:before="10" w:after="10"/>
            </w:pPr>
            <w:r/>
            <w:r>
              <w:rPr>
                <w:rFonts w:ascii="Times New Roman" w:hAnsi="Times New Roman"/>
                <w:sz w:val="16"/>
              </w:rPr>
              <w:t>8.4%</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41</w:t>
            </w:r>
          </w:p>
        </w:tc>
        <w:tc>
          <w:tcPr>
            <w:tcW w:w="1100" w:type="dxa"/>
          </w:tcPr>
          <w:p>
            <w:pPr>
              <w:jc w:val="center"/>
              <w:spacing w:before="10" w:after="10"/>
            </w:pPr>
            <w:r/>
            <w:r>
              <w:rPr>
                <w:rFonts w:ascii="Times New Roman" w:hAnsi="Times New Roman"/>
                <w:sz w:val="16"/>
              </w:rPr>
              <w:t>13.0%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45</w:t>
            </w:r>
          </w:p>
        </w:tc>
        <w:tc>
          <w:tcPr>
            <w:tcW w:w="1100" w:type="dxa"/>
          </w:tcPr>
          <w:p>
            <w:pPr>
              <w:jc w:val="center"/>
              <w:spacing w:before="10" w:after="10"/>
            </w:pPr>
            <w:r/>
            <w:r>
              <w:rPr>
                <w:rFonts w:ascii="Times New Roman" w:hAnsi="Times New Roman"/>
                <w:sz w:val="16"/>
              </w:rPr>
              <w:t>20.3%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$2.05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52</w:t>
            </w:r>
          </w:p>
        </w:tc>
        <w:tc>
          <w:tcPr>
            <w:tcW w:w="1100" w:type="dxa"/>
          </w:tcPr>
          <w:p>
            <w:pPr>
              <w:jc w:val="center"/>
              <w:spacing w:before="10" w:after="10"/>
            </w:pPr>
            <w:r/>
            <w:r>
              <w:rPr>
                <w:rFonts w:ascii="Times New Roman" w:hAnsi="Times New Roman"/>
                <w:sz w:val="16"/>
              </w:rPr>
              <w:t>29.0%</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$2.18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36.9%</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$2.23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40.1%</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$2.27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65</w:t>
            </w:r>
          </w:p>
        </w:tc>
        <w:tc>
          <w:tcPr>
            <w:tcW w:w="1100" w:type="dxa"/>
          </w:tcPr>
          <w:p>
            <w:pPr>
              <w:jc w:val="center"/>
              <w:spacing w:before="10" w:after="10"/>
            </w:pPr>
            <w:r/>
            <w:r>
              <w:rPr>
                <w:rFonts w:ascii="Times New Roman" w:hAnsi="Times New Roman"/>
                <w:sz w:val="16"/>
              </w:rPr>
              <w:t>42.5%</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55.8%</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$2.50</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74</w:t>
            </w:r>
          </w:p>
        </w:tc>
        <w:tc>
          <w:tcPr>
            <w:tcW w:w="1100" w:type="dxa"/>
          </w:tcPr>
          <w:p>
            <w:pPr>
              <w:jc w:val="center"/>
              <w:spacing w:before="10" w:after="10"/>
            </w:pPr>
            <w:r/>
            <w:r>
              <w:rPr>
                <w:rFonts w:ascii="Times New Roman" w:hAnsi="Times New Roman"/>
                <w:sz w:val="16"/>
              </w:rPr>
              <w:t>56.8%</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75</w:t>
            </w:r>
          </w:p>
        </w:tc>
        <w:tc>
          <w:tcPr>
            <w:tcW w:w="1100" w:type="dxa"/>
          </w:tcPr>
          <w:p>
            <w:pPr>
              <w:jc w:val="center"/>
              <w:spacing w:before="10" w:after="10"/>
            </w:pPr>
            <w:r/>
            <w:r>
              <w:rPr>
                <w:rFonts w:ascii="Times New Roman" w:hAnsi="Times New Roman"/>
                <w:sz w:val="16"/>
              </w:rPr>
              <w:t>57.7%</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$2.84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78.4%</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$2.89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81.2%</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$3.07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92.9%</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$3.10</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84</w:t>
            </w:r>
          </w:p>
        </w:tc>
        <w:tc>
          <w:tcPr>
            <w:tcBorders>
              <w:bottom w:val="double" w:sz="4" w:space="0" w:color="auto"/>
            </w:tcBorders>
            <w:tcW w:w="1100" w:type="dxa"/>
          </w:tcPr>
          <w:p>
            <w:pPr>
              <w:jc w:val="center"/>
              <w:spacing w:before="10" w:after="10"/>
            </w:pPr>
            <w:r/>
            <w:r>
              <w:rPr>
                <w:rFonts w:ascii="Times New Roman" w:hAnsi="Times New Roman"/>
                <w:sz w:val="16"/>
              </w:rPr>
              <w:t>94.8%</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0.98</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0.75</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0.71</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0.67</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0.74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0.47</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0.98</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0.90</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combining governance quality and grid reliability (geometric mean;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-82</w:t>
            </w:r>
          </w:p>
        </w:tc>
      </w:tr>
      <w:tr>
        <w:tc>
          <w:tcPr>
            <w:tcBorders>
              <w:bottom w:val="double" w:sz="4" w:space="0" w:color="auto"/>
            </w:tcBorders>
            <w:tcW w:w="1800" w:type="dxa"/>
          </w:tcPr>
          <w:p>
            <w:pPr>
              <w:jc w:val="left"/>
              <w:spacing w:before="5" w:after="5"/>
            </w:pPr>
            <w:r/>
            <w:r>
              <w:rPr>
                <w:rFonts w:ascii="Times New Roman" w:hAnsi="Times New Roman"/>
                <w:sz w:val="14"/>
              </w:rPr>
              <w:t>Nigeria</w:t>
            </w:r>
          </w:p>
        </w:tc>
        <w:tc>
          <w:tcPr>
            <w:tcBorders>
              <w:bottom w:val="double" w:sz="4" w:space="0" w:color="auto"/>
            </w:tcBorders>
            <w:tcW w:w="900" w:type="dxa"/>
          </w:tcPr>
          <w:p>
            <w:pPr>
              <w:jc w:val="center"/>
              <w:spacing w:before="5" w:after="5"/>
            </w:pPr>
            <w:r/>
            <w:r>
              <w:rPr>
                <w:rFonts w:ascii="Times New Roman" w:hAnsi="Times New Roman"/>
                <w:sz w:val="14"/>
              </w:rPr>
              <w:t>$1.45</w:t>
            </w:r>
          </w:p>
        </w:tc>
        <w:tc>
          <w:tcPr>
            <w:tcBorders>
              <w:bottom w:val="double" w:sz="4" w:space="0" w:color="auto"/>
            </w:tcBorders>
            <w:tcW w:w="540" w:type="dxa"/>
          </w:tcPr>
          <w:p>
            <w:pPr>
              <w:jc w:val="center"/>
              <w:spacing w:before="5" w:after="5"/>
            </w:pPr>
            <w:r/>
            <w:r>
              <w:rPr>
                <w:rFonts w:ascii="Times New Roman" w:hAnsi="Times New Roman"/>
                <w:sz w:val="14"/>
              </w:rPr>
              <w:t>13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$1.49</w:t>
            </w:r>
          </w:p>
        </w:tc>
        <w:tc>
          <w:tcPr>
            <w:tcBorders>
              <w:bottom w:val="double" w:sz="4" w:space="0" w:color="auto"/>
            </w:tcBorders>
            <w:tcW w:w="540" w:type="dxa"/>
          </w:tcPr>
          <w:p>
            <w:pPr>
              <w:jc w:val="center"/>
              <w:spacing w:before="5" w:after="5"/>
            </w:pPr>
            <w:r/>
            <w:r>
              <w:rPr>
                <w:rFonts w:ascii="Times New Roman" w:hAnsi="Times New Roman"/>
                <w:sz w:val="14"/>
              </w:rPr>
              <w:t>31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-72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18">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