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15:47</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six developing countries rank among the fifteen cheapest producers after governance adjustment, but bilateral trust deficits eliminate all developing-country exports. When a hyperscaler intermediates the transaction, the buyer’s trust attaches to the operator rather than the host country: ten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7" w:name="EpochAI2024txt"/>
      <w:hyperlink w:anchor="EpochAI2024" w:history="1">
        <w:r>
          <w:rPr>
            <w:color w:val="1F3864"/>
            <w:u w:val="single"/>
          </w:rPr>
          <w:t xml:space="preserve">Epoch AI 2024</w:t>
        </w:r>
      </w:hyperlink>
      <w:bookmarkEnd w:id="237"/>
      <w:r>
        <w:t xml:space="preserve">). Data centers accounted for approximately 1.5% of global electricity demand in 2024, and that share is projected to more than double by 2030 (</w:t>
      </w:r>
      <w:bookmarkStart w:id="250" w:name="IEA2025txt"/>
      <w:hyperlink w:anchor="IEA2025" w:history="1">
        <w:r>
          <w:rPr>
            <w:color w:val="1F3864"/>
            <w:u w:val="single"/>
          </w:rPr>
          <w:t xml:space="preserve">IEA 2025</w:t>
        </w:r>
      </w:hyperlink>
      <w:bookmarkEnd w:id="250"/>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of the cheapest producers drop sharply, while countries combining cheap energy with adequate institutions remain in the top 15. Under the bilateral sovereignty specification, however, trust deficits eliminate all developing-country exports. When a hyperscaler operates the facility, the buyer’s trust attaches to the operator rather than the host country, and five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4" w:name="Stojkoski2024txt"/>
      <w:hyperlink w:anchor="Stojkoski2024" w:history="1">
        <w:r>
          <w:rPr>
            <w:color w:val="1F3864"/>
            <w:u w:val="single"/>
          </w:rPr>
          <w:t xml:space="preserve">Stojkoski et al. (2024)</w:t>
        </w:r>
      </w:hyperlink>
      <w:bookmarkEnd w:id="254"/>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0" w:name="WorldBank2024txt"/>
      <w:hyperlink w:anchor="WorldBank2024" w:history="1">
        <w:r>
          <w:rPr>
            <w:color w:val="1F3864"/>
            <w:u w:val="single"/>
          </w:rPr>
          <w:t xml:space="preserve">World Bank 2024</w:t>
        </w:r>
      </w:hyperlink>
      <w:bookmarkEnd w:id="210"/>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1" w:name="WBES2025txt"/>
      <w:hyperlink w:anchor="WBES2025" w:history="1">
        <w:r>
          <w:rPr>
            <w:color w:val="1F3864"/>
            <w:u w:val="single"/>
          </w:rPr>
          <w:t xml:space="preserve">World Bank Enterprise Surveys 2025</w:t>
        </w:r>
      </w:hyperlink>
      <w:bookmarkEnd w:id="211"/>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w:t>
      </w:r>
    </w:p>
    <w:p>
      <w:pPr>
        <w:spacing w:before="0" w:after="160"/>
        <w:ind w:firstLine="0"/>
        <w:jc w:val="both"/>
      </w:pPr>
      <w:r>
        <w:t xml:space="preserve">The efficiency adjustment applies only to the non-hardware cost component: since hardware is priced on global markets, governance penalties operate on local costs rather than on the full unit cost.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2" w:name="Krugman1991txt"/>
      <w:hyperlink w:anchor="Krugman1991" w:history="1">
        <w:r>
          <w:rPr>
            <w:color w:val="1F3864"/>
            <w:u w:val="single"/>
          </w:rPr>
          <w:t xml:space="preserve">Krugman 1991</w:t>
        </w:r>
      </w:hyperlink>
      <w:bookmarkEnd w:id="212"/>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3" w:name="Eurostat2025txt"/>
      <w:hyperlink w:anchor="Eurostat2025" w:history="1">
        <w:r>
          <w:rPr>
            <w:color w:val="1F3864"/>
            <w:u w:val="single"/>
          </w:rPr>
          <w:t xml:space="preserve">Eurostat 2025</w:t>
        </w:r>
      </w:hyperlink>
      <w:bookmarkEnd w:id="213"/>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0" w:name="Eq4txt900"/>
      <w:hyperlink w:anchor="Eq4" w:history="1">
        <w:r>
          <w:rPr>
            <w:color w:val="1F3864"/>
            <w:u w:val="single"/>
          </w:rPr>
          <w:t xml:space="preserve">equation (4)</w:t>
        </w:r>
      </w:hyperlink>
      <w:bookmarkEnd w:id="900"/>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1" w:name="Eq2txt901"/>
      <w:hyperlink w:anchor="Eq2" w:history="1">
        <w:r>
          <w:rPr>
            <w:color w:val="1F3864"/>
            <w:u w:val="single"/>
          </w:rPr>
          <w:t xml:space="preserve">eq. (2)</w:t>
        </w:r>
      </w:hyperlink>
      <w:bookmarkEnd w:id="901"/>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2" w:name="Eq3txt902"/>
      <w:hyperlink w:anchor="Eq3" w:history="1">
        <w:r>
          <w:rPr>
            <w:color w:val="1F3864"/>
            <w:u w:val="single"/>
          </w:rPr>
          <w:t xml:space="preserve">eq. (3)</w:t>
        </w:r>
      </w:hyperlink>
      <w:bookmarkEnd w:id="902"/>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6" w:name="Frick2019txt"/>
      <w:hyperlink w:anchor="Frick2019" w:history="1">
        <w:r>
          <w:rPr>
            <w:color w:val="1F3864"/>
            <w:u w:val="single"/>
          </w:rPr>
          <w:t xml:space="preserve">Frick, Rodríguez-Pose, and Wong 2019</w:t>
        </w:r>
      </w:hyperlink>
      <w:bookmarkEnd w:id="226"/>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0.29, Uzbekistan: 0.40, Ethiopia: 0.38).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33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Sweden, and Iceland. </w:t>
      </w:r>
      <w:r>
        <w:t xml:space="preserve">All top-fifteen producers are OECD member states; China, the highest-ranked developing country, appears at rank 19. The Δ column shows the rank change from raw tariffs to the preferred specification (column 1 to column 4): Turkmenistan drops 83 places, Tajikistan drops 71, while Denmark and Iceland rise 54 places. Countries that combine cheap energy with strong institutions retain their cost advantage after governance adjustment, while those with very weak governance (Turkmenistan, Tajikistan, Russia) lose ground. Because hardware dominates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four have less than 100 MW of installed data center capacity: Iceland (rank 5, 60 MW), Luxembourg (rank 10, 70 MW), Estonia (rank 17, 50 MW), Latvia (rank 20, 80 MW). Meanwhile, several countries outside the top twenty host large data center clusters: the Netherlands (rank 13, 1,800 MW), Ireland (rank 36, 1,260 MW), and Singapore (rank 31,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−1.4%</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−9.4%</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−8.5%</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exports are more dispersed, with the top five exporters being Canada (45%), Finland (7%), Norway (7%), Singapore (4%), and the United Arab Emirates (0.3%), collectively accounting for 63% of cross-border inference demand (HHI = 0.21).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foreign source of inference is Japan.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15 countries become exporters, 10 of them developing economies: Argentina, Brazil, Georgia, Indonesia, Kosovo, Kyrgyzstan, Montenegro, Tajikistan, Ukraine, and Vietnam. The developing-country export opportunity identified in the cost rankings (column 3) is not eliminated by sovereignty — it is blocked by the absence of a trust intermediary and restored when one is present.</w:t>
      </w:r>
      <w:r>
        <w:t xml:space="preserve"> Within the top 25 countries shown in Table 3b, Argentina, Georgia, Kosovo, Kyrgyzstan, Montenegro, Vietnam are the visible developing-country exporters; the remaining developing-country exporters (Indonesia (rank 55), Brazil (rank 59), Ukraine (rank 74), and Tajikistan (rank 83)) appear at lower efficiency-adjusted ranks where their FDI-intermediated costs fall below the import threshold.</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1.9%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five robustness specifications, varying the governance weight,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t>
      </w:r>
      <w:hyperlink w:anchor="TableA3" w:history="1">
        <w:r>
          <w:rPr>
            <w:color w:val="1F3864"/>
            <w:u w:val="single"/>
          </w:rPr>
          <w:t xml:space="preserve">Table A3</w:t>
        </w:r>
      </w:hyperlink>
      <w:r>
        <w:t xml:space="preserve"> reports sensitivity along two dimensions. First, varying </w:t>
      </w:r>
      <m:oMath>
        <m:r>
          <m:rPr>
            <m:sty m:val="i"/>
          </m:rPr>
          <w:rPr>
            <w:rFonts w:ascii="Cambria Math" w:hAnsi="Cambria Math"/>
          </w:rPr>
          <m:t xml:space="preserve">ω</m:t>
        </m:r>
      </m:oMath>
      <w:r>
        <w:t xml:space="preserve"> from 0.50 to 0.85 leaves the top five exporters largely unchanged. Second,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1.9% of compute spending. The resolution lies in the hyperscaler FDI channel: when a trusted cloud provider operates the facility, the buyer’s sovereignty concern attaches to the operator, not the host country. Under this specification, ten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1" w:name="vanderPloeg2011txt"/>
      <w:hyperlink w:anchor="vanderPloeg2011" w:history="1">
        <w:r>
          <w:rPr>
            <w:color w:val="1F3864"/>
            <w:u w:val="single"/>
          </w:rPr>
          <w:t xml:space="preserve">van der Ploeg 2011</w:t>
        </w:r>
      </w:hyperlink>
      <w:bookmarkEnd w:id="231"/>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2" w:name="WorldBank2024txt"/>
      <w:hyperlink w:anchor="WorldBank2024" w:history="1">
        <w:r>
          <w:rPr>
            <w:color w:val="1F3864"/>
            <w:u w:val="single"/>
          </w:rPr>
          <w:t xml:space="preserve">World Bank</w:t>
        </w:r>
      </w:hyperlink>
      <w:bookmarkEnd w:id="232"/>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6" w:name="WorldBank2024txt"/>
      <w:hyperlink w:anchor="WorldBank2024" w:history="1">
        <w:r>
          <w:rPr>
            <w:color w:val="1F3864"/>
            <w:u w:val="single"/>
          </w:rPr>
          <w:t xml:space="preserve">World Bank</w:t>
        </w:r>
      </w:hyperlink>
      <w:bookmarkEnd w:id="236"/>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through cost-recovery pricing to efficiency-adjusted costs. Step 2 applies bilateral sovereignty premiums, with a uniform premium (λ = 0.10) as robustness check. Step 3 replaces host-country trust with hyperscaler-intermediated FDI.</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+39</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Luxembourg</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58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57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+48</w:t>
            </w:r>
          </w:p>
        </w:tc>
      </w:tr>
      <w:tr>
        <w:tc>
          <w:tcPr>
            <w:tcW w:w="1800" w:type="dxa"/>
          </w:tcPr>
          <w:p>
            <w:pPr>
              <w:jc w:val="left"/>
              <w:spacing w:before="10" w:after="10"/>
            </w:pPr>
            <w:r/>
            <w:r>
              <w:rPr>
                <w:rFonts w:ascii="Times New Roman" w:hAnsi="Times New Roman"/>
                <w:sz w:val="16"/>
              </w:rPr>
              <w:t>Denmark</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450" w:type="dxa"/>
          </w:tcPr>
          <w:p>
            <w:pPr>
              <w:jc w:val="center"/>
              <w:spacing w:before="10" w:after="10"/>
            </w:pPr>
            <w:r/>
            <w:r>
              <w:rPr>
                <w:rFonts w:ascii="Times New Roman" w:hAnsi="Times New Roman"/>
                <w:sz w:val="16"/>
              </w:rPr>
              <w:t>0.87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Estonia</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+45</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-9</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450" w:type="dxa"/>
          </w:tcPr>
          <w:p>
            <w:pPr>
              <w:jc w:val="center"/>
              <w:spacing w:before="10" w:after="10"/>
            </w:pPr>
            <w:r/>
            <w:r>
              <w:rPr>
                <w:rFonts w:ascii="Times New Roman" w:hAnsi="Times New Roman"/>
                <w:sz w:val="16"/>
              </w:rPr>
              <w:t>0.86</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Israel</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450" w:type="dxa"/>
          </w:tcPr>
          <w:p>
            <w:pPr>
              <w:jc w:val="center"/>
              <w:spacing w:before="10" w:after="10"/>
            </w:pPr>
            <w:r/>
            <w:r>
              <w:rPr>
                <w:rFonts w:ascii="Times New Roman" w:hAnsi="Times New Roman"/>
                <w:sz w:val="16"/>
              </w:rPr>
              <w:t>0.87</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Austria</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450" w:type="dxa"/>
          </w:tcPr>
          <w:p>
            <w:pPr>
              <w:jc w:val="center"/>
              <w:spacing w:before="10" w:after="10"/>
            </w:pPr>
            <w:r/>
            <w:r>
              <w:rPr>
                <w:rFonts w:ascii="Times New Roman" w:hAnsi="Times New Roman"/>
                <w:sz w:val="16"/>
              </w:rPr>
              <w:t>0.86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Borders>
              <w:bottom w:val="double" w:sz="4" w:space="0" w:color="auto"/>
            </w:tcBorders>
            <w:tcW w:w="1800" w:type="dxa"/>
          </w:tcPr>
          <w:p>
            <w:pPr>
              <w:jc w:val="left"/>
              <w:spacing w:before="10" w:after="10"/>
            </w:pPr>
            <w:r/>
            <w:r>
              <w:rPr>
                <w:rFonts w:ascii="Times New Roman" w:hAnsi="Times New Roman"/>
                <w:sz w:val="16"/>
              </w:rPr>
              <w:t>Malta</w:t>
            </w:r>
          </w:p>
        </w:tc>
        <w:tc>
          <w:tcPr>
            <w:tcBorders>
              <w:bottom w:val="double" w:sz="4" w:space="0" w:color="auto"/>
            </w:tcBorders>
            <w:tcW w:w="900" w:type="dxa"/>
          </w:tcPr>
          <w:p>
            <w:pPr>
              <w:jc w:val="center"/>
              <w:spacing w:before="10" w:after="10"/>
            </w:pPr>
            <w:r/>
            <w:r>
              <w:rPr>
                <w:rFonts w:ascii="Times New Roman" w:hAnsi="Times New Roman"/>
                <w:sz w:val="16"/>
              </w:rPr>
              <w:t>$1.68</w:t>
            </w:r>
          </w:p>
        </w:tc>
        <w:tc>
          <w:tcPr>
            <w:tcBorders>
              <w:bottom w:val="double" w:sz="4" w:space="0" w:color="auto"/>
            </w:tcBorders>
            <w:tcW w:w="540" w:type="dxa"/>
          </w:tcPr>
          <w:p>
            <w:pPr>
              <w:jc w:val="center"/>
              <w:spacing w:before="10" w:after="10"/>
            </w:pPr>
            <w:r/>
            <w:r>
              <w:rPr>
                <w:rFonts w:ascii="Times New Roman" w:hAnsi="Times New Roman"/>
                <w:sz w:val="16"/>
              </w:rPr>
              <w:t>47</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$1.68</w:t>
            </w:r>
          </w:p>
        </w:tc>
        <w:tc>
          <w:tcPr>
            <w:tcBorders>
              <w:bottom w:val="double" w:sz="4" w:space="0" w:color="auto"/>
            </w:tcBorders>
            <w:tcW w:w="540" w:type="dxa"/>
          </w:tcPr>
          <w:p>
            <w:pPr>
              <w:jc w:val="center"/>
              <w:spacing w:before="10" w:after="10"/>
            </w:pPr>
            <w:r/>
            <w:r>
              <w:rPr>
                <w:rFonts w:ascii="Times New Roman" w:hAnsi="Times New Roman"/>
                <w:sz w:val="16"/>
              </w:rPr>
              <w:t>45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$1.73</w:t>
            </w:r>
          </w:p>
        </w:tc>
        <w:tc>
          <w:tcPr>
            <w:tcBorders>
              <w:bottom w:val="double" w:sz="4" w:space="0" w:color="auto"/>
            </w:tcBorders>
            <w:tcW w:w="450" w:type="dxa"/>
          </w:tcPr>
          <w:p>
            <w:pPr>
              <w:jc w:val="center"/>
              <w:spacing w:before="10" w:after="10"/>
            </w:pPr>
            <w:r/>
            <w:r>
              <w:rPr>
                <w:rFonts w:ascii="Times New Roman" w:hAnsi="Times New Roman"/>
                <w:sz w:val="16"/>
              </w:rPr>
              <w:t>0.85</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$1.73</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+22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1.4%</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2.5%</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$1.66</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3.7%</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$1.68</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4.4%</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$1.68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4.9%</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$1.68</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5.0%</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$1.69</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$1.69</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Luxembourg</w:t>
            </w:r>
          </w:p>
        </w:tc>
        <w:tc>
          <w:tcPr>
            <w:tcW w:w="1100" w:type="dxa"/>
          </w:tcPr>
          <w:p>
            <w:pPr>
              <w:jc w:val="center"/>
              <w:spacing w:before="10" w:after="10"/>
            </w:pPr>
            <w:r/>
            <w:r>
              <w:rPr>
                <w:rFonts w:ascii="Times New Roman" w:hAnsi="Times New Roman"/>
                <w:sz w:val="16"/>
              </w:rPr>
              <w:t>$1.70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Denmark</w:t>
            </w:r>
          </w:p>
        </w:tc>
        <w:tc>
          <w:tcPr>
            <w:tcW w:w="1100" w:type="dxa"/>
          </w:tcPr>
          <w:p>
            <w:pPr>
              <w:jc w:val="center"/>
              <w:spacing w:before="10" w:after="10"/>
            </w:pPr>
            <w:r/>
            <w:r>
              <w:rPr>
                <w:rFonts w:ascii="Times New Roman" w:hAnsi="Times New Roman"/>
                <w:sz w:val="16"/>
              </w:rPr>
              <w:t>$1.70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$1.70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Netherlands</w:t>
            </w:r>
          </w:p>
        </w:tc>
        <w:tc>
          <w:tcPr>
            <w:tcW w:w="1100" w:type="dxa"/>
          </w:tcPr>
          <w:p>
            <w:pPr>
              <w:jc w:val="center"/>
              <w:spacing w:before="10" w:after="10"/>
            </w:pPr>
            <w:r/>
            <w:r>
              <w:rPr>
                <w:rFonts w:ascii="Times New Roman" w:hAnsi="Times New Roman"/>
                <w:sz w:val="16"/>
              </w:rPr>
              <w:t>$1.70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$1.70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$1.72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7.0%</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$1.72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7.3%</w:t>
            </w:r>
          </w:p>
        </w:tc>
      </w:tr>
      <w:tr>
        <w:tc>
          <w:tcPr>
            <w:tcW w:w="2000" w:type="dxa"/>
          </w:tcPr>
          <w:p>
            <w:pPr>
              <w:jc w:val="left"/>
              <w:spacing w:before="10" w:after="10"/>
            </w:pPr>
            <w:r/>
            <w:r>
              <w:rPr>
                <w:rFonts w:ascii="Times New Roman" w:hAnsi="Times New Roman"/>
                <w:sz w:val="16"/>
              </w:rPr>
              <w:t>Estonia</w:t>
            </w:r>
          </w:p>
        </w:tc>
        <w:tc>
          <w:tcPr>
            <w:tcW w:w="1100" w:type="dxa"/>
          </w:tcPr>
          <w:p>
            <w:pPr>
              <w:jc w:val="center"/>
              <w:spacing w:before="10" w:after="10"/>
            </w:pPr>
            <w:r/>
            <w:r>
              <w:rPr>
                <w:rFonts w:ascii="Times New Roman" w:hAnsi="Times New Roman"/>
                <w:sz w:val="16"/>
              </w:rPr>
              <w:t>$1.72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South Korea</w:t>
            </w:r>
          </w:p>
        </w:tc>
        <w:tc>
          <w:tcPr>
            <w:tcW w:w="1100" w:type="dxa"/>
          </w:tcPr>
          <w:p>
            <w:pPr>
              <w:jc w:val="center"/>
              <w:spacing w:before="10" w:after="10"/>
            </w:pPr>
            <w:r/>
            <w:r>
              <w:rPr>
                <w:rFonts w:ascii="Times New Roman" w:hAnsi="Times New Roman"/>
                <w:sz w:val="16"/>
              </w:rPr>
              <w:t>$1.72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7.7%</w:t>
            </w:r>
          </w:p>
        </w:tc>
      </w:tr>
      <w:tr>
        <w:tc>
          <w:tcPr>
            <w:tcW w:w="2000" w:type="dxa"/>
          </w:tcPr>
          <w:p>
            <w:pPr>
              <w:jc w:val="left"/>
              <w:spacing w:before="10" w:after="10"/>
            </w:pPr>
            <w:r/>
            <w:r>
              <w:rPr>
                <w:rFonts w:ascii="Times New Roman" w:hAnsi="Times New Roman"/>
                <w:sz w:val="16"/>
              </w:rPr>
              <w:t>Israel</w:t>
            </w:r>
          </w:p>
        </w:tc>
        <w:tc>
          <w:tcPr>
            <w:tcW w:w="11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7.8%</w:t>
            </w:r>
          </w:p>
        </w:tc>
      </w:tr>
      <w:tr>
        <w:tc>
          <w:tcPr>
            <w:tcW w:w="2000" w:type="dxa"/>
          </w:tcPr>
          <w:p>
            <w:pPr>
              <w:jc w:val="left"/>
              <w:spacing w:before="10" w:after="10"/>
            </w:pPr>
            <w:r/>
            <w:r>
              <w:rPr>
                <w:rFonts w:ascii="Times New Roman" w:hAnsi="Times New Roman"/>
                <w:sz w:val="16"/>
              </w:rPr>
              <w:t>Austria</w:t>
            </w:r>
          </w:p>
        </w:tc>
        <w:tc>
          <w:tcPr>
            <w:tcW w:w="11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7.8%</w:t>
            </w:r>
          </w:p>
        </w:tc>
      </w:tr>
      <w:tr>
        <w:tc>
          <w:tcPr>
            <w:tcW w:w="2000" w:type="dxa"/>
          </w:tcPr>
          <w:p>
            <w:pPr>
              <w:jc w:val="left"/>
              <w:spacing w:before="10" w:after="10"/>
            </w:pPr>
            <w:r/>
            <w:r>
              <w:rPr>
                <w:rFonts w:ascii="Times New Roman" w:hAnsi="Times New Roman"/>
                <w:sz w:val="16"/>
              </w:rPr>
              <w:t>Germany</w:t>
            </w:r>
          </w:p>
        </w:tc>
        <w:tc>
          <w:tcPr>
            <w:tcW w:w="11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Spain</w:t>
            </w:r>
          </w:p>
        </w:tc>
        <w:tc>
          <w:tcPr>
            <w:tcW w:w="11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8.0%</w:t>
            </w:r>
          </w:p>
        </w:tc>
      </w:tr>
      <w:tr>
        <w:tc>
          <w:tcPr>
            <w:tcBorders>
              <w:bottom w:val="double" w:sz="4" w:space="0" w:color="auto"/>
            </w:tcBorders>
            <w:tcW w:w="2000" w:type="dxa"/>
          </w:tcPr>
          <w:p>
            <w:pPr>
              <w:jc w:val="left"/>
              <w:spacing w:before="10" w:after="10"/>
            </w:pPr>
            <w:r/>
            <w:r>
              <w:rPr>
                <w:rFonts w:ascii="Times New Roman" w:hAnsi="Times New Roman"/>
                <w:sz w:val="16"/>
              </w:rPr>
              <w:t>Malta</w:t>
            </w:r>
          </w:p>
        </w:tc>
        <w:tc>
          <w:tcPr>
            <w:tcBorders>
              <w:bottom w:val="double" w:sz="4" w:space="0" w:color="auto"/>
            </w:tcBorders>
            <w:tcW w:w="1100" w:type="dxa"/>
          </w:tcPr>
          <w:p>
            <w:pPr>
              <w:jc w:val="center"/>
              <w:spacing w:before="10" w:after="10"/>
            </w:pPr>
            <w:r/>
            <w:r>
              <w:rPr>
                <w:rFonts w:ascii="Times New Roman" w:hAnsi="Times New Roman"/>
                <w:sz w:val="16"/>
              </w:rPr>
              <w:t>$1.73</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center"/>
              <w:spacing w:before="10" w:after="10"/>
            </w:pPr>
            <w:r/>
            <w:r>
              <w:rPr>
                <w:rFonts w:ascii="Times New Roman" w:hAnsi="Times New Roman"/>
                <w:sz w:val="16"/>
              </w:rPr>
              <w:t>8.1%</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0.29</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0.38</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0.95</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0.71</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0.25</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0.39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0.45</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0.32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0.22</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0.57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0.92</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0.32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0.59</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0.42</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0.30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0.63</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0.80</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0.77</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0.51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0.80</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0.70</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0.59</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0.74</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0.76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0.96</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0.92</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0.56</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$1.90</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$1.90</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$1.91</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$1.91</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0.45</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$1.99</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450" w:type="dxa"/>
          </w:tcPr>
          <w:p>
            <w:pPr>
              <w:jc w:val="center"/>
              <w:spacing w:before="5" w:after="5"/>
            </w:pPr>
            <w:r/>
            <w:r>
              <w:rPr>
                <w:rFonts w:ascii="Times New Roman" w:hAnsi="Times New Roman"/>
                <w:sz w:val="14"/>
              </w:rPr>
              <w:t>0.43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0.38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$2.06</w:t>
            </w:r>
          </w:p>
        </w:tc>
        <w:tc>
          <w:tcPr>
            <w:tcW w:w="450" w:type="dxa"/>
          </w:tcPr>
          <w:p>
            <w:pPr>
              <w:jc w:val="center"/>
              <w:spacing w:before="5" w:after="5"/>
            </w:pPr>
            <w:r/>
            <w:r>
              <w:rPr>
                <w:rFonts w:ascii="Times New Roman" w:hAnsi="Times New Roman"/>
                <w:sz w:val="14"/>
              </w:rPr>
              <w:t>0.39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450" w:type="dxa"/>
          </w:tcPr>
          <w:p>
            <w:pPr>
              <w:jc w:val="center"/>
              <w:spacing w:before="5" w:after="5"/>
            </w:pPr>
            <w:r/>
            <w:r>
              <w:rPr>
                <w:rFonts w:ascii="Times New Roman" w:hAnsi="Times New Roman"/>
                <w:sz w:val="14"/>
              </w:rPr>
              <w:t>0.40</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-55</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450" w:type="dxa"/>
          </w:tcPr>
          <w:p>
            <w:pPr>
              <w:jc w:val="center"/>
              <w:spacing w:before="5" w:after="5"/>
            </w:pPr>
            <w:r/>
            <w:r>
              <w:rPr>
                <w:rFonts w:ascii="Times New Roman" w:hAnsi="Times New Roman"/>
                <w:sz w:val="14"/>
              </w:rPr>
              <w:t>0.42</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$2.19</w:t>
            </w:r>
          </w:p>
        </w:tc>
        <w:tc>
          <w:tcPr>
            <w:tcW w:w="450" w:type="dxa"/>
          </w:tcPr>
          <w:p>
            <w:pPr>
              <w:jc w:val="center"/>
              <w:spacing w:before="5" w:after="5"/>
            </w:pPr>
            <w:r/>
            <w:r>
              <w:rPr>
                <w:rFonts w:ascii="Times New Roman" w:hAnsi="Times New Roman"/>
                <w:sz w:val="14"/>
              </w:rPr>
              <w:t>0.29</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450" w:type="dxa"/>
          </w:tcPr>
          <w:p>
            <w:pPr>
              <w:jc w:val="center"/>
              <w:spacing w:before="5" w:after="5"/>
            </w:pPr>
            <w:r/>
            <w:r>
              <w:rPr>
                <w:rFonts w:ascii="Times New Roman" w:hAnsi="Times New Roman"/>
                <w:sz w:val="14"/>
              </w:rPr>
              <w:t>0.35</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-78</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$2.22</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$2.22</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$2.30</w:t>
            </w:r>
          </w:p>
        </w:tc>
        <w:tc>
          <w:tcPr>
            <w:tcW w:w="450" w:type="dxa"/>
          </w:tcPr>
          <w:p>
            <w:pPr>
              <w:jc w:val="center"/>
              <w:spacing w:before="5" w:after="5"/>
            </w:pPr>
            <w:r/>
            <w:r>
              <w:rPr>
                <w:rFonts w:ascii="Times New Roman" w:hAnsi="Times New Roman"/>
                <w:sz w:val="14"/>
              </w:rPr>
              <w:t>0.34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$2.30</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$2.39</w:t>
            </w:r>
          </w:p>
        </w:tc>
        <w:tc>
          <w:tcPr>
            <w:tcW w:w="450" w:type="dxa"/>
          </w:tcPr>
          <w:p>
            <w:pPr>
              <w:jc w:val="center"/>
              <w:spacing w:before="5" w:after="5"/>
            </w:pPr>
            <w:r/>
            <w:r>
              <w:rPr>
                <w:rFonts w:ascii="Times New Roman" w:hAnsi="Times New Roman"/>
                <w:sz w:val="14"/>
              </w:rPr>
              <w:t>0.25</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$2.40</w:t>
            </w:r>
          </w:p>
        </w:tc>
        <w:tc>
          <w:tcPr>
            <w:tcW w:w="450" w:type="dxa"/>
          </w:tcPr>
          <w:p>
            <w:pPr>
              <w:jc w:val="center"/>
              <w:spacing w:before="5" w:after="5"/>
            </w:pPr>
            <w:r/>
            <w:r>
              <w:rPr>
                <w:rFonts w:ascii="Times New Roman" w:hAnsi="Times New Roman"/>
                <w:sz w:val="14"/>
              </w:rPr>
              <w:t>0.30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$1.59</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DD</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$2.64</w:t>
            </w:r>
          </w:p>
        </w:tc>
        <w:tc>
          <w:tcPr>
            <w:tcBorders>
              <w:bottom w:val="double" w:sz="4" w:space="0" w:color="auto"/>
            </w:tcBorders>
            <w:tcW w:w="450" w:type="dxa"/>
          </w:tcPr>
          <w:p>
            <w:pPr>
              <w:jc w:val="center"/>
              <w:spacing w:before="5" w:after="5"/>
            </w:pPr>
            <w:r/>
            <w:r>
              <w:rPr>
                <w:rFonts w:ascii="Times New Roman" w:hAnsi="Times New Roman"/>
                <w:sz w:val="14"/>
              </w:rPr>
              <w:t>0.22</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DD</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robustness specifications. The baseline (Form B) applies the efficiency adjustment only to non-hardware costs, with equal weight on governance and grid reliability. The table varies the governance weight,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ρ=$1.36, Form B)</w:t>
            </w:r>
          </w:p>
        </w:tc>
        <w:tc>
          <w:tcPr>
            <w:tcW w:w="2200" w:type="dxa"/>
          </w:tcPr>
          <w:p>
            <w:pPr>
              <w:spacing w:before="10" w:after="10"/>
            </w:pPr>
            <w:r/>
            <w:r>
              <w:rPr>
                <w:sz w:val="16"/>
              </w:rPr>
              <w:t>ω=0.50, ρ=$1.36</w:t>
            </w:r>
          </w:p>
        </w:tc>
        <w:tc>
          <w:tcPr>
            <w:tcW w:w="700" w:type="dxa"/>
          </w:tcPr>
          <w:p>
            <w:pPr>
              <w:jc w:val="right"/>
              <w:spacing w:before="10" w:after="10"/>
            </w:pPr>
            <w:r/>
            <w:r>
              <w:rPr>
                <w:sz w:val="16"/>
              </w:rPr>
              <w:t>0</w:t>
            </w:r>
          </w:p>
        </w:tc>
        <w:tc>
          <w:tcPr>
            <w:tcW w:w="700" w:type="dxa"/>
          </w:tcPr>
          <w:p>
            <w:pPr>
              <w:jc w:val="right"/>
              <w:spacing w:before="10" w:after="10"/>
            </w:pPr>
            <w:r/>
            <w:r>
              <w:rPr>
                <w:sz w:val="16"/>
              </w:rPr>
              <w:t>60.8%</w:t>
            </w:r>
          </w:p>
        </w:tc>
        <w:tc>
          <w:tcPr>
            <w:tcW w:w="900" w:type="dxa"/>
          </w:tcPr>
          <w:p>
            <w:pPr>
              <w:jc w:val="right"/>
              <w:spacing w:before="10" w:after="10"/>
            </w:pPr>
            <w:r/>
            <w:r>
              <w:rPr>
                <w:sz w:val="16"/>
              </w:rPr>
              <w:t>-0.18</w:t>
            </w:r>
          </w:p>
        </w:tc>
        <w:tc>
          <w:tcPr>
            <w:tcW w:w="2300" w:type="dxa"/>
          </w:tcPr>
          <w:p>
            <w:pPr>
              <w:jc w:val="right"/>
              <w:spacing w:before="10" w:after="10"/>
            </w:pPr>
            <w:r/>
            <w:r>
              <w:rPr>
                <w:sz w:val="16"/>
              </w:rPr>
              <w:t>Canada, Norway, Finland, Sweden, Iceland</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w:t>
            </w:r>
          </w:p>
        </w:tc>
        <w:tc>
          <w:tcPr>
            <w:tcW w:w="700" w:type="dxa"/>
          </w:tcPr>
          <w:p>
            <w:pPr>
              <w:jc w:val="right"/>
              <w:spacing w:before="10" w:after="10"/>
            </w:pPr>
            <w:r/>
            <w:r>
              <w:rPr>
                <w:sz w:val="16"/>
              </w:rPr>
              <w:t>0</w:t>
            </w:r>
          </w:p>
        </w:tc>
        <w:tc>
          <w:tcPr>
            <w:tcW w:w="700" w:type="dxa"/>
          </w:tcPr>
          <w:p>
            <w:pPr>
              <w:jc w:val="right"/>
              <w:spacing w:before="10" w:after="10"/>
            </w:pPr>
            <w:r/>
            <w:r>
              <w:rPr>
                <w:sz w:val="16"/>
              </w:rPr>
              <w:t>165.5%</w:t>
            </w:r>
          </w:p>
        </w:tc>
        <w:tc>
          <w:tcPr>
            <w:tcW w:w="900" w:type="dxa"/>
          </w:tcPr>
          <w:p>
            <w:pPr>
              <w:jc w:val="right"/>
              <w:spacing w:before="10" w:after="10"/>
            </w:pPr>
            <w:r/>
            <w:r>
              <w:rPr>
                <w:sz w:val="16"/>
              </w:rPr>
              <w:t>-0.26</w:t>
            </w:r>
          </w:p>
        </w:tc>
        <w:tc>
          <w:tcPr>
            <w:tcW w:w="2300" w:type="dxa"/>
          </w:tcPr>
          <w:p>
            <w:pPr>
              <w:jc w:val="right"/>
              <w:spacing w:before="10" w:after="10"/>
            </w:pPr>
            <w:r/>
            <w:r>
              <w:rPr>
                <w:sz w:val="16"/>
              </w:rPr>
              <w:t>Canada, Finland, Norway, Sweden, Iceland</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0</w:t>
            </w:r>
          </w:p>
        </w:tc>
        <w:tc>
          <w:tcPr>
            <w:tcW w:w="700" w:type="dxa"/>
          </w:tcPr>
          <w:p>
            <w:pPr>
              <w:jc w:val="right"/>
              <w:spacing w:before="10" w:after="10"/>
            </w:pPr>
            <w:r/>
            <w:r>
              <w:rPr>
                <w:sz w:val="16"/>
              </w:rPr>
              <w:t>63.0%</w:t>
            </w:r>
          </w:p>
        </w:tc>
        <w:tc>
          <w:tcPr>
            <w:tcW w:w="900" w:type="dxa"/>
          </w:tcPr>
          <w:p>
            <w:pPr>
              <w:jc w:val="right"/>
              <w:spacing w:before="10" w:after="10"/>
            </w:pPr>
            <w:r/>
            <w:r>
              <w:rPr>
                <w:sz w:val="16"/>
              </w:rPr>
              <w:t>-0.18</w:t>
            </w:r>
          </w:p>
        </w:tc>
        <w:tc>
          <w:tcPr>
            <w:tcW w:w="2300" w:type="dxa"/>
          </w:tcPr>
          <w:p>
            <w:pPr>
              <w:jc w:val="right"/>
              <w:spacing w:before="10" w:after="10"/>
            </w:pPr>
            <w:r/>
            <w:r>
              <w:rPr>
                <w:sz w:val="16"/>
              </w:rPr>
              <w:t>Canada, Norway, Finland, Sweden, Iceland</w:t>
            </w:r>
          </w:p>
        </w:tc>
      </w:tr>
      <w:tr>
        <w:tc>
          <w:tcPr>
            <w:tcW w:w="2000" w:type="dxa"/>
          </w:tcPr>
          <w:p>
            <w:pPr>
              <w:spacing w:before="10" w:after="10"/>
            </w:pPr>
            <w:r/>
            <w:r>
              <w:rPr>
                <w:sz w:val="16"/>
              </w:rPr>
              <w:t>High hardware share (ρ=$1.42)</w:t>
            </w:r>
          </w:p>
        </w:tc>
        <w:tc>
          <w:tcPr>
            <w:tcW w:w="2200" w:type="dxa"/>
          </w:tcPr>
          <w:p>
            <w:pPr>
              <w:spacing w:before="10" w:after="10"/>
            </w:pPr>
            <w:r/>
            <w:r>
              <w:rPr>
                <w:sz w:val="16"/>
              </w:rPr>
              <w:t>ρ=$1.42 (+4.4%)</w:t>
            </w:r>
          </w:p>
        </w:tc>
        <w:tc>
          <w:tcPr>
            <w:tcW w:w="700" w:type="dxa"/>
          </w:tcPr>
          <w:p>
            <w:pPr>
              <w:jc w:val="right"/>
              <w:spacing w:before="10" w:after="10"/>
            </w:pPr>
            <w:r/>
            <w:r>
              <w:rPr>
                <w:sz w:val="16"/>
              </w:rPr>
              <w:t>0</w:t>
            </w:r>
          </w:p>
        </w:tc>
        <w:tc>
          <w:tcPr>
            <w:tcW w:w="700" w:type="dxa"/>
          </w:tcPr>
          <w:p>
            <w:pPr>
              <w:jc w:val="right"/>
              <w:spacing w:before="10" w:after="10"/>
            </w:pPr>
            <w:r/>
            <w:r>
              <w:rPr>
                <w:sz w:val="16"/>
              </w:rPr>
              <w:t>58.5%</w:t>
            </w:r>
          </w:p>
        </w:tc>
        <w:tc>
          <w:tcPr>
            <w:tcW w:w="900" w:type="dxa"/>
          </w:tcPr>
          <w:p>
            <w:pPr>
              <w:jc w:val="right"/>
              <w:spacing w:before="10" w:after="10"/>
            </w:pPr>
            <w:r/>
            <w:r>
              <w:rPr>
                <w:sz w:val="16"/>
              </w:rPr>
              <w:t>-0.18</w:t>
            </w:r>
          </w:p>
        </w:tc>
        <w:tc>
          <w:tcPr>
            <w:tcW w:w="2300" w:type="dxa"/>
          </w:tcPr>
          <w:p>
            <w:pPr>
              <w:jc w:val="right"/>
              <w:spacing w:before="10" w:after="10"/>
            </w:pPr>
            <w:r/>
            <w:r>
              <w:rPr>
                <w:sz w:val="16"/>
              </w:rPr>
              <w:t>Canada, Norway, Finland, Sweden, Iceland</w:t>
            </w:r>
          </w:p>
        </w:tc>
      </w:tr>
      <w:tr>
        <w:tc>
          <w:tcPr>
            <w:tcBorders>
              <w:bottom w:val="double" w:sz="4" w:space="0" w:color="auto"/>
            </w:tcBorders>
            <w:tcW w:w="2000" w:type="dxa"/>
          </w:tcPr>
          <w:p>
            <w:pPr>
              <w:spacing w:before="10" w:after="10"/>
            </w:pPr>
            <w:r/>
            <w:r>
              <w:rPr>
                <w:sz w:val="16"/>
              </w:rPr>
              <w:t>Form A (v26 specification, ω=0.85)</w:t>
            </w:r>
          </w:p>
        </w:tc>
        <w:tc>
          <w:tcPr>
            <w:tcBorders>
              <w:bottom w:val="double" w:sz="4" w:space="0" w:color="auto"/>
            </w:tcBorders>
            <w:tcW w:w="2200" w:type="dxa"/>
          </w:tcPr>
          <w:p>
            <w:pPr>
              <w:spacing w:before="10" w:after="10"/>
            </w:pPr>
            <w:r/>
            <w:r>
              <w:rPr>
                <w:sz w:val="16"/>
              </w:rPr>
              <w:t>c_adj = c_cr / ξ_eff, ω=0.85</w:t>
            </w:r>
          </w:p>
        </w:tc>
        <w:tc>
          <w:tcPr>
            <w:tcBorders>
              <w:bottom w:val="double" w:sz="4" w:space="0" w:color="auto"/>
            </w:tcBorders>
            <w:tcW w:w="700" w:type="dxa"/>
          </w:tcPr>
          <w:p>
            <w:pPr>
              <w:jc w:val="right"/>
              <w:spacing w:before="10" w:after="10"/>
            </w:pPr>
            <w:r/>
            <w:r>
              <w:rPr>
                <w:sz w:val="16"/>
              </w:rPr>
              <w:t>0</w:t>
            </w:r>
          </w:p>
        </w:tc>
        <w:tc>
          <w:tcPr>
            <w:tcBorders>
              <w:bottom w:val="double" w:sz="4" w:space="0" w:color="auto"/>
            </w:tcBorders>
            <w:tcW w:w="700" w:type="dxa"/>
          </w:tcPr>
          <w:p>
            <w:pPr>
              <w:jc w:val="right"/>
              <w:spacing w:before="10" w:after="10"/>
            </w:pPr>
            <w:r/>
            <w:r>
              <w:rPr>
                <w:sz w:val="16"/>
              </w:rPr>
              <w:t>951.8%</w:t>
            </w:r>
          </w:p>
        </w:tc>
        <w:tc>
          <w:tcPr>
            <w:tcBorders>
              <w:bottom w:val="double" w:sz="4" w:space="0" w:color="auto"/>
            </w:tcBorders>
            <w:tcW w:w="900" w:type="dxa"/>
          </w:tcPr>
          <w:p>
            <w:pPr>
              <w:jc w:val="right"/>
              <w:spacing w:before="10" w:after="10"/>
            </w:pPr>
            <w:r/>
            <w:r>
              <w:rPr>
                <w:sz w:val="16"/>
              </w:rPr>
              <w:t>-0.44</w:t>
            </w:r>
          </w:p>
        </w:tc>
        <w:tc>
          <w:tcPr>
            <w:tcBorders>
              <w:bottom w:val="double" w:sz="4" w:space="0" w:color="auto"/>
            </w:tcBorders>
            <w:tcW w:w="2300" w:type="dxa"/>
          </w:tcPr>
          <w:p>
            <w:pPr>
              <w:jc w:val="right"/>
              <w:spacing w:before="10" w:after="10"/>
            </w:pPr>
            <w:r/>
            <w:r>
              <w:rPr>
                <w:sz w:val="16"/>
              </w:rPr>
              <w:t>Finland, Norway, Denmark, Iceland, Luxembourg</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