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17:22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China, Norway, Finland, and Kosovo.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30, and Iceland rises 28.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−9.8%</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-7.0%</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0.77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Borders>
              <w:bottom w:val="double" w:sz="4" w:space="0" w:color="auto"/>
            </w:tcBorders>
            <w:tcW w:w="1800" w:type="dxa"/>
          </w:tcPr>
          <w:p>
            <w:pPr>
              <w:jc w:val="left"/>
              <w:spacing w:before="10" w:after="10"/>
            </w:pPr>
            <w:r/>
            <w:r>
              <w:rPr>
                <w:rFonts w:ascii="Times New Roman" w:hAnsi="Times New Roman"/>
                <w:sz w:val="16"/>
              </w:rPr>
              <w:t>Malta</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47</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0.89</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+21</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−7.3%</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−7.1%</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−7.0%</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−5.5%</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−5.3%</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Georgia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−5.1%</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25</w:t>
            </w:r>
          </w:p>
        </w:tc>
        <w:tc>
          <w:tcPr>
            <w:tcW w:w="1100" w:type="dxa"/>
          </w:tcPr>
          <w:p>
            <w:pPr>
              <w:jc w:val="center"/>
              <w:spacing w:before="10" w:after="10"/>
            </w:pPr>
            <w:r/>
            <w:r>
              <w:rPr>
                <w:rFonts w:ascii="Times New Roman" w:hAnsi="Times New Roman"/>
                <w:sz w:val="16"/>
              </w:rPr>
              <w:t>−5.0%</w:t>
            </w:r>
          </w:p>
        </w:tc>
      </w:tr>
      <w:tr>
        <w:tc>
          <w:tcPr>
            <w:tcBorders>
              <w:bottom w:val="double" w:sz="4" w:space="0" w:color="auto"/>
            </w:tcBorders>
            <w:tcW w:w="2400" w:type="dxa"/>
          </w:tcPr>
          <w:p>
            <w:pPr>
              <w:jc w:val="left"/>
              <w:spacing w:before="10" w:after="10"/>
            </w:pPr>
            <w:r/>
            <w:r>
              <w:rPr>
                <w:rFonts w:ascii="Times New Roman" w:hAnsi="Times New Roman"/>
                <w:sz w:val="16"/>
              </w:rPr>
              <w:t>Malta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26</w:t>
            </w:r>
          </w:p>
        </w:tc>
        <w:tc>
          <w:tcPr>
            <w:tcBorders>
              <w:bottom w:val="double" w:sz="4" w:space="0" w:color="auto"/>
            </w:tcBorders>
            <w:tcW w:w="1100" w:type="dxa"/>
          </w:tcPr>
          <w:p>
            <w:pPr>
              <w:jc w:val="center"/>
              <w:spacing w:before="10" w:after="10"/>
            </w:pPr>
            <w:r/>
            <w:r>
              <w:rPr>
                <w:rFonts w:ascii="Times New Roman" w:hAnsi="Times New Roman"/>
                <w:sz w:val="16"/>
              </w:rPr>
              <w:t>−5.0%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