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spacing w:before="240" w:after="160" w:line="240" w:lineRule="auto"/>
        <w:ind w:firstLine="0" w:left="720" w:right="720"/>
        <w:jc w:val="both"/>
      </w:pPr>
      <w:r>
        <w:rPr>
          <w:b/>
        </w:rPr>
        <w:t xml:space="preserve">Affiliation: </w:t>
      </w:r>
      <w:r>
        <w:t xml:space="preserve"/>
      </w:r>
      <w:bookmarkStart w:id="200" w:name="WorldBank2024txt"/>
      <w:hyperlink w:anchor="WorldBank2024" w:history="1">
        <w:r>
          <w:rPr>
            <w:color w:val="1F3864"/>
            <w:u w:val="single"/>
          </w:rPr>
          <w:t xml:space="preserve">World Bank</w:t>
        </w:r>
      </w:hyperlink>
      <w:bookmarkEnd w:id="200"/>
      <w:r>
        <w:t xml:space="preserve">, Washington, DC, USA. Corresponding author: mlokshin@worldbank.org. ORCiD: [TODO – insert ORCiD iD].</w:t>
      </w:r>
    </w:p>
    <w:p>
      <w:pPr>
        <w:spacing w:before="200" w:after="160" w:line="240" w:lineRule="auto"/>
        <w:ind w:firstLine="0" w:left="720" w:right="720"/>
        <w:jc w:val="both"/>
      </w:pPr>
      <w:r>
        <w:rPr>
          <w:b/>
        </w:rPr>
        <w:t>Statements and Declarations</w:t>
      </w:r>
    </w:p>
    <w:p>
      <w:pPr>
        <w:spacing w:before="120" w:after="160" w:line="240" w:lineRule="auto"/>
        <w:ind w:firstLine="0" w:left="720" w:right="720"/>
        <w:jc w:val="both"/>
      </w:pPr>
      <w:r>
        <w:rPr>
          <w:b/>
        </w:rPr>
        <w:t xml:space="preserve">Funding. </w:t>
      </w:r>
      <w:r>
        <w:t xml:space="preserve">This work received no external funding. It was prepared as part of the author’s research at the </w:t>
      </w:r>
      <w:bookmarkStart w:id="201" w:name="WorldBank2024txt"/>
      <w:hyperlink w:anchor="WorldBank2024" w:history="1">
        <w:r>
          <w:rPr>
            <w:color w:val="1F3864"/>
            <w:u w:val="single"/>
          </w:rPr>
          <w:t xml:space="preserve">World Bank</w:t>
        </w:r>
      </w:hyperlink>
      <w:bookmarkEnd w:id="201"/>
      <w:r>
        <w:t xml:space="preserve">.</w:t>
      </w:r>
    </w:p>
    <w:p>
      <w:pPr>
        <w:spacing w:before="120" w:after="160" w:line="240" w:lineRule="auto"/>
        <w:ind w:firstLine="0" w:left="720" w:right="720"/>
        <w:jc w:val="both"/>
      </w:pPr>
      <w:r>
        <w:rPr>
          <w:b/>
        </w:rPr>
        <w:t xml:space="preserve">Disclosure of interest. </w:t>
      </w:r>
      <w:r>
        <w:t>The author reports there are no competing interests to declare.</w:t>
      </w:r>
    </w:p>
    <w:p>
      <w:pPr>
        <w:spacing w:before="120" w:after="160" w:line="240" w:lineRule="auto"/>
        <w:ind w:firstLine="0" w:left="720" w:right="720"/>
        <w:jc w:val="both"/>
      </w:pPr>
      <w:r>
        <w:rPr>
          <w:b/>
        </w:rPr>
        <w:t xml:space="preserve">Declaration of generative AI use. </w:t>
      </w:r>
      <w:r>
        <w:t>The author used generative AI tools to assist with text editing. The model, the analysis, and all conclusions are the author’s own.</w:t>
      </w:r>
    </w:p>
    <w:p>
      <w:pPr>
        <w:spacing w:before="120" w:after="160" w:line="240" w:lineRule="auto"/>
        <w:ind w:firstLine="0" w:left="720" w:right="720"/>
        <w:jc w:val="both"/>
      </w:pPr>
      <w:r>
        <w:rPr>
          <w:b/>
        </w:rPr>
        <w:t xml:space="preserve">Data availability. </w:t>
      </w:r>
      <w:r>
        <w:t xml:space="preserve">The data and code that support the findings of this study are available in the </w:t>
      </w:r>
      <w:bookmarkStart w:id="202" w:name="WorldBank2024txt"/>
      <w:hyperlink w:anchor="WorldBank2024" w:history="1">
        <w:r>
          <w:rPr>
            <w:color w:val="1F3864"/>
            <w:u w:val="single"/>
          </w:rPr>
          <w:t xml:space="preserve">World Bank</w:t>
        </w:r>
      </w:hyperlink>
      <w:bookmarkEnd w:id="202"/>
      <w:r>
        <w:t xml:space="preserve"> Reproducible Research Repository (reproducibility report RR_EUR_2026_669). [TODO – insert the RRR DOI/URL once assigned.]</w:t>
      </w:r>
    </w:p>
    <w:p>
      <w:pPr>
        <w:spacing w:before="120" w:after="160" w:line="240" w:lineRule="auto"/>
        <w:ind w:firstLine="0" w:left="720" w:right="720"/>
        <w:jc w:val="both"/>
      </w:pPr>
      <w:r>
        <w:rPr>
          <w:b/>
        </w:rPr>
        <w:t xml:space="preserve">CRediT author statement. </w:t>
      </w:r>
      <w:r>
        <w:t>Michael Lokshin: Conceptualization; Methodology; Formal analysis; Software; Data curation; Writing – original draft; Writing – review &amp; editing.</w:t>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3" w:name="SevillaEtAl2022txt"/>
      <w:hyperlink w:anchor="SevillaEtAl2022" w:history="1">
        <w:r>
          <w:rPr>
            <w:color w:val="1F3864"/>
            <w:u w:val="single"/>
          </w:rPr>
          <w:t xml:space="preserve">Sevilla et al. 2022</w:t>
        </w:r>
      </w:hyperlink>
      <w:bookmarkEnd w:id="203"/>
      <w:r>
        <w:t xml:space="preserve">). In 2024, data centers accounted for approximately 1.5 percent of global electricity demand, and that share is projected to exceed 3 percent by 2030 (</w:t>
      </w:r>
      <w:bookmarkStart w:id="248" w:name="IEA2025txt"/>
      <w:hyperlink w:anchor="IEA2025" w:history="1">
        <w:r>
          <w:rPr>
            <w:color w:val="1F3864"/>
            <w:u w:val="single"/>
          </w:rPr>
          <w:t xml:space="preserve">IEA 2025</w:t>
        </w:r>
      </w:hyperlink>
      <w:bookmarkEnd w:id="248"/>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9" w:name="Firebird2026txt"/>
      <w:hyperlink w:anchor="Firebird2026" w:history="1">
        <w:r>
          <w:rPr>
            <w:color w:val="1F3864"/>
            <w:u w:val="single"/>
          </w:rPr>
          <w:t xml:space="preserve">Firebird 2026</w:t>
        </w:r>
      </w:hyperlink>
      <w:bookmarkEnd w:id="249"/>
      <w:r>
        <w:t xml:space="preserve">). Kenya, Saudi Arabia, and Malaysia have attracted billion-dollar investments in data centers. Google has committed $15 billion to India, and OpenAI has proposed a $25 billion “Stargate Argentina” complex (</w:t>
      </w:r>
      <w:bookmarkStart w:id="204" w:name="StraubEtAl2026txt"/>
      <w:hyperlink w:anchor="StraubEtAl2026" w:history="1">
        <w:r>
          <w:rPr>
            <w:color w:val="1F3864"/>
            <w:u w:val="single"/>
          </w:rPr>
          <w:t xml:space="preserve">Straub et al. 2026</w:t>
        </w:r>
      </w:hyperlink>
      <w:bookmarkEnd w:id="204"/>
      <w:r>
        <w:t xml:space="preserve">). Global data-center FDI reached over $310 billion in 2025 (</w:t>
      </w:r>
      <w:bookmarkStart w:id="250" w:name="AykutEtAl2026txt"/>
      <w:hyperlink w:anchor="AykutEtAl2026" w:history="1">
        <w:r>
          <w:rPr>
            <w:color w:val="1F3864"/>
            <w:u w:val="single"/>
          </w:rPr>
          <w:t xml:space="preserve">Aykut et al. 2026</w:t>
        </w:r>
      </w:hyperlink>
      <w:bookmarkEnd w:id="250"/>
      <w:r>
        <w:t xml:space="preserve">) and annual cloud computing exports exceeded $9 billion (</w:t>
      </w:r>
      <w:bookmarkStart w:id="266" w:name="WorldBank2025txt"/>
      <w:hyperlink w:anchor="WorldBank2025" w:history="1">
        <w:r>
          <w:rPr>
            <w:color w:val="1F3864"/>
            <w:u w:val="single"/>
          </w:rPr>
          <w:t xml:space="preserve">World Bank 2025</w:t>
        </w:r>
      </w:hyperlink>
      <w:bookmarkEnd w:id="266"/>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5" w:name="AykutEtAl2026txt"/>
      <w:hyperlink w:anchor="AykutEtAl2026" w:history="1">
        <w:r>
          <w:rPr>
            <w:color w:val="1F3864"/>
            <w:u w:val="single"/>
          </w:rPr>
          <w:t xml:space="preserve">Aykut et al. 2026</w:t>
        </w:r>
      </w:hyperlink>
      <w:bookmarkEnd w:id="205"/>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51" w:name="Sastry2024txt"/>
      <w:hyperlink w:anchor="Sastry2024" w:history="1">
        <w:r>
          <w:rPr>
            <w:color w:val="1F3864"/>
            <w:u w:val="single"/>
          </w:rPr>
          <w:t xml:space="preserve">Sastry et al. 2024</w:t>
        </w:r>
      </w:hyperlink>
      <w:bookmarkEnd w:id="251"/>
      <w:r>
        <w:t xml:space="preserve">, </w:t>
      </w:r>
      <w:bookmarkStart w:id="206" w:name="Lehdonvirta2024txt"/>
      <w:hyperlink w:anchor="Lehdonvirta2024" w:history="1">
        <w:r>
          <w:rPr>
            <w:color w:val="1F3864"/>
            <w:u w:val="single"/>
          </w:rPr>
          <w:t xml:space="preserve">Lehdonvirta et al. 2024</w:t>
        </w:r>
      </w:hyperlink>
      <w:bookmarkEnd w:id="206"/>
      <w:r>
        <w:t xml:space="preserve">, </w:t>
      </w:r>
      <w:bookmarkStart w:id="252" w:name="Pilz2025txt"/>
      <w:hyperlink w:anchor="Pilz2025" w:history="1">
        <w:r>
          <w:rPr>
            <w:color w:val="1F3864"/>
            <w:u w:val="single"/>
          </w:rPr>
          <w:t xml:space="preserve">Pilz et al. 2025</w:t>
        </w:r>
      </w:hyperlink>
      <w:bookmarkEnd w:id="252"/>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7" w:name="Calcaterra2024txt"/>
      <w:hyperlink w:anchor="Calcaterra2024" w:history="1">
        <w:r>
          <w:rPr>
            <w:color w:val="1F3864"/>
            <w:u w:val="single"/>
          </w:rPr>
          <w:t xml:space="preserve">Calcaterra et al. 2024</w:t>
        </w:r>
      </w:hyperlink>
      <w:bookmarkEnd w:id="207"/>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8" w:name="Goldfarb2018txt"/>
      <w:hyperlink w:anchor="Goldfarb2018" w:history="1">
        <w:r>
          <w:rPr>
            <w:color w:val="1F3864"/>
            <w:u w:val="single"/>
          </w:rPr>
          <w:t xml:space="preserve">Goldfarb and Trefler (2018)</w:t>
        </w:r>
      </w:hyperlink>
      <w:bookmarkEnd w:id="208"/>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3" w:name="Korinek2021txt"/>
      <w:hyperlink w:anchor="Korinek2021" w:history="1">
        <w:r>
          <w:rPr>
            <w:color w:val="1F3864"/>
            <w:u w:val="single"/>
          </w:rPr>
          <w:t xml:space="preserve">Korinek and Stiglitz (2021)</w:t>
        </w:r>
      </w:hyperlink>
      <w:bookmarkEnd w:id="253"/>
      <w:r>
        <w:t xml:space="preserve"> warn that developing countries may be left behind in the AI revolution; FLOP exporting offers a route in. The concept relates to </w:t>
      </w:r>
      <w:bookmarkStart w:id="273" w:name="Hausmann2007txt"/>
      <w:hyperlink w:anchor="Hausmann2007" w:history="1">
        <w:r>
          <w:rPr>
            <w:color w:val="1F3864"/>
            <w:u w:val="single"/>
          </w:rPr>
          <w:t xml:space="preserve">Hausmann et al. (2007)</w:t>
        </w:r>
      </w:hyperlink>
      <w:bookmarkEnd w:id="273"/>
      <w:r>
        <w:t xml:space="preserve"> on export composition and growth, and to </w:t>
      </w:r>
      <w:bookmarkStart w:id="267" w:name="Limao2001txt"/>
      <w:hyperlink w:anchor="Limao2001" w:history="1">
        <w:r>
          <w:rPr>
            <w:color w:val="1F3864"/>
            <w:u w:val="single"/>
          </w:rPr>
          <w:t xml:space="preserve">Limão and Venables (2001)</w:t>
        </w:r>
      </w:hyperlink>
      <w:bookmarkEnd w:id="267"/>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9" w:name="Blinder2006txt"/>
      <w:hyperlink w:anchor="Blinder2006" w:history="1">
        <w:r>
          <w:rPr>
            <w:color w:val="1F3864"/>
            <w:u w:val="single"/>
          </w:rPr>
          <w:t xml:space="preserve">Blinder 2006</w:t>
        </w:r>
      </w:hyperlink>
      <w:bookmarkEnd w:id="209"/>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10" w:name="Flucker2013txt"/>
      <w:hyperlink w:anchor="Flucker2013" w:history="1">
        <w:r>
          <w:rPr>
            <w:color w:val="1F3864"/>
            <w:u w:val="single"/>
          </w:rPr>
          <w:t xml:space="preserve">Flucker et al. (2013)</w:t>
        </w:r>
      </w:hyperlink>
      <w:bookmarkEnd w:id="210"/>
      <w:r>
        <w:t xml:space="preserve"> show that climate affects data center cooling costs. </w:t>
      </w:r>
      <w:bookmarkStart w:id="268" w:name="Liu2023txt"/>
      <w:hyperlink w:anchor="Liu2023" w:history="1">
        <w:r>
          <w:rPr>
            <w:color w:val="1F3864"/>
            <w:u w:val="single"/>
          </w:rPr>
          <w:t xml:space="preserve">Liu et al. (2023)</w:t>
        </w:r>
      </w:hyperlink>
      <w:bookmarkEnd w:id="268"/>
      <w:r>
        <w:t xml:space="preserve"> study data center placement under renewable energy constraints. In international trade theory, </w:t>
      </w:r>
      <w:bookmarkStart w:id="274" w:name="Brainard1997txt"/>
      <w:hyperlink w:anchor="Brainard1997" w:history="1">
        <w:r>
          <w:rPr>
            <w:color w:val="1F3864"/>
            <w:u w:val="single"/>
          </w:rPr>
          <w:t xml:space="preserve">Brainard (1997)</w:t>
        </w:r>
      </w:hyperlink>
      <w:bookmarkEnd w:id="274"/>
      <w:r>
        <w:t xml:space="preserve"> formalizes the proximity-concentration trade-off between serving a market locally and concentrating production abroad. </w:t>
      </w:r>
      <w:bookmarkStart w:id="254" w:name="HMY2004txt"/>
      <w:hyperlink w:anchor="HMY2004" w:history="1">
        <w:r>
          <w:rPr>
            <w:color w:val="1F3864"/>
            <w:u w:val="single"/>
          </w:rPr>
          <w:t xml:space="preserve">Helpman et al. (2004)</w:t>
        </w:r>
      </w:hyperlink>
      <w:bookmarkEnd w:id="254"/>
      <w:r>
        <w:t xml:space="preserve"> extend this to heterogeneous firms choosing between exporting and FDI.</w:t>
      </w:r>
    </w:p>
    <w:p>
      <w:pPr>
        <w:spacing w:before="0" w:after="160" w:line="360" w:lineRule="auto"/>
        <w:ind w:firstLine="0"/>
        <w:jc w:val="both"/>
      </w:pPr>
      <w:r>
        <w:t xml:space="preserve">On governance, </w:t>
      </w:r>
      <w:bookmarkStart w:id="255" w:name="Sastry2024txt"/>
      <w:hyperlink w:anchor="Sastry2024" w:history="1">
        <w:r>
          <w:rPr>
            <w:color w:val="1F3864"/>
            <w:u w:val="single"/>
          </w:rPr>
          <w:t xml:space="preserve">Sastry et al. (2024)</w:t>
        </w:r>
      </w:hyperlink>
      <w:bookmarkEnd w:id="255"/>
      <w:r>
        <w:t xml:space="preserve"> argue that compute is well-suited for regulation. </w:t>
      </w:r>
      <w:bookmarkStart w:id="211" w:name="Lehdonvirta2024txt"/>
      <w:hyperlink w:anchor="Lehdonvirta2024" w:history="1">
        <w:r>
          <w:rPr>
            <w:color w:val="1F3864"/>
            <w:u w:val="single"/>
          </w:rPr>
          <w:t xml:space="preserve">Lehdonvirta et al. (2024)</w:t>
        </w:r>
      </w:hyperlink>
      <w:bookmarkEnd w:id="211"/>
      <w:r>
        <w:t xml:space="preserve"> map a “Compute North” with training-capable hardware versus a “Compute South” limited to inference chips. </w:t>
      </w:r>
      <w:bookmarkStart w:id="269" w:name="Pilz2025txt"/>
      <w:hyperlink w:anchor="Pilz2025" w:history="1">
        <w:r>
          <w:rPr>
            <w:color w:val="1F3864"/>
            <w:u w:val="single"/>
          </w:rPr>
          <w:t xml:space="preserve">Pilz et al. (2025)</w:t>
        </w:r>
      </w:hyperlink>
      <w:bookmarkEnd w:id="269"/>
      <w:r>
        <w:t xml:space="preserve"> project that data center power demand could reach 327 GW by 2030. The </w:t>
      </w:r>
      <w:bookmarkStart w:id="275" w:name="WorldBank2025txt"/>
      <w:hyperlink w:anchor="WorldBank2025" w:history="1">
        <w:r>
          <w:rPr>
            <w:color w:val="1F3864"/>
            <w:u w:val="single"/>
          </w:rPr>
          <w:t xml:space="preserve">World Bank (2025)</w:t>
        </w:r>
      </w:hyperlink>
      <w:bookmarkEnd w:id="275"/>
      <w:r>
        <w:t xml:space="preserve"> documents the resulting divide (high-income countries hold 77 percent of colocation capacity), but does not offer a formal framework linking costs to trade patterns. </w:t>
      </w:r>
      <w:bookmarkStart w:id="256" w:name="Biglaiser2024txt"/>
      <w:hyperlink w:anchor="Biglaiser2024" w:history="1">
        <w:r>
          <w:rPr>
            <w:color w:val="1F3864"/>
            <w:u w:val="single"/>
          </w:rPr>
          <w:t xml:space="preserve">Biglaiser et al. (2024)</w:t>
        </w:r>
      </w:hyperlink>
      <w:bookmarkEnd w:id="256"/>
      <w:r>
        <w:t xml:space="preserve"> survey the cloud market in IO, and </w:t>
      </w:r>
      <w:bookmarkStart w:id="270" w:name="Stojkoski2024txt"/>
      <w:hyperlink w:anchor="Stojkoski2024" w:history="1">
        <w:r>
          <w:rPr>
            <w:color w:val="1F3864"/>
            <w:u w:val="single"/>
          </w:rPr>
          <w:t xml:space="preserve">Stojkoski et al. (2024)</w:t>
        </w:r>
      </w:hyperlink>
      <w:bookmarkEnd w:id="270"/>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12" w:name="Heckscher1919txt"/>
      <w:hyperlink w:anchor="Heckscher1919" w:history="1">
        <w:r>
          <w:rPr>
            <w:color w:val="1F3864"/>
            <w:u w:val="single"/>
          </w:rPr>
          <w:t xml:space="preserve">Heckscher 1919</w:t>
        </w:r>
      </w:hyperlink>
      <w:bookmarkEnd w:id="212"/>
      <w:r>
        <w:t xml:space="preserve">, </w:t>
      </w:r>
      <w:bookmarkStart w:id="257" w:name="Ohlin1933txt"/>
      <w:hyperlink w:anchor="Ohlin1933" w:history="1">
        <w:r>
          <w:rPr>
            <w:color w:val="1F3864"/>
            <w:u w:val="single"/>
          </w:rPr>
          <w:t xml:space="preserve">Ohlin 1933</w:t>
        </w:r>
      </w:hyperlink>
      <w:bookmarkEnd w:id="25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3" w:name="BaileyEtAl2017txt"/>
      <w:hyperlink w:anchor="BaileyEtAl2017" w:history="1">
        <w:r>
          <w:rPr>
            <w:color w:val="1F3864"/>
            <w:u w:val="single"/>
          </w:rPr>
          <w:t xml:space="preserve">Bailey, Strezhnev, and Voeten 2017</w:t>
        </w:r>
      </w:hyperlink>
      <w:bookmarkEnd w:id="213"/>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4" w:name="AndersonVanWincoop2003txt"/>
      <w:hyperlink w:anchor="AndersonVanWincoop2003" w:history="1">
        <w:r>
          <w:rPr>
            <w:color w:val="1F3864"/>
            <w:u w:val="single"/>
          </w:rPr>
          <w:t xml:space="preserve">Anderson and van Wincoop 2003</w:t>
        </w:r>
      </w:hyperlink>
      <w:bookmarkEnd w:id="214"/>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5" w:name="BenzJaax2020txt"/>
      <w:hyperlink w:anchor="BenzJaax2020" w:history="1">
        <w:r>
          <w:rPr>
            <w:color w:val="1F3864"/>
            <w:u w:val="single"/>
          </w:rPr>
          <w:t xml:space="preserve">Benz and Jaax (2020)</w:t>
        </w:r>
      </w:hyperlink>
      <w:bookmarkEnd w:id="215"/>
      <w:r>
        <w:t xml:space="preserve">.</w:t>
      </w:r>
    </w:p>
    <w:p>
      <w:pPr>
        <w:spacing w:before="0" w:after="80" w:line="360" w:lineRule="auto"/>
        <w:ind w:firstLine="0"/>
        <w:jc w:val="both"/>
      </w:pPr>
      <w:r>
        <w:t xml:space="preserve">The wedge dependence on bilateral institutional alignment follows from the incomplete-contracts theory (</w:t>
      </w:r>
      <w:bookmarkStart w:id="216" w:name="AndersonMarcouiller2002txt"/>
      <w:hyperlink w:anchor="AndersonMarcouiller2002" w:history="1">
        <w:r>
          <w:rPr>
            <w:color w:val="1F3864"/>
            <w:u w:val="single"/>
          </w:rPr>
          <w:t xml:space="preserve">Anderson and Marcouiller 2002</w:t>
        </w:r>
      </w:hyperlink>
      <w:bookmarkEnd w:id="216"/>
      <w:r>
        <w:t xml:space="preserve">, </w:t>
      </w:r>
      <w:bookmarkStart w:id="258" w:name="Antras2003txt"/>
      <w:hyperlink w:anchor="Antras2003" w:history="1">
        <w:r>
          <w:rPr>
            <w:color w:val="1F3864"/>
            <w:u w:val="single"/>
          </w:rPr>
          <w:t xml:space="preserve">Antràs 2003</w:t>
        </w:r>
      </w:hyperlink>
      <w:bookmarkEnd w:id="258"/>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7" w:name="Krugman1991txt"/>
      <w:hyperlink w:anchor="Krugman1991" w:history="1">
        <w:r>
          <w:rPr>
            <w:color w:val="1F3864"/>
            <w:u w:val="single"/>
          </w:rPr>
          <w:t xml:space="preserve">Krugman 1991</w:t>
        </w:r>
      </w:hyperlink>
      <w:bookmarkEnd w:id="217"/>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8" w:name="Eurostat2025txt"/>
      <w:hyperlink w:anchor="Eurostat2025" w:history="1">
        <w:r>
          <w:rPr>
            <w:color w:val="1F3864"/>
            <w:u w:val="single"/>
          </w:rPr>
          <w:t xml:space="preserve">Eurostat 2025</w:t>
        </w:r>
      </w:hyperlink>
      <w:bookmarkEnd w:id="218"/>
      <w:r>
        <w:t xml:space="preserve">). For non-European countries, prices are sourced from national regulatory tariff sheets and secondary sources. These include the U.S. Energy Information Administration (</w:t>
      </w:r>
      <w:bookmarkStart w:id="259" w:name="EIA2025txt"/>
      <w:hyperlink w:anchor="EIA2025" w:history="1">
        <w:r>
          <w:rPr>
            <w:color w:val="1F3864"/>
            <w:u w:val="single"/>
          </w:rPr>
          <w:t xml:space="preserve">EIA 2025</w:t>
        </w:r>
      </w:hyperlink>
      <w:bookmarkEnd w:id="259"/>
      <w:r>
        <w:t xml:space="preserve">) for the United States, KEPCO for South Korea,</w:t>
      </w:r>
      <w:r>
        <w:rPr>
          <w:rStyle w:val="FootnoteReference"/>
        </w:rPr>
        <w:footnoteReference w:id="24"/>
      </w:r>
      <w:r>
        <w:t xml:space="preserve"> national utility tariffs for Central Asian countries, and </w:t>
      </w:r>
      <w:bookmarkStart w:id="219" w:name="GlobalPetrolPrices2025txt"/>
      <w:hyperlink w:anchor="GlobalPetrolPrices2025" w:history="1">
        <w:r>
          <w:rPr>
            <w:color w:val="1F3864"/>
            <w:u w:val="single"/>
          </w:rPr>
          <w:t xml:space="preserve">GlobalPetrolPrices (2025)</w:t>
        </w:r>
      </w:hyperlink>
      <w:bookmarkEnd w:id="219"/>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20" w:name="Hersbach2020txt"/>
      <w:hyperlink w:anchor="Hersbach2020" w:history="1">
        <w:r>
          <w:rPr>
            <w:color w:val="1F3864"/>
            <w:u w:val="single"/>
          </w:rPr>
          <w:t xml:space="preserve">Hersbach et al. 2020</w:t>
        </w:r>
      </w:hyperlink>
      <w:bookmarkEnd w:id="220"/>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21" w:name="TurnerTownsend2025txt"/>
      <w:hyperlink w:anchor="TurnerTownsend2025" w:history="1">
        <w:r>
          <w:rPr>
            <w:color w:val="1F3864"/>
            <w:u w:val="single"/>
          </w:rPr>
          <w:t xml:space="preserve">Turner &amp; Townsend 2025</w:t>
        </w:r>
      </w:hyperlink>
      <w:bookmarkEnd w:id="221"/>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2" w:name="WonderNetwork2024txt"/>
      <w:hyperlink w:anchor="WonderNetwork2024" w:history="1">
        <w:r>
          <w:rPr>
            <w:color w:val="1F3864"/>
            <w:u w:val="single"/>
          </w:rPr>
          <w:t xml:space="preserve">WonderNetwork 2024</w:t>
        </w:r>
      </w:hyperlink>
      <w:bookmarkEnd w:id="222"/>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3" w:name="Cloudscene2025txt"/>
      <w:hyperlink w:anchor="Cloudscene2025" w:history="1">
        <w:r>
          <w:rPr>
            <w:color w:val="1F3864"/>
            <w:u w:val="single"/>
          </w:rPr>
          <w:t xml:space="preserve">Cloudscene 2025</w:t>
        </w:r>
      </w:hyperlink>
      <w:bookmarkEnd w:id="223"/>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4" w:name="Google2024txt"/>
      <w:hyperlink w:anchor="Google2024" w:history="1">
        <w:r>
          <w:rPr>
            <w:color w:val="1F3864"/>
            <w:u w:val="single"/>
          </w:rPr>
          <w:t xml:space="preserve">Google 2024</w:t>
        </w:r>
      </w:hyperlink>
      <w:bookmarkEnd w:id="224"/>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5" w:name="Liu2023txt"/>
      <w:hyperlink w:anchor="Liu2023" w:history="1">
        <w:r>
          <w:rPr>
            <w:color w:val="1F3864"/>
            <w:u w:val="single"/>
          </w:rPr>
          <w:t xml:space="preserve">Liu et al. 2023</w:t>
        </w:r>
      </w:hyperlink>
      <w:bookmarkEnd w:id="225"/>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6" w:name="UptimeInstitute2024txt"/>
      <w:hyperlink w:anchor="UptimeInstitute2024" w:history="1">
        <w:r>
          <w:rPr>
            <w:color w:val="1F3864"/>
            <w:u w:val="single"/>
          </w:rPr>
          <w:t xml:space="preserve">Uptime Institute 2024</w:t>
        </w:r>
      </w:hyperlink>
      <w:bookmarkEnd w:id="226"/>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7" w:name="Barroso2018txt"/>
      <w:hyperlink w:anchor="Barroso2018" w:history="1">
        <w:r>
          <w:rPr>
            <w:color w:val="1F3864"/>
            <w:u w:val="single"/>
          </w:rPr>
          <w:t xml:space="preserve">Barroso et al. 2018</w:t>
        </w:r>
      </w:hyperlink>
      <w:bookmarkEnd w:id="227"/>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8" w:name="Barroso2018txt"/>
      <w:hyperlink w:anchor="Barroso2018" w:history="1">
        <w:r>
          <w:rPr>
            <w:color w:val="1F3864"/>
            <w:u w:val="single"/>
          </w:rPr>
          <w:t xml:space="preserve">Barroso et al. 2018</w:t>
        </w:r>
      </w:hyperlink>
      <w:bookmarkEnd w:id="228"/>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9" w:name="Deloitte2020txt"/>
      <w:hyperlink w:anchor="Deloitte2020" w:history="1">
        <w:r>
          <w:rPr>
            <w:color w:val="1F3864"/>
            <w:u w:val="single"/>
          </w:rPr>
          <w:t xml:space="preserve">Deloitte and Google (2020)</w:t>
        </w:r>
      </w:hyperlink>
      <w:bookmarkEnd w:id="229"/>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30" w:name="BenzJaax2020txt"/>
      <w:hyperlink w:anchor="BenzJaax2020" w:history="1">
        <w:r>
          <w:rPr>
            <w:color w:val="1F3864"/>
            <w:u w:val="single"/>
          </w:rPr>
          <w:t xml:space="preserve">Benz and Jaax (2020)</w:t>
        </w:r>
      </w:hyperlink>
      <w:bookmarkEnd w:id="230"/>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31" w:name="Deloitte2025txt"/>
      <w:hyperlink w:anchor="Deloitte2025" w:history="1">
        <w:r>
          <w:rPr>
            <w:color w:val="1F3864"/>
            <w:u w:val="single"/>
          </w:rPr>
          <w:t xml:space="preserve">Deloitte 2025</w:t>
        </w:r>
      </w:hyperlink>
      <w:bookmarkEnd w:id="231"/>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60" w:name="IMF2025txt"/>
      <w:hyperlink w:anchor="IMF2025" w:history="1">
        <w:r>
          <w:rPr>
            <w:color w:val="1F3864"/>
            <w:u w:val="single"/>
          </w:rPr>
          <w:t xml:space="preserve">IMF 2025</w:t>
        </w:r>
      </w:hyperlink>
      <w:bookmarkEnd w:id="260"/>
      <w:r>
        <w:t xml:space="preserve">, </w:t>
      </w:r>
      <w:bookmarkStart w:id="232" w:name="Lazard2025txt"/>
      <w:hyperlink w:anchor="Lazard2025" w:history="1">
        <w:r>
          <w:rPr>
            <w:color w:val="1F3864"/>
            <w:u w:val="single"/>
          </w:rPr>
          <w:t xml:space="preserve">Lazard 2025</w:t>
        </w:r>
      </w:hyperlink>
      <w:bookmarkEnd w:id="232"/>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71" w:name="AykutEtAl2026txt"/>
      <w:hyperlink w:anchor="AykutEtAl2026" w:history="1">
        <w:r>
          <w:rPr>
            <w:color w:val="1F3864"/>
            <w:u w:val="single"/>
          </w:rPr>
          <w:t xml:space="preserve">Aykut et al. 2026</w:t>
        </w:r>
      </w:hyperlink>
      <w:bookmarkEnd w:id="271"/>
      <w:r>
        <w:t xml:space="preserve">). Most investment flows occur between geopolitical allies. This pattern is consistent with the bilateral sovereignty premium and suggests that cost alone does not determine where capacity is built (</w:t>
      </w:r>
      <w:bookmarkStart w:id="261" w:name="StraubEtAl2026txt"/>
      <w:hyperlink w:anchor="StraubEtAl2026" w:history="1">
        <w:r>
          <w:rPr>
            <w:color w:val="1F3864"/>
            <w:u w:val="single"/>
          </w:rPr>
          <w:t xml:space="preserve">Straub et al. 2026</w:t>
        </w:r>
      </w:hyperlink>
      <w:bookmarkEnd w:id="261"/>
      <w:r>
        <w:t xml:space="preserve">). Econometric evidence shows that electricity costs do not predict data-center location once market size and the regulatory environment are controlled for (</w:t>
      </w:r>
      <w:bookmarkStart w:id="233" w:name="CaouiSteck2025txt"/>
      <w:hyperlink w:anchor="CaouiSteck2025" w:history="1">
        <w:r>
          <w:rPr>
            <w:color w:val="1F3864"/>
            <w:u w:val="single"/>
          </w:rPr>
          <w:t xml:space="preserve">Caoui and Steck 2025</w:t>
        </w:r>
      </w:hyperlink>
      <w:bookmarkEnd w:id="233"/>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62" w:name="KatzEtAl2025txt"/>
      <w:hyperlink w:anchor="KatzEtAl2025" w:history="1">
        <w:r>
          <w:rPr>
            <w:color w:val="1F3864"/>
            <w:u w:val="single"/>
          </w:rPr>
          <w:t xml:space="preserve">Katz et al. 2025</w:t>
        </w:r>
      </w:hyperlink>
      <w:bookmarkEnd w:id="262"/>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4" w:name="AykutEtAl2026txt"/>
      <w:hyperlink w:anchor="AykutEtAl2026" w:history="1">
        <w:r>
          <w:rPr>
            <w:color w:val="1F3864"/>
            <w:u w:val="single"/>
          </w:rPr>
          <w:t xml:space="preserve">Aykut et al. 2026</w:t>
        </w:r>
      </w:hyperlink>
      <w:bookmarkEnd w:id="23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5" w:name="AykutEtAl2026txt"/>
      <w:hyperlink w:anchor="AykutEtAl2026" w:history="1">
        <w:r>
          <w:rPr>
            <w:color w:val="1F3864"/>
            <w:u w:val="single"/>
          </w:rPr>
          <w:t xml:space="preserve">Aykut et al. 2026</w:t>
        </w:r>
      </w:hyperlink>
      <w:bookmarkEnd w:id="235"/>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6" w:name="EatonKortum2002txt"/>
      <w:hyperlink w:anchor="EatonKortum2002" w:history="1">
        <w:r>
          <w:rPr>
            <w:color w:val="1F3864"/>
            <w:u w:val="single"/>
          </w:rPr>
          <w:t xml:space="preserve">Eaton and Kortum 2002</w:t>
        </w:r>
      </w:hyperlink>
      <w:bookmarkEnd w:id="236"/>
      <w:r>
        <w:t xml:space="preserve">, </w:t>
      </w:r>
      <w:bookmarkStart w:id="263" w:name="ACR2012txt"/>
      <w:hyperlink w:anchor="ACR2012" w:history="1">
        <w:r>
          <w:rPr>
            <w:color w:val="1F3864"/>
            <w:u w:val="single"/>
          </w:rPr>
          <w:t xml:space="preserve">Arkolakis et al. 2012</w:t>
        </w:r>
      </w:hyperlink>
      <w:bookmarkEnd w:id="263"/>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7" w:name="WorldBank2025txt"/>
      <w:hyperlink w:anchor="WorldBank2025" w:history="1">
        <w:r>
          <w:rPr>
            <w:color w:val="1F3864"/>
            <w:u w:val="single"/>
          </w:rPr>
          <w:t xml:space="preserve">World Bank (2025)</w:t>
        </w:r>
      </w:hyperlink>
      <w:bookmarkEnd w:id="237"/>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8" w:name="Chandramowli2024txt"/>
      <w:hyperlink w:anchor="Chandramowli2024" w:history="1">
        <w:r>
          <w:rPr>
            <w:color w:val="1F3864"/>
            <w:u w:val="single"/>
          </w:rPr>
          <w:t xml:space="preserve">Chandramowli et al. 2024</w:t>
        </w:r>
      </w:hyperlink>
      <w:bookmarkEnd w:id="238"/>
      <w:r>
        <w:t xml:space="preserve">), and AI data-center expansion alone could increase retail prices by 8–9 percent by 2030 (</w:t>
      </w:r>
      <w:bookmarkStart w:id="272" w:name="IMF2025txt"/>
      <w:hyperlink w:anchor="IMF2025" w:history="1">
        <w:r>
          <w:rPr>
            <w:color w:val="1F3864"/>
            <w:u w:val="single"/>
          </w:rPr>
          <w:t xml:space="preserve">IMF 2025</w:t>
        </w:r>
      </w:hyperlink>
      <w:bookmarkEnd w:id="272"/>
      <w:r>
        <w:t xml:space="preserve">). </w:t>
      </w:r>
      <w:bookmarkStart w:id="264" w:name="AlvarezEtAl2026txt"/>
      <w:hyperlink w:anchor="AlvarezEtAl2026" w:history="1">
        <w:r>
          <w:rPr>
            <w:color w:val="1F3864"/>
            <w:u w:val="single"/>
          </w:rPr>
          <w:t xml:space="preserve">Alvarez et al. (2026)</w:t>
        </w:r>
      </w:hyperlink>
      <w:bookmarkEnd w:id="264"/>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9" w:name="Calcaterra2024txt"/>
      <w:hyperlink w:anchor="Calcaterra2024" w:history="1">
        <w:r>
          <w:rPr>
            <w:color w:val="1F3864"/>
            <w:u w:val="single"/>
          </w:rPr>
          <w:t xml:space="preserve">Calcaterra et al. 2024</w:t>
        </w:r>
      </w:hyperlink>
      <w:bookmarkEnd w:id="239"/>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40" w:name="AykutEtAl2026txt"/>
      <w:hyperlink w:anchor="AykutEtAl2026" w:history="1">
        <w:r>
          <w:rPr>
            <w:color w:val="1F3864"/>
            <w:u w:val="single"/>
          </w:rPr>
          <w:t xml:space="preserve">Aykut et al. 2026</w:t>
        </w:r>
      </w:hyperlink>
      <w:bookmarkEnd w:id="240"/>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41" w:name="WorldBank2024txt"/>
      <w:hyperlink w:anchor="WorldBank2024" w:history="1">
        <w:r>
          <w:rPr>
            <w:color w:val="1F3864"/>
            <w:u w:val="single"/>
          </w:rPr>
          <w:t xml:space="preserve">World Bank</w:t>
        </w:r>
      </w:hyperlink>
      <w:bookmarkEnd w:id="241"/>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42" w:name="WorldBank2024txt"/>
      <w:hyperlink w:anchor="WorldBank2024" w:history="1">
        <w:r>
          <w:rPr>
            <w:i/>
            <w:color w:val="1F3864"/>
            <w:u w:val="single"/>
          </w:rPr>
          <w:t xml:space="preserve">World Bank</w:t>
        </w:r>
      </w:hyperlink>
      <w:bookmarkEnd w:id="242"/>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3" w:name="WorldBank2024txt"/>
      <w:hyperlink w:anchor="WorldBank2024" w:history="1">
        <w:r>
          <w:rPr>
            <w:color w:val="1F3864"/>
            <w:u w:val="single"/>
          </w:rPr>
          <w:t xml:space="preserve">World Bank</w:t>
        </w:r>
      </w:hyperlink>
      <w:bookmarkEnd w:id="243"/>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4" w:name="WorldBank2024txt"/>
      <w:hyperlink w:anchor="WorldBank2024" w:history="1">
        <w:r>
          <w:rPr>
            <w:color w:val="1F3864"/>
            <w:u w:val="single"/>
          </w:rPr>
          <w:t xml:space="preserve">World Bank</w:t>
        </w:r>
      </w:hyperlink>
      <w:bookmarkEnd w:id="244"/>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5" w:name="ADB2020txt"/>
      <w:hyperlink w:anchor="ADB2020" w:history="1">
        <w:r>
          <w:rPr>
            <w:color w:val="1F3864"/>
            <w:u w:val="single"/>
          </w:rPr>
          <w:t xml:space="preserve">ADB 2020</w:t>
        </w:r>
      </w:hyperlink>
      <w:bookmarkEnd w:id="245"/>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6" w:name="IMF2025txt"/>
      <w:hyperlink w:anchor="IMF2025" w:history="1">
        <w:r>
          <w:rPr>
            <w:color w:val="1F3864"/>
            <w:u w:val="single"/>
          </w:rPr>
          <w:t xml:space="preserve">IMF 2025</w:t>
        </w:r>
      </w:hyperlink>
      <w:bookmarkEnd w:id="246"/>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5" w:name="Borenstein2012txt"/>
      <w:hyperlink w:anchor="Borenstein2012" w:history="1">
        <w:r>
          <w:rPr>
            <w:color w:val="1F3864"/>
            <w:u w:val="single"/>
          </w:rPr>
          <w:t xml:space="preserve">Borenstein (2012)</w:t>
        </w:r>
      </w:hyperlink>
      <w:bookmarkEnd w:id="265"/>
      <w:r>
        <w:t xml:space="preserve"> and </w:t>
      </w:r>
      <w:bookmarkStart w:id="247" w:name="DavisHausman2016txt"/>
      <w:hyperlink w:anchor="DavisHausman2016" w:history="1">
        <w:r>
          <w:rPr>
            <w:color w:val="1F3864"/>
            <w:u w:val="single"/>
          </w:rPr>
          <w:t xml:space="preserve">Davis and Hausman (2016)</w:t>
        </w:r>
      </w:hyperlink>
      <w:bookmarkEnd w:id="247"/>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