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v34  —  July 08, 2026  12:39</w:t>
      </w:r>
    </w:p>
    <w:p>
      <w:pPr>
        <w:spacing w:before="240" w:after="0" w:line="240" w:lineRule="auto"/>
        <w:ind w:firstLine="0" w:left="720" w:right="720"/>
        <w:jc w:val="both"/>
      </w:pPr>
      <w:r>
        <w:rPr>
          <w:b/>
        </w:rPr>
        <w:t>Abstract</w:t>
      </w:r>
      <w:r>
        <w:t>: Can energy-rich developing countries turn cheap electricity into AI compute exports? We develop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Hardware dominates unit costs and is globally priced, leaving only a 12–20 percent cross-country production-cost spread. Modest regulatory, financing, and trust frictions can therefore erase the gains from cheap power. The binding constraint is institutional credibility rather than electricity prices: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developing countries</w:t>
      </w:r>
    </w:p>
    <w:p>
      <w:pPr>
        <w:spacing w:before="0" w:after="0"/>
      </w:pPr>
      <w:r>
        <w:br w:type="page"/>
      </w:r>
    </w:p>
    <w:p>
      <w:pPr>
        <w:pStyle w:val="Heading1"/>
      </w:pPr>
      <w:r>
        <w:rPr>
          <w:rFonts w:ascii="Times New Roman" w:hAnsi="Times New Roman"/>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5" w:name="IEA2025txt"/>
      <w:hyperlink w:anchor="IEA2025" w:history="1">
        <w:r>
          <w:rPr>
            <w:color w:val="1F3864"/>
            <w:u w:val="single"/>
          </w:rPr>
          <w:t xml:space="preserve">IEA 2025</w:t>
        </w:r>
      </w:hyperlink>
      <w:bookmarkEnd w:id="245"/>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6" w:name="Firebird2026txt"/>
      <w:hyperlink w:anchor="Firebird2026" w:history="1">
        <w:r>
          <w:rPr>
            <w:color w:val="1F3864"/>
            <w:u w:val="single"/>
          </w:rPr>
          <w:t xml:space="preserve">Firebird 2026</w:t>
        </w:r>
      </w:hyperlink>
      <w:bookmarkEnd w:id="246"/>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7" w:name="AykutEtAl2026txt"/>
      <w:hyperlink w:anchor="AykutEtAl2026" w:history="1">
        <w:r>
          <w:rPr>
            <w:color w:val="1F3864"/>
            <w:u w:val="single"/>
          </w:rPr>
          <w:t xml:space="preserve">Aykut et al. 2026</w:t>
        </w:r>
      </w:hyperlink>
      <w:bookmarkEnd w:id="247"/>
      <w:r>
        <w:t xml:space="preserve">) and annual cloud computing exports exceeded $9 billion (</w:t>
      </w:r>
      <w:bookmarkStart w:id="263" w:name="WorldBank2025txt"/>
      <w:hyperlink w:anchor="WorldBank2025" w:history="1">
        <w:r>
          <w:rPr>
            <w:color w:val="1F3864"/>
            <w:u w:val="single"/>
          </w:rPr>
          <w:t xml:space="preserve">World Bank 2025</w:t>
        </w:r>
      </w:hyperlink>
      <w:bookmarkEnd w:id="263"/>
      <w:r>
        <w:t xml:space="preserve">).</w:t>
      </w:r>
    </w:p>
    <w:p>
      <w:pPr>
        <w:spacing w:before="0" w:after="160" w:line="360" w:lineRule="auto"/>
        <w:ind w:firstLine="0"/>
        <w:jc w:val="both"/>
      </w:pPr>
      <w:r>
        <w:t xml:space="preserve">Yet the cheapest locations are not the places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2" w:name="AykutEtAl2026txt"/>
      <w:hyperlink w:anchor="AykutEtAl2026" w:history="1">
        <w:r>
          <w:rPr>
            <w:color w:val="1F3864"/>
            <w:u w:val="single"/>
          </w:rPr>
          <w:t xml:space="preserve">Aykut et al. 2026</w:t>
        </w:r>
      </w:hyperlink>
      <w:bookmarkEnd w:id="202"/>
      <w:r>
        <w:t xml:space="preserve">). Cheap electricity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48" w:name="Sastry2024txt"/>
      <w:hyperlink w:anchor="Sastry2024" w:history="1">
        <w:r>
          <w:rPr>
            <w:color w:val="1F3864"/>
            <w:u w:val="single"/>
          </w:rPr>
          <w:t xml:space="preserve">Sastry et al. 2024</w:t>
        </w:r>
      </w:hyperlink>
      <w:bookmarkEnd w:id="248"/>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9" w:name="Pilz2025txt"/>
      <w:hyperlink w:anchor="Pilz2025" w:history="1">
        <w:r>
          <w:rPr>
            <w:color w:val="1F3864"/>
            <w:u w:val="single"/>
          </w:rPr>
          <w:t xml:space="preserve">Pilz et al. 2025</w:t>
        </w:r>
      </w:hyperlink>
      <w:bookmarkEnd w:id="249"/>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do not automatically translate into compute exports. Hardware amortization accounts for roughly 90 percent of the unit cost and is priced globally, so cross-country production cost differences are limited to 12–20 percent. This narrow spread leaves little room for institutional frictions. Under cost-recovery pricing, several developing countries rank among the lowest-cost producers. However, when bilateral sovereignty frictions are introduced, trust deficits with OECD buyers eliminate nearly all of their export potential. Financing costs reinforce this result: a 10-percentage-point WACC gap between OECD hyperscalers and locally financed developing-country operators adds about $0.29 per GPU-hour to unit cost, roughly four times the electricity-cost spread among the top twenty producers (</w:t>
      </w:r>
      <w:bookmarkStart w:id="204" w:name="Calcaterra2024txt"/>
      <w:hyperlink w:anchor="Calcaterra2024" w:history="1">
        <w:r>
          <w:rPr>
            <w:color w:val="1F3864"/>
            <w:u w:val="single"/>
          </w:rPr>
          <w:t xml:space="preserve">Calcaterra et al. 2024</w:t>
        </w:r>
      </w:hyperlink>
      <w:bookmarkEnd w:id="204"/>
      <w:r>
        <w:t xml:space="preserve">). </w:t>
      </w:r>
    </w:p>
    <w:p>
      <w:pPr>
        <w:pStyle w:val="Heading1"/>
      </w:pPr>
      <w:r>
        <w:rPr>
          <w:rFonts w:ascii="Times New Roman" w:hAnsi="Times New Roman"/>
          <w:color w:val="2F5496"/>
          <w:sz w:val="28"/>
        </w:rPr>
        <w:t>2. Related Literature</w:t>
      </w:r>
    </w:p>
    <w:p>
      <w:pPr>
        <w:spacing w:before="0" w:after="160" w:line="360" w:lineRule="auto"/>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50" w:name="Korinek2021txt"/>
      <w:hyperlink w:anchor="Korinek2021" w:history="1">
        <w:r>
          <w:rPr>
            <w:color w:val="1F3864"/>
            <w:u w:val="single"/>
          </w:rPr>
          <w:t xml:space="preserve">Korinek and Stiglitz (2021)</w:t>
        </w:r>
      </w:hyperlink>
      <w:bookmarkEnd w:id="250"/>
      <w:r>
        <w:t xml:space="preserve"> warn that developing countries may be left behind in the AI revolution; FLOP exporting offers a route in. The concept relates to </w:t>
      </w:r>
      <w:bookmarkStart w:id="270" w:name="Hausmann2007txt"/>
      <w:hyperlink w:anchor="Hausmann2007" w:history="1">
        <w:r>
          <w:rPr>
            <w:color w:val="1F3864"/>
            <w:u w:val="single"/>
          </w:rPr>
          <w:t xml:space="preserve">Hausmann et al. (2007)</w:t>
        </w:r>
      </w:hyperlink>
      <w:bookmarkEnd w:id="270"/>
      <w:r>
        <w:t xml:space="preserve"> on export composition and growth, and to </w:t>
      </w:r>
      <w:bookmarkStart w:id="264" w:name="Limao2001txt"/>
      <w:hyperlink w:anchor="Limao2001" w:history="1">
        <w:r>
          <w:rPr>
            <w:color w:val="1F3864"/>
            <w:u w:val="single"/>
          </w:rPr>
          <w:t xml:space="preserve">Limão and Venables (2001)</w:t>
        </w:r>
      </w:hyperlink>
      <w:bookmarkEnd w:id="264"/>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differs from traditional IT services offshoring in factor intensity. It is capital- and energy-intensive rather than labor-intensive, so likely exporters are energy-rich countries rather than labor-abundant ones. The structural difference is that GPUs, the main traded input, are priced globally. Cross-country cost variation therefore comes primarily from electricity and facility costs, which together account for only a small share of unit cost. Comparative advantage in compute is consequently narrower and more fragile than in services offshoring, where labor-cost differences are larger.</w:t>
      </w:r>
    </w:p>
    <w:p>
      <w:pPr>
        <w:spacing w:before="0" w:after="160" w:line="360" w:lineRule="auto"/>
        <w:ind w:firstLine="0"/>
        <w:jc w:val="both"/>
      </w:pPr>
      <w:r>
        <w:t xml:space="preserve">Several studies examine where firms should build data centers.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65" w:name="Liu2023txt"/>
      <w:hyperlink w:anchor="Liu2023" w:history="1">
        <w:r>
          <w:rPr>
            <w:color w:val="1F3864"/>
            <w:u w:val="single"/>
          </w:rPr>
          <w:t xml:space="preserve">Liu et al. (2023)</w:t>
        </w:r>
      </w:hyperlink>
      <w:bookmarkEnd w:id="265"/>
      <w:r>
        <w:t xml:space="preserve"> study data center placement under renewable energy constraints. In international trade theory, </w:t>
      </w:r>
      <w:bookmarkStart w:id="271" w:name="Brainard1997txt"/>
      <w:hyperlink w:anchor="Brainard1997" w:history="1">
        <w:r>
          <w:rPr>
            <w:color w:val="1F3864"/>
            <w:u w:val="single"/>
          </w:rPr>
          <w:t xml:space="preserve">Brainard (1997)</w:t>
        </w:r>
      </w:hyperlink>
      <w:bookmarkEnd w:id="271"/>
      <w:r>
        <w:t xml:space="preserve"> formalizes the proximity-concentration trade-off between serving a market locally and concentrating production abroad. </w:t>
      </w:r>
      <w:bookmarkStart w:id="251" w:name="HMY2004txt"/>
      <w:hyperlink w:anchor="HMY2004" w:history="1">
        <w:r>
          <w:rPr>
            <w:color w:val="1F3864"/>
            <w:u w:val="single"/>
          </w:rPr>
          <w:t xml:space="preserve">Helpman et al. (2004)</w:t>
        </w:r>
      </w:hyperlink>
      <w:bookmarkEnd w:id="251"/>
      <w:r>
        <w:t xml:space="preserve"> extend this to heterogeneous firms choosing between exporting and FDI.</w:t>
      </w:r>
    </w:p>
    <w:p>
      <w:pPr>
        <w:spacing w:before="0" w:after="160" w:line="360" w:lineRule="auto"/>
        <w:ind w:firstLine="0"/>
        <w:jc w:val="both"/>
      </w:pPr>
      <w:r>
        <w:t xml:space="preserve">On governance, </w:t>
      </w:r>
      <w:bookmarkStart w:id="252" w:name="Sastry2024txt"/>
      <w:hyperlink w:anchor="Sastry2024" w:history="1">
        <w:r>
          <w:rPr>
            <w:color w:val="1F3864"/>
            <w:u w:val="single"/>
          </w:rPr>
          <w:t xml:space="preserve">Sastry et al. (2024)</w:t>
        </w:r>
      </w:hyperlink>
      <w:bookmarkEnd w:id="252"/>
      <w:r>
        <w:t xml:space="preserve"> argue that compute is well-suited for regulation. </w:t>
      </w:r>
      <w:bookmarkStart w:id="208" w:name="Lehdonvirta2024txt"/>
      <w:hyperlink w:anchor="Lehdonvirta2024" w:history="1">
        <w:r>
          <w:rPr>
            <w:color w:val="1F3864"/>
            <w:u w:val="single"/>
          </w:rPr>
          <w:t xml:space="preserve">Lehdonvirta et al. (2024)</w:t>
        </w:r>
      </w:hyperlink>
      <w:bookmarkEnd w:id="208"/>
      <w:r>
        <w:t xml:space="preserve"> map a “Compute North” with training-capable hardware versus a “Compute South” limited to inference chips. </w:t>
      </w:r>
      <w:bookmarkStart w:id="266" w:name="Pilz2025txt"/>
      <w:hyperlink w:anchor="Pilz2025" w:history="1">
        <w:r>
          <w:rPr>
            <w:color w:val="1F3864"/>
            <w:u w:val="single"/>
          </w:rPr>
          <w:t xml:space="preserve">Pilz et al. (2025)</w:t>
        </w:r>
      </w:hyperlink>
      <w:bookmarkEnd w:id="266"/>
      <w:r>
        <w:t xml:space="preserve"> project that data center power demand could reach 327 GW by 2030. The </w:t>
      </w:r>
      <w:bookmarkStart w:id="272" w:name="WorldBank2025txt"/>
      <w:hyperlink w:anchor="WorldBank2025" w:history="1">
        <w:r>
          <w:rPr>
            <w:color w:val="1F3864"/>
            <w:u w:val="single"/>
          </w:rPr>
          <w:t xml:space="preserve">World Bank (2025)</w:t>
        </w:r>
      </w:hyperlink>
      <w:bookmarkEnd w:id="272"/>
      <w:r>
        <w:t xml:space="preserve"> documents the resulting divide (high-income countries hold 77 percent of colocation capacity), but does not offer a formal framework linking costs to trade patterns. </w:t>
      </w:r>
      <w:bookmarkStart w:id="253" w:name="Biglaiser2024txt"/>
      <w:hyperlink w:anchor="Biglaiser2024" w:history="1">
        <w:r>
          <w:rPr>
            <w:color w:val="1F3864"/>
            <w:u w:val="single"/>
          </w:rPr>
          <w:t xml:space="preserve">Biglaiser et al. (2024)</w:t>
        </w:r>
      </w:hyperlink>
      <w:bookmarkEnd w:id="253"/>
      <w:r>
        <w:t xml:space="preserve"> survey the cloud market in IO, and </w:t>
      </w:r>
      <w:bookmarkStart w:id="267" w:name="Stojkoski2024txt"/>
      <w:hyperlink w:anchor="Stojkoski2024" w:history="1">
        <w:r>
          <w:rPr>
            <w:color w:val="1F3864"/>
            <w:u w:val="single"/>
          </w:rPr>
          <w:t xml:space="preserve">Stojkoski et al. (2024)</w:t>
        </w:r>
      </w:hyperlink>
      <w:bookmarkEnd w:id="267"/>
      <w:r>
        <w:t xml:space="preserve"> estimate cloud export geography but treat services as homogeneous. Our model adds supply-side cost structure and a training–inference distinction.</w:t>
      </w:r>
    </w:p>
    <w:p>
      <w:pPr>
        <w:pStyle w:val="Heading1"/>
      </w:pPr>
      <w:r>
        <w:rPr>
          <w:rFonts w:ascii="Times New Roman" w:hAnsi="Times New Roman"/>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09" w:name="Heckscher1919txt"/>
      <w:hyperlink w:anchor="Heckscher1919" w:history="1">
        <w:r>
          <w:rPr>
            <w:color w:val="1F3864"/>
            <w:u w:val="single"/>
          </w:rPr>
          <w:t xml:space="preserve">Heckscher 1919</w:t>
        </w:r>
      </w:hyperlink>
      <w:bookmarkEnd w:id="209"/>
      <w:r>
        <w:t xml:space="preserve">, </w:t>
      </w:r>
      <w:bookmarkStart w:id="254" w:name="Ohlin1933txt"/>
      <w:hyperlink w:anchor="Ohlin1933" w:history="1">
        <w:r>
          <w:rPr>
            <w:color w:val="1F3864"/>
            <w:u w:val="single"/>
          </w:rPr>
          <w:t xml:space="preserve">Ohlin 1933</w:t>
        </w:r>
      </w:hyperlink>
      <w:bookmarkEnd w:id="254"/>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1" w:name="AndersonVanWincoop2003txt"/>
      <w:hyperlink w:anchor="AndersonVanWincoop2003" w:history="1">
        <w:r>
          <w:rPr>
            <w:color w:val="1F3864"/>
            <w:u w:val="single"/>
          </w:rPr>
          <w:t xml:space="preserve">Anderson and van Wincoop 2003</w:t>
        </w:r>
      </w:hyperlink>
      <w:bookmarkEnd w:id="211"/>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2" w:name="BenzJaax2020txt"/>
      <w:hyperlink w:anchor="BenzJaax2020" w:history="1">
        <w:r>
          <w:rPr>
            <w:color w:val="1F3864"/>
            <w:u w:val="single"/>
          </w:rPr>
          <w:t xml:space="preserve">Benz and Jaax (2020)</w:t>
        </w:r>
      </w:hyperlink>
      <w:bookmarkEnd w:id="212"/>
      <w:r>
        <w:t xml:space="preserve">.</w:t>
      </w:r>
    </w:p>
    <w:p>
      <w:pPr>
        <w:spacing w:before="0" w:after="80" w:line="360" w:lineRule="auto"/>
        <w:ind w:firstLine="0"/>
        <w:jc w:val="both"/>
      </w:pPr>
      <w:r>
        <w:t xml:space="preserve">The wedge dependence on bilateral institutional alignment follows from the incomplete-contracts theory (</w:t>
      </w:r>
      <w:bookmarkStart w:id="213" w:name="AndersonMarcouiller2002txt"/>
      <w:hyperlink w:anchor="AndersonMarcouiller2002" w:history="1">
        <w:r>
          <w:rPr>
            <w:color w:val="1F3864"/>
            <w:u w:val="single"/>
          </w:rPr>
          <w:t xml:space="preserve">Anderson and Marcouiller 2002</w:t>
        </w:r>
      </w:hyperlink>
      <w:bookmarkEnd w:id="213"/>
      <w:r>
        <w:t xml:space="preserve">, </w:t>
      </w:r>
      <w:bookmarkStart w:id="255" w:name="Antras2003txt"/>
      <w:hyperlink w:anchor="Antras2003" w:history="1">
        <w:r>
          <w:rPr>
            <w:color w:val="1F3864"/>
            <w:u w:val="single"/>
          </w:rPr>
          <w:t xml:space="preserve">Antràs 2003</w:t>
        </w:r>
      </w:hyperlink>
      <w:bookmarkEnd w:id="255"/>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That activity is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Whether these countries attract investment also depends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In practice, AWS, Azure, and Google Cloud dominate the cloud compute market, and their location choices reflect scale economies and colocation effects that the competitive model does not capture.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in more detail.</w:t>
      </w:r>
    </w:p>
    <w:p>
      <w:pPr>
        <w:pStyle w:val="Heading1"/>
      </w:pPr>
      <w:r>
        <w:rPr>
          <w:rFonts w:ascii="Times New Roman" w:hAnsi="Times New Roman"/>
          <w:color w:val="2F5496"/>
          <w:sz w:val="28"/>
        </w:rPr>
        <w:t>4. Equilibrium Properties</w:t>
      </w:r>
    </w:p>
    <w:p>
      <w:pPr>
        <w:spacing w:before="0" w:after="160" w:line="360" w:lineRule="auto"/>
        <w:ind w:firstLine="0"/>
        <w:jc w:val="both"/>
      </w:pPr>
      <w:r>
        <w:t>This section derives the properties of the capacity-constrained equilibrium introduced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model rules out the remaining four combinations. A training exporter cannot simultaneously produce inference domestically or import inference.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The sovereignty premium that justifies domestic training also justifies domestic inference production, which faces latency degradation when imported. A country that produces training domestically while exporting inference would need both a strong domestic-sovereignty motive and very low costs. The model’s cost ordering rules out that combination.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In the training market, define the Herfindahl–Hirschman Index (HHI) as a measure of market concentration that is equal to the sum of squared market shares: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5" w:name="Eurostat2025txt"/>
      <w:hyperlink w:anchor="Eurostat2025" w:history="1">
        <w:r>
          <w:rPr>
            <w:color w:val="1F3864"/>
            <w:u w:val="single"/>
          </w:rPr>
          <w:t xml:space="preserve">Eurostat 2025</w:t>
        </w:r>
      </w:hyperlink>
      <w:bookmarkEnd w:id="215"/>
      <w:r>
        <w:t xml:space="preserve">). For non-European countries, prices are sourced from national regulatory tariff sheets and secondary sources. These include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w:t>
      </w:r>
      <w:r>
        <w:rPr>
          <w:rStyle w:val="FootnoteReference"/>
        </w:rPr>
        <w:footnoteReference w:id="24"/>
      </w:r>
      <w:r>
        <w:t xml:space="preserve"> national utility tariffs for Central Asian countries, and </w:t>
      </w:r>
      <w:bookmarkStart w:id="216" w:name="GlobalPetrolPrices2025txt"/>
      <w:hyperlink w:anchor="GlobalPetrolPrices2025" w:history="1">
        <w:r>
          <w:rPr>
            <w:color w:val="1F3864"/>
            <w:u w:val="single"/>
          </w:rPr>
          <w:t xml:space="preserve">GlobalPetrolPrices (2025)</w:t>
        </w:r>
      </w:hyperlink>
      <w:bookmarkEnd w:id="216"/>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8" w:name="TurnerTownsend2025txt"/>
      <w:hyperlink w:anchor="TurnerTownsend2025" w:history="1">
        <w:r>
          <w:rPr>
            <w:color w:val="1F3864"/>
            <w:u w:val="single"/>
          </w:rPr>
          <w:t xml:space="preserve">Turner &amp; Townsend 2025</w:t>
        </w:r>
      </w:hyperlink>
      <w:bookmarkEnd w:id="218"/>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0" w:name="Cloudscene2025txt"/>
      <w:hyperlink w:anchor="Cloudscene2025" w:history="1">
        <w:r>
          <w:rPr>
            <w:color w:val="1F3864"/>
            <w:u w:val="single"/>
          </w:rPr>
          <w:t xml:space="preserve">Cloudscene 2025</w:t>
        </w:r>
      </w:hyperlink>
      <w:bookmarkEnd w:id="220"/>
      <w:r>
        <w:t xml:space="preserve">) and regional averages.</w:t>
      </w:r>
    </w:p>
    <w:p>
      <w:pPr>
        <w:spacing w:before="0" w:after="160" w:line="360" w:lineRule="auto"/>
        <w:ind w:firstLine="0"/>
        <w:jc w:val="both"/>
      </w:pPr>
      <w:r>
        <w:t>Bilateral compute-trade data are not yet available, so we calibrate the model from hardware prices, electricity tariffs, and facility-cost coefficients rather than estimating it from observed trade flows. The calibration identifies the conditions under which FLOP exporting becomes viable. It also provides a framework that can be taken to gravity-style estimation as transaction-level data emerge.</w:t>
      </w:r>
    </w:p>
    <w:p>
      <w:pPr>
        <w:pStyle w:val="Heading1"/>
      </w:pPr>
      <w:r>
        <w:rPr>
          <w:rFonts w:ascii="Times New Roman" w:hAnsi="Times New Roman"/>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1" w:name="Google2024txt"/>
      <w:hyperlink w:anchor="Google2024" w:history="1">
        <w:r>
          <w:rPr>
            <w:color w:val="1F3864"/>
            <w:u w:val="single"/>
          </w:rPr>
          <w:t xml:space="preserve">Google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outdoor temperature above which mechanical cooling is needed, below which free-air cooling suffices. These assumptions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4" w:name="Barroso2018txt"/>
      <w:hyperlink w:anchor="Barroso2018" w:history="1">
        <w:r>
          <w:rPr>
            <w:color w:val="1F3864"/>
            <w:u w:val="single"/>
          </w:rPr>
          <w:t xml:space="preserve">Barroso et al. 2018</w:t>
        </w:r>
      </w:hyperlink>
      <w:bookmarkEnd w:id="224"/>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5" w:name="Barroso2018txt"/>
      <w:hyperlink w:anchor="Barroso2018" w:history="1">
        <w:r>
          <w:rPr>
            <w:color w:val="1F3864"/>
            <w:u w:val="single"/>
          </w:rPr>
          <w:t xml:space="preserve">Barroso et al. 2018</w:t>
        </w:r>
      </w:hyperlink>
      <w:bookmarkEnd w:id="225"/>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6" w:name="Deloitte2020txt"/>
      <w:hyperlink w:anchor="Deloitte2020" w:history="1">
        <w:r>
          <w:rPr>
            <w:color w:val="1F3864"/>
            <w:u w:val="single"/>
          </w:rPr>
          <w:t xml:space="preserve">Deloitte and Google (2020)</w:t>
        </w:r>
      </w:hyperlink>
      <w:bookmarkEnd w:id="226"/>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for non-adversarial services trade remains below </w:t>
      </w:r>
      <w:bookmarkStart w:id="227" w:name="BenzJaax2020txt"/>
      <w:hyperlink w:anchor="BenzJaax2020" w:history="1">
        <w:r>
          <w:rPr>
            <w:color w:val="1F3864"/>
            <w:u w:val="single"/>
          </w:rPr>
          <w:t xml:space="preserve">Benz and Jaax (2020)</w:t>
        </w:r>
      </w:hyperlink>
      <w:bookmarkEnd w:id="227"/>
      <w:r>
        <w:t xml:space="preserve"> 16 percent upper bound for regulatory barriers in communication services.</w:t>
      </w:r>
      <w:r>
        <w:rPr>
          <w:rStyle w:val="FootnoteReference"/>
        </w:rPr>
        <w:footnoteReference w:id="15"/>
      </w:r>
      <w:r>
        <w:t xml:space="preserve"> Table 3 also reports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8" w:name="Deloitte2025txt"/>
      <w:hyperlink w:anchor="Deloitte2025" w:history="1">
        <w:r>
          <w:rPr>
            <w:color w:val="1F3864"/>
            <w:u w:val="single"/>
          </w:rPr>
          <w:t xml:space="preserve">Deloitte 2025</w:t>
        </w:r>
      </w:hyperlink>
      <w:bookmarkEnd w:id="228"/>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This ranking, however, overstates the role of production-cost advantage.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7" w:name="IMF2025txt"/>
      <w:hyperlink w:anchor="IMF2025" w:history="1">
        <w:r>
          <w:rPr>
            <w:color w:val="1F3864"/>
            <w:u w:val="single"/>
          </w:rPr>
          <w:t xml:space="preserve">IMF 2025</w:t>
        </w:r>
      </w:hyperlink>
      <w:bookmarkEnd w:id="257"/>
      <w:r>
        <w:t xml:space="preserve">, </w:t>
      </w:r>
      <w:bookmarkStart w:id="229" w:name="Lazard2025txt"/>
      <w:hyperlink w:anchor="Lazard2025" w:history="1">
        <w:r>
          <w:rPr>
            <w:color w:val="1F3864"/>
            <w:u w:val="single"/>
          </w:rPr>
          <w:t xml:space="preserve">Lazard 2025</w:t>
        </w:r>
      </w:hyperlink>
      <w:bookmarkEnd w:id="229"/>
      <w:r>
        <w:t xml:space="preserve">). We apply this adjustment to 13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Eight of the twenty cheapest producers have under 100 MW of installed capacity (e.g., Kyrgyzstan: rank 1, 5 MW), while countries outside the top twenty host large clusters (Netherlands: rank 67, 1,800 MW; Ireland: rank 83, 1,260 MW). Thus, the cost ranking should be interpreted as the set of feasible exporters, not as a prediction of realized investment.</w:t>
      </w:r>
    </w:p>
    <w:p>
      <w:pPr>
        <w:spacing w:before="0" w:after="160" w:line="360" w:lineRule="auto"/>
        <w:ind w:firstLine="0"/>
        <w:jc w:val="both"/>
      </w:pPr>
      <w:r>
        <w:t xml:space="preserve">Data-center FDI patterns support this interpretation.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8" w:name="AykutEtAl2026txt"/>
      <w:hyperlink w:anchor="AykutEtAl2026" w:history="1">
        <w:r>
          <w:rPr>
            <w:color w:val="1F3864"/>
            <w:u w:val="single"/>
          </w:rPr>
          <w:t xml:space="preserve">Aykut et al. 2026</w:t>
        </w:r>
      </w:hyperlink>
      <w:bookmarkEnd w:id="268"/>
      <w:r>
        <w:t xml:space="preserve">). Most investment flows occur between geopolitical allies. This pattern is consistent with the bilateral sovereignty premium and suggests that cost alone does not determine where capacity is built (</w:t>
      </w:r>
      <w:bookmarkStart w:id="258" w:name="StraubEtAl2026txt"/>
      <w:hyperlink w:anchor="StraubEtAl2026" w:history="1">
        <w:r>
          <w:rPr>
            <w:color w:val="1F3864"/>
            <w:u w:val="single"/>
          </w:rPr>
          <w:t xml:space="preserve">Straub et al. 2026</w:t>
        </w:r>
      </w:hyperlink>
      <w:bookmarkEnd w:id="258"/>
      <w:r>
        <w:t xml:space="preserve">). Econometric evidence shows that electricity costs do not predict data-center location once market size and the regulatory environment are controlled for (</w:t>
      </w:r>
      <w:bookmarkStart w:id="230" w:name="CaouiSteck2025txt"/>
      <w:hyperlink w:anchor="CaouiSteck2025" w:history="1">
        <w:r>
          <w:rPr>
            <w:color w:val="1F3864"/>
            <w:u w:val="single"/>
          </w:rPr>
          <w:t xml:space="preserve">Caoui and Steck 2025</w:t>
        </w:r>
      </w:hyperlink>
      <w:bookmarkEnd w:id="230"/>
      <w:r>
        <w:t xml:space="preserve">).</w:t>
      </w:r>
    </w:p>
    <w:p>
      <w:pPr>
        <w:spacing w:before="0" w:after="160" w:line="360" w:lineRule="auto"/>
        <w:ind w:firstLine="0"/>
        <w:jc w:val="both"/>
      </w:pPr>
      <w:r>
        <w:t xml:space="preserve">Policy-readiness indicators reinforce this interpretation. Economies with advanced AI and cloud strategies—such as Singapore, Australia, Japan, and South Korea—record estimated economic impacts from AI and cloud investment of 3–4 percent of GDP, compared with less than 1 percent in Indonesia and Viet Nam (</w:t>
      </w:r>
      <w:bookmarkStart w:id="259" w:name="KatzEtAl2025txt"/>
      <w:hyperlink w:anchor="KatzEtAl2025" w:history="1">
        <w:r>
          <w:rPr>
            <w:color w:val="1F3864"/>
            <w:u w:val="single"/>
          </w:rPr>
          <w:t xml:space="preserve">Katz et al. 2025</w:t>
        </w:r>
      </w:hyperlink>
      <w:bookmarkEnd w:id="259"/>
      <w:r>
        <w:t xml:space="preserve">). In the model, institutional quality stands in for the complementary investments that separate these groups: digital skills, regulatory predictability, and grid modernization. Countries that align digital strategies with energy-sector planning are becoming preferred destinations for hyperscalers. Examples include Malaysia’s National Energy Transition Roadmap, Brazil’s electricity mix of more than 80 percent renewables, and the UAE’s nuclear- and solar-powered AI hubs. These cases are consistent with the model’s prediction that moderate costs can attract investment when paired with credible institutions (</w:t>
      </w:r>
      <w:bookmarkStart w:id="231" w:name="AykutEtAl2026txt"/>
      <w:hyperlink w:anchor="AykutEtAl2026" w:history="1">
        <w:r>
          <w:rPr>
            <w:color w:val="1F3864"/>
            <w:u w:val="single"/>
          </w:rPr>
          <w:t xml:space="preserve">Aykut et al. 2026</w:t>
        </w:r>
      </w:hyperlink>
      <w:bookmarkEnd w:id="231"/>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has the strongest effect on inference. Within Europe, latency raises costs by 1–3 percent, so a small sovereignty premium can shift sourcing from foreign suppliers to domestic production.</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rFonts w:ascii="Times New Roman" w:hAnsi="Times New Roman"/>
          <w:b w:val="0"/>
          <w:i/>
          <w:sz w:val="24"/>
        </w:rPr>
        <w:t xml:space="preserve">Major demand centers. </w:t>
      </w:r>
      <w:r>
        <w:t xml:space="preserve">The model’s predictions differ across major AI demand centers because each faces a distinct latency geography. For the United States, the cost-recovery equilibrium sources training from the lowest-cost available producer and inference from Canada. </w:t>
      </w:r>
      <w:r>
        <w:t xml:space="preserve">For Germany, France, and the United Kingdom, inference is sourced from Kosovo. </w:t>
      </w:r>
      <w:r>
        <w:t>For China, the lowest-cost foreign inference supplier is Kyrgyzstan. Inference supply therefore clusters around latency-constrained regional hubs, with each major market served by a nearby low-cost producer.</w:t>
      </w:r>
    </w:p>
    <w:p>
      <w:pPr>
        <w:spacing w:before="0" w:after="160" w:line="360" w:lineRule="auto"/>
        <w:ind w:firstLine="0"/>
        <w:jc w:val="both"/>
      </w:pPr>
      <w:r>
        <w:t xml:space="preserve">Among these demand centers, China illustrates the DD regime. China hosts one of the world’s largest data-center markets. Yet almost all capacity is built and financed by domestic technology firms and state-owned operators, including Alibaba Cloud, Tencent, Baidu, and China Telecom (</w:t>
      </w:r>
      <w:bookmarkStart w:id="232" w:name="AykutEtAl2026txt"/>
      <w:hyperlink w:anchor="AykutEtAl2026" w:history="1">
        <w:r>
          <w:rPr>
            <w:color w:val="1F3864"/>
            <w:u w:val="single"/>
          </w:rPr>
          <w:t xml:space="preserve">Aykut et al. 2026</w:t>
        </w:r>
      </w:hyperlink>
      <w:bookmarkEnd w:id="232"/>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support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respond less to sovereignty premia because nearby suppliers retain a latency advantage.</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3" w:name="EatonKortum2002txt"/>
      <w:hyperlink w:anchor="EatonKortum2002" w:history="1">
        <w:r>
          <w:rPr>
            <w:color w:val="1F3864"/>
            <w:u w:val="single"/>
          </w:rPr>
          <w:t xml:space="preserve">Eaton and Kortum 2002</w:t>
        </w:r>
      </w:hyperlink>
      <w:bookmarkEnd w:id="233"/>
      <w:r>
        <w:t xml:space="preserve">, </w:t>
      </w:r>
      <w:bookmarkStart w:id="260" w:name="ACR2012txt"/>
      <w:hyperlink w:anchor="ACR2012" w:history="1">
        <w:r>
          <w:rPr>
            <w:color w:val="1F3864"/>
            <w:u w:val="single"/>
          </w:rPr>
          <w:t xml:space="preserve">Arkolakis et al. 2012</w:t>
        </w:r>
      </w:hyperlink>
      <w:bookmarkEnd w:id="260"/>
      <w:r>
        <w:t xml:space="preserve">). At current demand levels (approximately 6 × 10¹⁰ GPU-hours at $1.50/hr), this amounts to roughly $1.44 billion per year. At this scale, governments can rationally choose domestic production for sensitive workloads. Examples include military applications, health records, and national statistical systems.</w:t>
      </w:r>
    </w:p>
    <w:p>
      <w:pPr>
        <w:spacing w:before="0" w:after="160" w:line="360" w:lineRule="auto"/>
        <w:ind w:firstLine="0"/>
        <w:jc w:val="both"/>
      </w:pPr>
      <w:r>
        <w:t>The welfare implications depend on whether the sovereignty premium reflects genuine security concerns or overly broad regulation. Domestic processing may be justified for confidential data, but current policy often extends sovereignty logic to routine commercial computation. In the model, the bilateral premium shifts most countries toward domestic production, reducing the gains from specialization. The welfare cost is large in dollar terms but small relative to total compute spending. Because part of the premium reflects weak international data governance, enforceable data-protection agreements, such as those within the EU, reduce it. In their absence, even commercial buyers have reason to choose domestic processing over cheaper foreign supply.</w:t>
      </w:r>
    </w:p>
    <w:p>
      <w:pPr>
        <w:spacing w:before="0" w:after="160" w:line="360" w:lineRule="auto"/>
        <w:ind w:firstLine="0"/>
        <w:jc w:val="both"/>
      </w:pPr>
      <w:r>
        <w:t xml:space="preserve">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4" w:name="WorldBank2025txt"/>
      <w:hyperlink w:anchor="WorldBank2025" w:history="1">
        <w:r>
          <w:rPr>
            <w:color w:val="1F3864"/>
            <w:u w:val="single"/>
          </w:rPr>
          <w:t xml:space="preserve">World Bank (2025)</w:t>
        </w:r>
      </w:hyperlink>
      <w:bookmarkEnd w:id="234"/>
      <w:r>
        <w:t xml:space="preserve"> frames this as a core policy trade-off: building domestic capacity versus securing affordable access to international cloud services.</w:t>
      </w:r>
    </w:p>
    <w:p>
      <w:pPr>
        <w:pStyle w:val="Heading1"/>
      </w:pPr>
      <w:r>
        <w:rPr>
          <w:rFonts w:ascii="Times New Roman" w:hAnsi="Times New Roman"/>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that vary the share of hardware costs.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This expands trade volumes but reduces exporter rents.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changes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cross-country heterogeneity.</w:t>
      </w:r>
    </w:p>
    <w:p>
      <w:pPr>
        <w:spacing w:before="0" w:after="160" w:line="360" w:lineRule="auto"/>
        <w:ind w:firstLine="0"/>
        <w:jc w:val="both"/>
      </w:pPr>
      <w:r>
        <w:rPr>
          <w:rFonts w:ascii="Times New Roman" w:hAnsi="Times New Roman"/>
          <w:b w:val="0"/>
          <w:i/>
          <w:sz w:val="24"/>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Tiering primarily affects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5" w:name="Chandramowli2024txt"/>
      <w:hyperlink w:anchor="Chandramowli2024" w:history="1">
        <w:r>
          <w:rPr>
            <w:color w:val="1F3864"/>
            <w:u w:val="single"/>
          </w:rPr>
          <w:t xml:space="preserve">Chandramowli et al. 2024</w:t>
        </w:r>
      </w:hyperlink>
      <w:bookmarkEnd w:id="235"/>
      <w:r>
        <w:t xml:space="preserve">), and AI data-center expansion alone could increase retail prices by 8–9 percent by 2030 (</w:t>
      </w:r>
      <w:bookmarkStart w:id="269" w:name="IMF2025txt"/>
      <w:hyperlink w:anchor="IMF2025" w:history="1">
        <w:r>
          <w:rPr>
            <w:color w:val="1F3864"/>
            <w:u w:val="single"/>
          </w:rPr>
          <w:t xml:space="preserve">IMF 2025</w:t>
        </w:r>
      </w:hyperlink>
      <w:bookmarkEnd w:id="269"/>
      <w:r>
        <w:t xml:space="preserve">). </w:t>
      </w:r>
      <w:bookmarkStart w:id="261" w:name="AlvarezEtAl2026txt"/>
      <w:hyperlink w:anchor="AlvarezEtAl2026" w:history="1">
        <w:r>
          <w:rPr>
            <w:color w:val="1F3864"/>
            <w:u w:val="single"/>
          </w:rPr>
          <w:t xml:space="preserve">Alvarez et al. (2026)</w:t>
        </w:r>
      </w:hyperlink>
      <w:bookmarkEnd w:id="261"/>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would likely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specification is standard in the services trade, but it simplifies how sovereignty frictions operate. Many sovereignty frictions are closer to fixed entry costs than to variable markups. Cloud security certifications, sanctions screening, export control compliance, and bilateral digital 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extensions would likely make entry harder for developing-country exporters, so they should strengthen rather than weaken the main result.</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bookmarkStart w:id="236" w:name="Calcaterra2024txt"/>
      <w:hyperlink w:anchor="Calcaterra2024" w:history="1">
        <w:r>
          <w:rPr>
            <w:color w:val="1F3864"/>
            <w:u w:val="single"/>
          </w:rPr>
          <w:t xml:space="preserve">Calcaterra et al. 2024</w:t>
        </w:r>
      </w:hyperlink>
      <w:bookmarkEnd w:id="236"/>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financial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For this reason, Column (4) is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Edge computing could relax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may become less concentrated, and more countries could serve regional demand. For EMDEs with weak grid infrastructure but adequate mobile connectivity, edge computing may offer a leapfrogging path that bypasses the grid bottlenecks central to the model (</w:t>
      </w:r>
      <w:bookmarkStart w:id="237" w:name="AykutEtAl2026txt"/>
      <w:hyperlink w:anchor="AykutEtAl2026" w:history="1">
        <w:r>
          <w:rPr>
            <w:color w:val="1F3864"/>
            <w:u w:val="single"/>
          </w:rPr>
          <w:t xml:space="preserve">Aykut et al. 2026</w:t>
        </w:r>
      </w:hyperlink>
      <w:bookmarkEnd w:id="237"/>
      <w:r>
        <w:t xml:space="preserve">). A fuller trade model could distinguish centralized GPU clusters for training from distributed edge nodes for inference.</w:t>
      </w:r>
    </w:p>
    <w:p>
      <w:pPr>
        <w:pStyle w:val="Heading1"/>
      </w:pPr>
      <w:r>
        <w:rPr>
          <w:rFonts w:ascii="Times New Roman" w:hAnsi="Times New Roman"/>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differences in production costs.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developing countries pursuing compute exports, the binding policy levers lie mostly outside the electricity tariffs. The first is financing. Because hardware dominates the cost stack, differences in the weighted average cost of capital can exceed the energy-cost advantage by several times. Sovereign guarantees, blended finance, multilateral risk insurance, and hyperscaler co-investment can therefore narrow the competitiveness gap more than any feasible reduction in electricity tariffs. The second lever is regulatory credibility. Data-adequacy status, mutual recognition agreements, and recognized cloud security certifications reduce the trust premium applied by foreign buyers. Broad data-localization mandates raise that premium and can foreclose export opportunities.</w:t>
      </w:r>
    </w:p>
    <w:p>
      <w:pPr>
        <w:spacing w:before="0" w:after="160" w:line="360" w:lineRule="auto"/>
        <w:ind w:firstLine="0"/>
        <w:jc w:val="both"/>
      </w:pPr>
      <w:r>
        <w:t>The final policy question is how much surplus the host country captures. The Kyrgyzstan facility in Appendix D is NPV-positive, but under full foreign-hyperscaler ownership, the host country retains little beyond electricity payments and construction-phase jobs. The domestic share of operating surplus depends on taxation, equity participation, and royalty terms. Cheap energy can make a country cost-competitive,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imported equipment converts local energy into an exportable digital service with minimal domestic labor input. Unlike extractive commodities, the energy input can be renewable, and demand for compute is growing faster than demand for most physical commodities. Still, the resource-curse literature remains relevant because concentrated compute-export revenues can generate exchange-rate pressure, institutional risks, and exposure to demand cycles. Whether these risks materialize depends on ownership structures, fiscal arrangements, and domestic rent capture. As bilateral compute-trade data become available, this framework can be estimated using gravity-style methods.</w:t>
      </w:r>
    </w:p>
    <w:p>
      <w:pPr>
        <w:pStyle w:val="Heading1"/>
        <w:pageBreakBefore/>
      </w:pPr>
      <w:r>
        <w:rPr>
          <w:rFonts w:ascii="Times New Roman" w:hAnsi="Times New Roman"/>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8" w:name="WorldBank2024txt"/>
      <w:hyperlink w:anchor="WorldBank2024" w:history="1">
        <w:r>
          <w:rPr>
            <w:color w:val="1F3864"/>
            <w:u w:val="single"/>
          </w:rPr>
          <w:t xml:space="preserve">World Bank</w:t>
        </w:r>
      </w:hyperlink>
      <w:bookmarkEnd w:id="238"/>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 Designing Warehouse-Scale Machines</w:t>
      </w:r>
      <w:r>
        <w:t>,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orenstein2012"/>
      <w:hyperlink w:anchor="Borenstein2012txt" w:history="1">
        <w:r>
          <w:rPr>
            <w:color w:val="1F3864"/>
            <w:u w:val="single"/>
          </w:rPr>
          <w:t xml:space="preserve">Borenstein, S. (2012). </w:t>
        </w:r>
      </w:hyperlink>
      <w:r>
        <w:t xml:space="preserve">“The Redistributional Impact of Nonlinear Electricity Pricing.” </w:t>
      </w:r>
      <w:r>
        <w:rPr>
          <w:i/>
        </w:rPr>
        <w:t>American Economic Journal: Economic Policy</w:t>
      </w:r>
      <w:r>
        <w:t>, 4(3): 56–90.</w:t>
      </w:r>
      <w:bookmarkEnd w:id="512"/>
    </w:p>
    <w:p>
      <w:pPr>
        <w:spacing w:before="0" w:after="80" w:line="240" w:lineRule="exact"/>
        <w:ind w:hanging="720" w:left="720"/>
        <w:jc w:val="both"/>
      </w:pPr>
      <w:bookmarkStart w:id="51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3"/>
    </w:p>
    <w:p>
      <w:pPr>
        <w:spacing w:before="0" w:after="80" w:line="240" w:lineRule="exact"/>
        <w:ind w:hanging="720" w:left="720"/>
        <w:jc w:val="both"/>
      </w:pPr>
      <w:bookmarkStart w:id="514" w:name="Calcaterra2024"/>
      <w:hyperlink w:anchor="Calcaterra2024txt" w:history="1">
        <w:r>
          <w:rPr>
            <w:color w:val="1F3864"/>
            <w:u w:val="single"/>
          </w:rPr>
          <w:t xml:space="preserve">Calcaterra, M., Reis, L., Fragkos, P., Briera, T., Boer, H., Egli, F., et al. (2024). </w:t>
        </w:r>
      </w:hyperlink>
      <w:r>
        <w:t xml:space="preserve">“Reducing the Cost of Capital to Finance the Energy Transition in Developing Countries.” </w:t>
      </w:r>
      <w:r>
        <w:rPr>
          <w:i/>
        </w:rPr>
        <w:t>Nature Energy</w:t>
      </w:r>
      <w:r>
        <w:t>, 9(10): 1241–1251.</w:t>
      </w:r>
      <w:bookmarkEnd w:id="514"/>
    </w:p>
    <w:p>
      <w:pPr>
        <w:spacing w:before="0" w:after="80" w:line="240" w:lineRule="exact"/>
        <w:ind w:hanging="720" w:left="720"/>
        <w:jc w:val="both"/>
      </w:pPr>
      <w:bookmarkStart w:id="515"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5"/>
    </w:p>
    <w:p>
      <w:pPr>
        <w:spacing w:before="0" w:after="80" w:line="240" w:lineRule="exact"/>
        <w:ind w:hanging="720" w:left="720"/>
        <w:jc w:val="both"/>
      </w:pPr>
      <w:bookmarkStart w:id="516"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6"/>
    </w:p>
    <w:p>
      <w:pPr>
        <w:spacing w:before="0" w:after="80" w:line="240" w:lineRule="exact"/>
        <w:ind w:hanging="720" w:left="720"/>
        <w:jc w:val="both"/>
      </w:pPr>
      <w:bookmarkStart w:id="51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7"/>
    </w:p>
    <w:p>
      <w:pPr>
        <w:spacing w:before="0" w:after="80" w:line="240" w:lineRule="exact"/>
        <w:ind w:hanging="720" w:left="720"/>
        <w:jc w:val="both"/>
      </w:pPr>
      <w:bookmarkStart w:id="518" w:name="DavisHausman2016"/>
      <w:hyperlink w:anchor="DavisHausman2016txt" w:history="1">
        <w:r>
          <w:rPr>
            <w:color w:val="1F3864"/>
            <w:u w:val="single"/>
          </w:rPr>
          <w:t xml:space="preserve">Davis, L., and C. Hausman. (2016). </w:t>
        </w:r>
      </w:hyperlink>
      <w:r>
        <w:t xml:space="preserve">“Market Impacts of a Nuclear Power Plant Closure.” </w:t>
      </w:r>
      <w:r>
        <w:rPr>
          <w:i/>
        </w:rPr>
        <w:t>American Economic Journal: Applied Economics</w:t>
      </w:r>
      <w:r>
        <w:t>, 8(2): 92–122.</w:t>
      </w:r>
      <w:bookmarkEnd w:id="518"/>
    </w:p>
    <w:p>
      <w:pPr>
        <w:spacing w:before="0" w:after="80" w:line="240" w:lineRule="exact"/>
        <w:ind w:hanging="720" w:left="720"/>
        <w:jc w:val="both"/>
      </w:pPr>
      <w:bookmarkStart w:id="51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9"/>
    </w:p>
    <w:p>
      <w:pPr>
        <w:spacing w:before="0" w:after="80" w:line="240" w:lineRule="exact"/>
        <w:ind w:hanging="720" w:left="720"/>
        <w:jc w:val="both"/>
      </w:pPr>
      <w:bookmarkStart w:id="520" w:name="Deloitte2020"/>
      <w:hyperlink w:anchor="Deloitte2020txt" w:history="1">
        <w:r>
          <w:rPr>
            <w:color w:val="1F3864"/>
            <w:u w:val="single"/>
          </w:rPr>
          <w:t xml:space="preserve">Deloitte and Google. (2020). </w:t>
        </w:r>
      </w:hyperlink>
      <w:r>
        <w:t>“Milliseconds Make Millions.” Deloitte Digital and Google.</w:t>
      </w:r>
      <w:bookmarkEnd w:id="520"/>
    </w:p>
    <w:p>
      <w:pPr>
        <w:spacing w:before="0" w:after="80" w:line="240" w:lineRule="exact"/>
        <w:ind w:hanging="720" w:left="720"/>
        <w:jc w:val="both"/>
      </w:pPr>
      <w:bookmarkStart w:id="52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21"/>
    </w:p>
    <w:p>
      <w:pPr>
        <w:spacing w:before="0" w:after="80" w:line="240" w:lineRule="exact"/>
        <w:ind w:hanging="720" w:left="720"/>
        <w:jc w:val="both"/>
      </w:pPr>
      <w:bookmarkStart w:id="52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2"/>
    </w:p>
    <w:p>
      <w:pPr>
        <w:spacing w:before="0" w:after="80" w:line="240" w:lineRule="exact"/>
        <w:ind w:hanging="720" w:left="720"/>
        <w:jc w:val="both"/>
      </w:pPr>
      <w:bookmarkStart w:id="523" w:name="EpochAI2024"/>
      <w:r>
        <w:rPr>
          <w:color w:val="1F3864"/>
          <w:u w:val="single"/>
        </w:rPr>
        <w:t xml:space="preserve">Epoch AI. (2024). </w:t>
      </w:r>
      <w:r>
        <w:t>“The Training Compute of Notable AI Models.” epochai.org.</w:t>
      </w:r>
      <w:bookmarkEnd w:id="523"/>
    </w:p>
    <w:p>
      <w:pPr>
        <w:spacing w:before="0" w:after="80" w:line="240" w:lineRule="exact"/>
        <w:ind w:hanging="720" w:left="720"/>
        <w:jc w:val="both"/>
      </w:pPr>
      <w:bookmarkStart w:id="52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4"/>
    </w:p>
    <w:p>
      <w:pPr>
        <w:spacing w:before="0" w:after="80" w:line="240" w:lineRule="exact"/>
        <w:ind w:hanging="720" w:left="720"/>
        <w:jc w:val="both"/>
      </w:pPr>
      <w:bookmarkStart w:id="52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5"/>
    </w:p>
    <w:p>
      <w:pPr>
        <w:spacing w:before="0" w:after="80" w:line="240" w:lineRule="exact"/>
        <w:ind w:hanging="720" w:left="720"/>
        <w:jc w:val="both"/>
      </w:pPr>
      <w:bookmarkStart w:id="526"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6"/>
    </w:p>
    <w:p>
      <w:pPr>
        <w:spacing w:before="0" w:after="80" w:line="240" w:lineRule="exact"/>
        <w:ind w:hanging="720" w:left="720"/>
        <w:jc w:val="both"/>
      </w:pPr>
      <w:bookmarkStart w:id="527"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7"/>
    </w:p>
    <w:p>
      <w:pPr>
        <w:spacing w:before="0" w:after="80" w:line="240" w:lineRule="exact"/>
        <w:ind w:hanging="720" w:left="720"/>
        <w:jc w:val="both"/>
      </w:pPr>
      <w:bookmarkStart w:id="528"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8"/>
    </w:p>
    <w:p>
      <w:pPr>
        <w:spacing w:before="0" w:after="80" w:line="240" w:lineRule="exact"/>
        <w:ind w:hanging="720" w:left="720"/>
        <w:jc w:val="both"/>
      </w:pPr>
      <w:bookmarkStart w:id="529" w:name="Google2024"/>
      <w:hyperlink w:anchor="Google2024txt" w:history="1">
        <w:r>
          <w:rPr>
            <w:color w:val="1F3864"/>
            <w:u w:val="single"/>
          </w:rPr>
          <w:t xml:space="preserve">Google. </w:t>
        </w:r>
      </w:hyperlink>
      <w:r>
        <w:t xml:space="preserve">(2024). </w:t>
      </w:r>
      <w:r>
        <w:rPr>
          <w:i/>
        </w:rPr>
        <w:t>2024 Environmental Report</w:t>
      </w:r>
      <w:r>
        <w:t>. sustainability.google.</w:t>
      </w:r>
      <w:bookmarkEnd w:id="529"/>
    </w:p>
    <w:p>
      <w:pPr>
        <w:spacing w:before="0" w:after="80" w:line="240" w:lineRule="exact"/>
        <w:ind w:hanging="720" w:left="720"/>
        <w:jc w:val="both"/>
      </w:pPr>
      <w:bookmarkStart w:id="530"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30"/>
    </w:p>
    <w:p>
      <w:pPr>
        <w:spacing w:before="0" w:after="80" w:line="240" w:lineRule="exact"/>
        <w:ind w:hanging="720" w:left="720"/>
        <w:jc w:val="both"/>
      </w:pPr>
      <w:bookmarkStart w:id="531"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31"/>
    </w:p>
    <w:p>
      <w:pPr>
        <w:spacing w:before="0" w:after="80" w:line="240" w:lineRule="exact"/>
        <w:ind w:hanging="720" w:left="720"/>
        <w:jc w:val="both"/>
      </w:pPr>
      <w:bookmarkStart w:id="532"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2"/>
    </w:p>
    <w:p>
      <w:pPr>
        <w:spacing w:before="0" w:after="80" w:line="240" w:lineRule="exact"/>
        <w:ind w:hanging="720" w:left="720"/>
        <w:jc w:val="both"/>
      </w:pPr>
      <w:bookmarkStart w:id="53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3"/>
    </w:p>
    <w:p>
      <w:pPr>
        <w:spacing w:before="0" w:after="80" w:line="240" w:lineRule="exact"/>
        <w:ind w:hanging="720" w:left="720"/>
        <w:jc w:val="both"/>
      </w:pPr>
      <w:bookmarkStart w:id="534" w:name="IEA2025"/>
      <w:hyperlink w:anchor="IEA2025txt" w:history="1">
        <w:r>
          <w:rPr>
            <w:color w:val="1F3864"/>
            <w:u w:val="single"/>
          </w:rPr>
          <w:t xml:space="preserve">IEA. (2025). </w:t>
        </w:r>
      </w:hyperlink>
      <w:r>
        <w:t>“Energy Demand from AI.” Published online at iea.org.</w:t>
      </w:r>
      <w:bookmarkEnd w:id="534"/>
    </w:p>
    <w:p>
      <w:pPr>
        <w:spacing w:before="0" w:after="80" w:line="240" w:lineRule="exact"/>
        <w:ind w:hanging="720" w:left="720"/>
        <w:jc w:val="both"/>
      </w:pPr>
      <w:bookmarkStart w:id="53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5"/>
    </w:p>
    <w:p>
      <w:pPr>
        <w:spacing w:before="0" w:after="80" w:line="240" w:lineRule="exact"/>
        <w:ind w:hanging="720" w:left="720"/>
        <w:jc w:val="both"/>
      </w:pPr>
      <w:bookmarkStart w:id="536"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6"/>
    </w:p>
    <w:p>
      <w:pPr>
        <w:spacing w:before="0" w:after="80" w:line="240" w:lineRule="exact"/>
        <w:ind w:hanging="720" w:left="720"/>
        <w:jc w:val="both"/>
      </w:pPr>
      <w:bookmarkStart w:id="537"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7"/>
    </w:p>
    <w:p>
      <w:pPr>
        <w:spacing w:before="0" w:after="80" w:line="240" w:lineRule="exact"/>
        <w:ind w:hanging="720" w:left="720"/>
        <w:jc w:val="both"/>
      </w:pPr>
      <w:bookmarkStart w:id="53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8"/>
    </w:p>
    <w:p>
      <w:pPr>
        <w:spacing w:before="0" w:after="80" w:line="240" w:lineRule="exact"/>
        <w:ind w:hanging="720" w:left="720"/>
        <w:jc w:val="both"/>
      </w:pPr>
      <w:bookmarkStart w:id="53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9"/>
    </w:p>
    <w:p>
      <w:pPr>
        <w:spacing w:before="0" w:after="80" w:line="240" w:lineRule="exact"/>
        <w:ind w:hanging="720" w:left="720"/>
        <w:jc w:val="both"/>
      </w:pPr>
      <w:bookmarkStart w:id="540"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40"/>
    </w:p>
    <w:p>
      <w:pPr>
        <w:spacing w:before="0" w:after="80" w:line="240" w:lineRule="exact"/>
        <w:ind w:hanging="720" w:left="720"/>
        <w:jc w:val="both"/>
      </w:pPr>
      <w:bookmarkStart w:id="54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9" w:name="WorldBank2024txt"/>
      <w:hyperlink w:anchor="WorldBank2024" w:history="1">
        <w:r>
          <w:rPr>
            <w:i/>
            <w:color w:val="1F3864"/>
            <w:u w:val="single"/>
          </w:rPr>
          <w:t xml:space="preserve">World Bank</w:t>
        </w:r>
      </w:hyperlink>
      <w:bookmarkEnd w:id="239"/>
      <w:r>
        <w:rPr>
          <w:i/>
        </w:rPr>
        <w:t xml:space="preserve"> Economic Review</w:t>
      </w:r>
      <w:r>
        <w:t>, 15(3): 451–479.</w:t>
      </w:r>
      <w:bookmarkEnd w:id="541"/>
    </w:p>
    <w:p>
      <w:pPr>
        <w:spacing w:before="0" w:after="80" w:line="240" w:lineRule="exact"/>
        <w:ind w:hanging="720" w:left="720"/>
        <w:jc w:val="both"/>
      </w:pPr>
      <w:bookmarkStart w:id="542"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2"/>
    </w:p>
    <w:p>
      <w:pPr>
        <w:spacing w:before="0" w:after="80" w:line="240" w:lineRule="exact"/>
        <w:ind w:hanging="720" w:left="720"/>
        <w:jc w:val="both"/>
      </w:pPr>
      <w:bookmarkStart w:id="543" w:name="NVIDIA2024"/>
      <w:r>
        <w:rPr>
          <w:color w:val="1F3864"/>
          <w:u w:val="single"/>
        </w:rPr>
        <w:t xml:space="preserve">NVIDIA. </w:t>
      </w:r>
      <w:r>
        <w:t xml:space="preserve">(2024). </w:t>
      </w:r>
      <w:r>
        <w:rPr>
          <w:i/>
        </w:rPr>
        <w:t>NVIDIA H100 Tensor Core GPU Datasheet</w:t>
      </w:r>
      <w:r>
        <w:t>. nvidia.com.</w:t>
      </w:r>
      <w:bookmarkEnd w:id="543"/>
    </w:p>
    <w:p>
      <w:pPr>
        <w:spacing w:before="0" w:after="80" w:line="240" w:lineRule="exact"/>
        <w:ind w:hanging="720" w:left="720"/>
        <w:jc w:val="both"/>
      </w:pPr>
      <w:bookmarkStart w:id="54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4"/>
    </w:p>
    <w:p>
      <w:pPr>
        <w:spacing w:before="0" w:after="80" w:line="240" w:lineRule="exact"/>
        <w:ind w:hanging="720" w:left="720"/>
        <w:jc w:val="both"/>
      </w:pPr>
      <w:bookmarkStart w:id="545"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5"/>
    </w:p>
    <w:p>
      <w:pPr>
        <w:spacing w:before="0" w:after="80" w:line="240" w:lineRule="exact"/>
        <w:ind w:hanging="720" w:left="720"/>
        <w:jc w:val="both"/>
      </w:pPr>
      <w:bookmarkStart w:id="546" w:name="Sastry2024"/>
      <w:hyperlink w:anchor="Sastry2024txt" w:history="1">
        <w:r>
          <w:rPr>
            <w:color w:val="1F3864"/>
            <w:u w:val="single"/>
          </w:rPr>
          <w:t xml:space="preserve">Sastry, G., Heim, L., Belfield, H., Anderljung, M., Brundage, M., Hazell, J., et al. (2024). </w:t>
        </w:r>
      </w:hyperlink>
      <w:r>
        <w:t>“Computing Power and the Governance of Artificial Intelligence.” arXiv:2402.08797.</w:t>
      </w:r>
      <w:bookmarkEnd w:id="546"/>
    </w:p>
    <w:p>
      <w:pPr>
        <w:spacing w:before="0" w:after="80" w:line="240" w:lineRule="exact"/>
        <w:ind w:hanging="720" w:left="720"/>
        <w:jc w:val="both"/>
      </w:pPr>
      <w:bookmarkStart w:id="547"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7"/>
    </w:p>
    <w:p>
      <w:pPr>
        <w:spacing w:before="0" w:after="80" w:line="240" w:lineRule="exact"/>
        <w:ind w:hanging="720" w:left="720"/>
        <w:jc w:val="both"/>
      </w:pPr>
      <w:bookmarkStart w:id="548" w:name="Stojkoski2024"/>
      <w:hyperlink w:anchor="Stojkoski2024txt" w:history="1">
        <w:r>
          <w:rPr>
            <w:color w:val="1F3864"/>
            <w:u w:val="single"/>
          </w:rPr>
          <w:t xml:space="preserve">Stojkoski, V., Koch, P., Coll, E., and C. Hidalgo. (2024). </w:t>
        </w:r>
      </w:hyperlink>
      <w:r>
        <w:t xml:space="preserve">“Estimating Digital Product Trade through Corporate Revenue Data.” </w:t>
      </w:r>
      <w:r>
        <w:rPr>
          <w:i/>
        </w:rPr>
        <w:t>Nature Communications</w:t>
      </w:r>
      <w:r>
        <w:t>, 15: 5262.</w:t>
      </w:r>
      <w:bookmarkEnd w:id="548"/>
    </w:p>
    <w:p>
      <w:pPr>
        <w:spacing w:before="0" w:after="80" w:line="240" w:lineRule="exact"/>
        <w:ind w:hanging="720" w:left="720"/>
        <w:jc w:val="both"/>
      </w:pPr>
      <w:bookmarkStart w:id="549" w:name="StraubEtAl2026"/>
      <w:hyperlink w:anchor="StraubEtAl2026txt" w:history="1">
        <w:r>
          <w:rPr>
            <w:color w:val="1F3864"/>
            <w:u w:val="single"/>
          </w:rPr>
          <w:t xml:space="preserve">Straub, S., He, H., Li, Y., Lyu, X., Steinbuks, J., Vergara Cobos, E., et al. </w:t>
        </w:r>
      </w:hyperlink>
      <w:r>
        <w:t xml:space="preserve">(2026). </w:t>
      </w:r>
      <w:r>
        <w:rPr>
          <w:i/>
        </w:rPr>
        <w:t>Infrastructure Foundations: From Current Assets to Future Growth</w:t>
      </w:r>
      <w:r>
        <w:t xml:space="preserve">. Sustainable Infrastructure Series. Washington, DC: </w:t>
      </w:r>
      <w:bookmarkStart w:id="240" w:name="WorldBank2024txt"/>
      <w:hyperlink w:anchor="WorldBank2024" w:history="1">
        <w:r>
          <w:rPr>
            <w:color w:val="1F3864"/>
            <w:u w:val="single"/>
          </w:rPr>
          <w:t xml:space="preserve">World Bank</w:t>
        </w:r>
      </w:hyperlink>
      <w:bookmarkEnd w:id="240"/>
      <w:r>
        <w:t xml:space="preserve">.</w:t>
      </w:r>
      <w:bookmarkEnd w:id="549"/>
    </w:p>
    <w:p>
      <w:pPr>
        <w:spacing w:before="0" w:after="80" w:line="240" w:lineRule="exact"/>
        <w:ind w:hanging="720" w:left="720"/>
        <w:jc w:val="both"/>
      </w:pPr>
      <w:bookmarkStart w:id="550"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50"/>
    </w:p>
    <w:p>
      <w:pPr>
        <w:spacing w:before="0" w:after="80" w:line="240" w:lineRule="exact"/>
        <w:ind w:hanging="720" w:left="720"/>
        <w:jc w:val="both"/>
      </w:pPr>
      <w:bookmarkStart w:id="55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51"/>
    </w:p>
    <w:p>
      <w:pPr>
        <w:spacing w:before="0" w:after="80" w:line="240" w:lineRule="exact"/>
        <w:ind w:hanging="720" w:left="720"/>
        <w:jc w:val="both"/>
      </w:pPr>
      <w:bookmarkStart w:id="55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2"/>
    </w:p>
    <w:p>
      <w:pPr>
        <w:spacing w:before="0" w:after="80" w:line="240" w:lineRule="exact"/>
        <w:ind w:hanging="720" w:left="720"/>
        <w:jc w:val="both"/>
      </w:pPr>
      <w:bookmarkStart w:id="55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3"/>
    </w:p>
    <w:p>
      <w:pPr>
        <w:spacing w:before="0" w:after="80" w:line="240" w:lineRule="exact"/>
        <w:ind w:hanging="720" w:left="720"/>
        <w:jc w:val="both"/>
      </w:pPr>
      <w:bookmarkStart w:id="554" w:name="WorldBank2025"/>
      <w:hyperlink w:anchor="WorldBank2025txt" w:history="1">
        <w:r>
          <w:rPr>
            <w:color w:val="1F3864"/>
            <w:u w:val="single"/>
          </w:rPr>
          <w:t xml:space="preserve">World Bank. </w:t>
        </w:r>
      </w:hyperlink>
      <w:r>
        <w:t xml:space="preserve">(2025). </w:t>
      </w:r>
      <w:r>
        <w:rPr>
          <w:i/>
        </w:rPr>
        <w:t>Digital Progress and Trends Report 2025: Strengthening AI Foundations</w:t>
      </w:r>
      <w:r>
        <w:t xml:space="preserve">. Washington, DC: </w:t>
      </w:r>
      <w:bookmarkStart w:id="241" w:name="WorldBank2024txt"/>
      <w:hyperlink w:anchor="WorldBank2024" w:history="1">
        <w:r>
          <w:rPr>
            <w:color w:val="1F3864"/>
            <w:u w:val="single"/>
          </w:rPr>
          <w:t xml:space="preserve">World Bank</w:t>
        </w:r>
      </w:hyperlink>
      <w:bookmarkEnd w:id="241"/>
      <w:r>
        <w:t xml:space="preserve">.</w:t>
      </w:r>
      <w:bookmarkEnd w:id="554"/>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2" w:name="ADB2020txt"/>
      <w:hyperlink w:anchor="ADB2020" w:history="1">
        <w:r>
          <w:rPr>
            <w:color w:val="1F3864"/>
            <w:u w:val="single"/>
          </w:rPr>
          <w:t xml:space="preserve">ADB 2020</w:t>
        </w:r>
      </w:hyperlink>
      <w:bookmarkEnd w:id="242"/>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3" w:name="IMF2025txt"/>
      <w:hyperlink w:anchor="IMF2025" w:history="1">
        <w:r>
          <w:rPr>
            <w:color w:val="1F3864"/>
            <w:u w:val="single"/>
          </w:rPr>
          <w:t xml:space="preserve">IMF 2025</w:t>
        </w:r>
      </w:hyperlink>
      <w:bookmarkEnd w:id="243"/>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 xml:space="preserve">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w:t>
      </w:r>
      <w:bookmarkStart w:id="262" w:name="Borenstein2012txt"/>
      <w:hyperlink w:anchor="Borenstein2012" w:history="1">
        <w:r>
          <w:rPr>
            <w:color w:val="1F3864"/>
            <w:u w:val="single"/>
          </w:rPr>
          <w:t xml:space="preserve">Borenstein (2012)</w:t>
        </w:r>
      </w:hyperlink>
      <w:bookmarkEnd w:id="262"/>
      <w:r>
        <w:t xml:space="preserve"> and </w:t>
      </w:r>
      <w:bookmarkStart w:id="244" w:name="DavisHausman2016txt"/>
      <w:hyperlink w:anchor="DavisHausman2016" w:history="1">
        <w:r>
          <w:rPr>
            <w:color w:val="1F3864"/>
            <w:u w:val="single"/>
          </w:rPr>
          <w:t xml:space="preserve">Davis and Hausman (2016)</w:t>
        </w:r>
      </w:hyperlink>
      <w:bookmarkEnd w:id="244"/>
      <w:r>
        <w:t xml:space="preserve">. Korea receives $0.020/kWh reflecting KEPCO industrial tariffs below cost-of-service (OECD Energy Policy Review). All other countries receive zero.</w:t>
      </w:r>
      <w:r>
        <w:rPr>
          <w:rStyle w:val="FootnoteReference"/>
        </w:rPr>
        <w:footnoteReference w:id="90"/>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90">
    <w:p>
      <w:pPr>
        <w:pStyle w:val="FootnoteText"/>
      </w:pPr>
      <w:r>
        <w:rPr>
          <w:rStyle w:val="FootnoteReference"/>
        </w:rPr>
        <w:footnoteRef/>
      </w:r>
      <w:r>
        <w:t xml:space="preserve"> Data sources for the carbon-price and cross-subsidy adjustments: EMBER, Yearly Electricity Data (2025 release); Agora Energiewende and BDEW industrial electricity-price analyses; and OECD, Energy Policy Reviews: Korea.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