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24, 2026  21:55</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0" w:name="IEA2025txt"/>
      <w:hyperlink w:anchor="IEA2025" w:history="1">
        <w:r>
          <w:rPr>
            <w:color w:val="1F3864"/>
            <w:u w:val="single"/>
          </w:rPr>
          <w:t xml:space="preserve">IEA 2025</w:t>
        </w:r>
      </w:hyperlink>
      <w:bookmarkEnd w:id="250"/>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1" w:name="Hausmann2007txt"/>
      <w:hyperlink w:anchor="Hausmann2007" w:history="1">
        <w:r>
          <w:rPr>
            <w:color w:val="1F3864"/>
            <w:u w:val="single"/>
          </w:rPr>
          <w:t xml:space="preserve">Hausmann et al. (2007)</w:t>
        </w:r>
      </w:hyperlink>
      <w:bookmarkEnd w:id="251"/>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2" w:name="Liu2023txt"/>
      <w:hyperlink w:anchor="Liu2023" w:history="1">
        <w:r>
          <w:rPr>
            <w:color w:val="1F3864"/>
            <w:u w:val="single"/>
          </w:rPr>
          <w:t xml:space="preserve">Liu et al. (2023)</w:t>
        </w:r>
      </w:hyperlink>
      <w:bookmarkEnd w:id="252"/>
      <w:r>
        <w:t xml:space="preserve"> study data center placement under renewable energy constraints. These studies focus on where firms should build data centers.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3" w:name="Stojkoski2024txt"/>
      <w:hyperlink w:anchor="Stojkoski2024" w:history="1">
        <w:r>
          <w:rPr>
            <w:color w:val="1F3864"/>
            <w:u w:val="single"/>
          </w:rPr>
          <w:t xml:space="preserve">Stojkoski et al. 2024</w:t>
        </w:r>
      </w:hyperlink>
      <w:bookmarkEnd w:id="253"/>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1" w:name="WorldBank2024txt"/>
      <w:hyperlink w:anchor="WorldBank2024" w:history="1">
        <w:r>
          <w:rPr>
            <w:color w:val="1F3864"/>
            <w:u w:val="single"/>
          </w:rPr>
          <w:t xml:space="preserve">World Bank 2024</w:t>
        </w:r>
      </w:hyperlink>
      <w:bookmarkEnd w:id="211"/>
      <w:r>
        <w:t xml:space="preserve">), </w:t>
      </w:r>
      <m:oMath>
        <m:r>
          <m:rPr>
            <m:sty m:val="i"/>
          </m:rPr>
          <w:rPr>
            <w:rFonts w:ascii="Cambria Math" w:hAnsi="Cambria Math"/>
          </w:rPr>
          <m:t xml:space="preserve">R</m:t>
        </m:r>
      </m:oMath>
      <w:r>
        <w:t xml:space="preserve"> is grid reliability (</w:t>
      </w:r>
      <w:bookmarkStart w:id="212" w:name="WBES2025txt"/>
      <w:hyperlink w:anchor="WBES2025" w:history="1">
        <w:r>
          <w:rPr>
            <w:color w:val="1F3864"/>
            <w:u w:val="single"/>
          </w:rPr>
          <w:t xml:space="preserve">World Bank Enterprise Survey 2025</w:t>
        </w:r>
      </w:hyperlink>
      <w:bookmarkEnd w:id="212"/>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6" w:name="Eurostat2025txt"/>
      <w:hyperlink w:anchor="Eurostat2025" w:history="1">
        <w:r>
          <w:rPr>
            <w:color w:val="1F3864"/>
            <w:u w:val="single"/>
          </w:rPr>
          <w:t xml:space="preserve">Eurostat 2025</w:t>
        </w:r>
      </w:hyperlink>
      <w:bookmarkEnd w:id="246"/>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 national utility tariffs for Central Asian countries, and </w:t>
      </w:r>
      <w:bookmarkStart w:id="213" w:name="GlobalPetrolPrices2025txt"/>
      <w:hyperlink w:anchor="GlobalPetrolPrices2025" w:history="1">
        <w:r>
          <w:rPr>
            <w:color w:val="1F3864"/>
            <w:u w:val="single"/>
          </w:rPr>
          <w:t xml:space="preserve">GlobalPetrolPrices (2025)</w:t>
        </w:r>
      </w:hyperlink>
      <w:bookmarkEnd w:id="213"/>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4" w:name="Hersbach2020txt"/>
      <w:hyperlink w:anchor="Hersbach2020" w:history="1">
        <w:r>
          <w:rPr>
            <w:color w:val="1F3864"/>
            <w:u w:val="single"/>
          </w:rPr>
          <w:t xml:space="preserve">Hersbach et al. 2020</w:t>
        </w:r>
      </w:hyperlink>
      <w:bookmarkEnd w:id="214"/>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5" w:name="TurnerTownsend2025txt"/>
      <w:hyperlink w:anchor="TurnerTownsend2025" w:history="1">
        <w:r>
          <w:rPr>
            <w:color w:val="1F3864"/>
            <w:u w:val="single"/>
          </w:rPr>
          <w:t xml:space="preserve">Turner &amp; Townsend 2025</w:t>
        </w:r>
      </w:hyperlink>
      <w:bookmarkEnd w:id="215"/>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6" w:name="WonderNetwork2024txt"/>
      <w:hyperlink w:anchor="WonderNetwork2024" w:history="1">
        <w:r>
          <w:rPr>
            <w:color w:val="1F3864"/>
            <w:u w:val="single"/>
          </w:rPr>
          <w:t xml:space="preserve">WonderNetwork 2024</w:t>
        </w:r>
      </w:hyperlink>
      <w:bookmarkEnd w:id="216"/>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7" w:name="Cloudscene2025txt"/>
      <w:hyperlink w:anchor="Cloudscene2025" w:history="1">
        <w:r>
          <w:rPr>
            <w:color w:val="1F3864"/>
            <w:u w:val="single"/>
          </w:rPr>
          <w:t xml:space="preserve">Cloudscene 2025</w:t>
        </w:r>
      </w:hyperlink>
      <w:bookmarkEnd w:id="217"/>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8" w:name="UptimeInstitute2024txt"/>
      <w:hyperlink w:anchor="UptimeInstitute2024" w:history="1">
        <w:r>
          <w:rPr>
            <w:color w:val="1F3864"/>
            <w:u w:val="single"/>
          </w:rPr>
          <w:t xml:space="preserve">Uptime Institute 2024</w:t>
        </w:r>
      </w:hyperlink>
      <w:bookmarkEnd w:id="218"/>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9" w:name="Liu2023txt"/>
      <w:hyperlink w:anchor="Liu2023" w:history="1">
        <w:r>
          <w:rPr>
            <w:color w:val="1F3864"/>
            <w:u w:val="single"/>
          </w:rPr>
          <w:t xml:space="preserve">Liu et al. 2023</w:t>
        </w:r>
      </w:hyperlink>
      <w:bookmarkEnd w:id="219"/>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0" w:name="UptimeInstitute2024txt"/>
      <w:hyperlink w:anchor="UptimeInstitute2024" w:history="1">
        <w:r>
          <w:rPr>
            <w:color w:val="1F3864"/>
            <w:u w:val="single"/>
          </w:rPr>
          <w:t xml:space="preserve">Uptime Institute 2024</w:t>
        </w:r>
      </w:hyperlink>
      <w:bookmarkEnd w:id="220"/>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1" w:name="Barroso2018txt"/>
      <w:hyperlink w:anchor="Barroso2018" w:history="1">
        <w:r>
          <w:rPr>
            <w:color w:val="1F3864"/>
            <w:u w:val="single"/>
          </w:rPr>
          <w:t xml:space="preserve">Barroso et al. 2018</w:t>
        </w:r>
      </w:hyperlink>
      <w:bookmarkEnd w:id="221"/>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2" w:name="Barroso2018txt"/>
      <w:hyperlink w:anchor="Barroso2018" w:history="1">
        <w:r>
          <w:rPr>
            <w:color w:val="1F3864"/>
            <w:u w:val="single"/>
          </w:rPr>
          <w:t xml:space="preserve">Barroso et al. 2018</w:t>
        </w:r>
      </w:hyperlink>
      <w:bookmarkEnd w:id="222"/>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3" w:name="Deloitte2020txt"/>
      <w:hyperlink w:anchor="Deloitte2020" w:history="1">
        <w:r>
          <w:rPr>
            <w:color w:val="1F3864"/>
            <w:u w:val="single"/>
          </w:rPr>
          <w:t xml:space="preserve">Deloitte (2020)</w:t>
        </w:r>
      </w:hyperlink>
      <w:bookmarkEnd w:id="223"/>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4" w:name="Deloitte2025txt"/>
      <w:hyperlink w:anchor="Deloitte2025" w:history="1">
        <w:r>
          <w:rPr>
            <w:color w:val="1F3864"/>
            <w:u w:val="single"/>
          </w:rPr>
          <w:t xml:space="preserve">Deloitte 2025</w:t>
        </w:r>
      </w:hyperlink>
      <w:bookmarkEnd w:id="224"/>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5" w:name="Farole2011txt"/>
      <w:hyperlink w:anchor="Farole2011" w:history="1">
        <w:r>
          <w:rPr>
            <w:color w:val="1F3864"/>
            <w:u w:val="single"/>
          </w:rPr>
          <w:t xml:space="preserve">Farole 2011</w:t>
        </w:r>
      </w:hyperlink>
      <w:bookmarkEnd w:id="255"/>
      <w:r>
        <w:t xml:space="preserve">; </w:t>
      </w:r>
      <w:bookmarkStart w:id="247" w:name="WorldBank2017txt"/>
      <w:hyperlink w:anchor="WorldBank2017" w:history="1">
        <w:r>
          <w:rPr>
            <w:color w:val="1F3864"/>
            <w:u w:val="single"/>
          </w:rPr>
          <w:t xml:space="preserve">World Bank 2017</w:t>
        </w:r>
      </w:hyperlink>
      <w:bookmarkEnd w:id="247"/>
      <w:r>
        <w:t xml:space="preserve">; </w:t>
      </w:r>
      <w:bookmarkStart w:id="225" w:name="Frick2019txt"/>
      <w:hyperlink w:anchor="Frick2019" w:history="1">
        <w:r>
          <w:rPr>
            <w:color w:val="1F3864"/>
            <w:u w:val="single"/>
          </w:rPr>
          <w:t xml:space="preserve">Frick, Rodríguez-Pose, and Wong 2019</w:t>
        </w:r>
      </w:hyperlink>
      <w:bookmarkEnd w:id="225"/>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6" w:name="Lazard2025txt"/>
      <w:hyperlink w:anchor="Lazard2025" w:history="1">
        <w:r>
          <w:rPr>
            <w:color w:val="1F3864"/>
            <w:u w:val="single"/>
          </w:rPr>
          <w:t xml:space="preserve">Lazard 2025</w:t>
        </w:r>
      </w:hyperlink>
      <w:bookmarkEnd w:id="226"/>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While data centers can mitigate grid unreliability through private infrastructure, governance weaknesses — contract enforcement, expropriation risk, regulatory instability — cannot be engineered away. Because hardware costs are globally uniform, the efficiency adjustment applies only to the country-specific cost component — energy procurement, cooling infrastructure, construction, and grid connection —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 Turkmenistan, Tajikistan, Russia — lose ground. Because hardware accounts for roughly 90% of cost-recovery costs, the non-hardware spread is narrow, and even modest governance penalties on local costs can reshuffle adjacent ranks.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89% of global inference demand (HHI = 0.30). </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7" w:name="EatonKortum2002txt"/>
      <w:hyperlink w:anchor="EatonKortum2002" w:history="1">
        <w:r>
          <w:rPr>
            <w:color w:val="1F3864"/>
            <w:u w:val="single"/>
          </w:rPr>
          <w:t xml:space="preserve">Eaton and Kortum 2002</w:t>
        </w:r>
      </w:hyperlink>
      <w:bookmarkEnd w:id="227"/>
      <w:r>
        <w:t xml:space="preserve">, </w:t>
      </w:r>
      <w:bookmarkStart w:id="249" w:name="ACR2012txt"/>
      <w:hyperlink w:anchor="ACR2012" w:history="1">
        <w:r>
          <w:rPr>
            <w:color w:val="1F3864"/>
            <w:u w:val="single"/>
          </w:rPr>
          <w:t xml:space="preserve">Arkolakis et al. 2012</w:t>
        </w:r>
      </w:hyperlink>
      <w:bookmarkEnd w:id="249"/>
      <w:r>
        <w:t xml:space="preserve">).</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not trivial: the bilateral premium shifts most countries toward domestic production, forgoing the cost savings from specialization. Developing countries that adopt broad data localization requirements risk foreclosing both import savings and regional export opportunities — the very specialization gains the model predicts. The </w:t>
      </w:r>
      <w:bookmarkStart w:id="228" w:name="WorldBank2025txt"/>
      <w:hyperlink w:anchor="WorldBank2025" w:history="1">
        <w:r>
          <w:rPr>
            <w:color w:val="1F3864"/>
            <w:u w:val="single"/>
          </w:rPr>
          <w:t xml:space="preserve">World Bank (2025)</w:t>
        </w:r>
      </w:hyperlink>
      <w:bookmarkEnd w:id="228"/>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This sensitivity reinforces the structural argument — the finding that energy-rich developing countries can compete depends primarily on the observation that hardware is globally priced, not on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0" w:name="Krugman1991txt"/>
      <w:hyperlink w:anchor="Krugman1991" w:history="1">
        <w:r>
          <w:rPr>
            <w:color w:val="1F3864"/>
            <w:u w:val="single"/>
          </w:rPr>
          <w:t xml:space="preserve">Krugman 1991</w:t>
        </w:r>
      </w:hyperlink>
      <w:bookmarkEnd w:id="230"/>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1" w:name="Lehdonvirta2024txt"/>
      <w:hyperlink w:anchor="Lehdonvirta2024" w:history="1">
        <w:r>
          <w:rPr>
            <w:color w:val="1F3864"/>
            <w:u w:val="single"/>
          </w:rPr>
          <w:t xml:space="preserve">Lehdonvirta et al. (2024)</w:t>
        </w:r>
      </w:hyperlink>
      <w:bookmarkEnd w:id="231"/>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Montenegro,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2" w:name="vanderPloeg2011txt"/>
      <w:hyperlink w:anchor="vanderPloeg2011" w:history="1">
        <w:r>
          <w:rPr>
            <w:color w:val="1F3864"/>
            <w:u w:val="single"/>
          </w:rPr>
          <w:t xml:space="preserve">van der Ploeg 2011</w:t>
        </w:r>
      </w:hyperlink>
      <w:bookmarkEnd w:id="232"/>
      <w:r>
        <w:t xml:space="preserve">) warns that concentrated export revenues can lead to Dutch disease, institutional degradation, and volatility. Whether FLOP exporting countries share these risks depends on the revenue-sharing model they adopt: a sovereign wealth fund approach (Norway) versus elite capture (Dutch disease).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3" w:name="WorldBank2024txt"/>
      <w:hyperlink w:anchor="WorldBank2024" w:history="1">
        <w:r>
          <w:rPr>
            <w:color w:val="1F3864"/>
            <w:u w:val="single"/>
          </w:rPr>
          <w:t xml:space="preserve">World Bank</w:t>
        </w:r>
      </w:hyperlink>
      <w:bookmarkEnd w:id="233"/>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4" w:name="WorldBank2024txt"/>
      <w:hyperlink w:anchor="WorldBank2024" w:history="1">
        <w:r>
          <w:rPr>
            <w:i/>
            <w:color w:val="1F3864"/>
            <w:u w:val="single"/>
          </w:rPr>
          <w:t xml:space="preserve">World Bank</w:t>
        </w:r>
      </w:hyperlink>
      <w:bookmarkEnd w:id="234"/>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5" w:name="WorldBank2024txt"/>
      <w:hyperlink w:anchor="WorldBank2024" w:history="1">
        <w:r>
          <w:rPr>
            <w:color w:val="1F3864"/>
            <w:u w:val="single"/>
          </w:rPr>
          <w:t xml:space="preserve">World Bank</w:t>
        </w:r>
      </w:hyperlink>
      <w:bookmarkEnd w:id="235"/>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6" w:name="WorldBank2024txt"/>
      <w:hyperlink w:anchor="WorldBank2024" w:history="1">
        <w:r>
          <w:rPr>
            <w:color w:val="1F3864"/>
            <w:u w:val="single"/>
          </w:rPr>
          <w:t xml:space="preserve">World Bank</w:t>
        </w:r>
      </w:hyperlink>
      <w:bookmarkEnd w:id="236"/>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7" w:name="WorldBank2024txt"/>
      <w:hyperlink w:anchor="WorldBank2024" w:history="1">
        <w:r>
          <w:rPr>
            <w:color w:val="1F3864"/>
            <w:u w:val="single"/>
          </w:rPr>
          <w:t xml:space="preserve">World Bank</w:t>
        </w:r>
      </w:hyperlink>
      <w:bookmarkEnd w:id="237"/>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