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18:51</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ind w:firstLine="0"/>
        <w:jc w:val="both"/>
      </w:pPr>
    </w:p>
    <w:p>
      <w:pPr>
        <w:spacing w:before="0" w:after="16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35 countries change their trade regimes.</w:t>
      </w:r>
    </w:p>
    <w:p>
      <w:pPr>
        <w:spacing w:before="0" w:after="160"/>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−0.0%</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−6.3%</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7 exporters (HHI = 0.66), confirming Proposition 2. </w:t>
      </w:r>
      <w:r>
        <w:t xml:space="preserve">The largest shadow values of grid capacity are in Kyrgyzstan ($0.027/hr), Canada ($0.013/hr), Ethiopia ($0.010/hr),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160"/>
        <w:ind w:firstLine="0"/>
        <w:jc w:val="both"/>
      </w:pP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(3) Bilateral</w:t>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r>
      <w:tr>
        <w:tc>
          <w:tcPr>
            <w:tcW w:w="1800" w:type="dxa"/>
          </w:tcPr>
          <w:p>
            <w:pPr>
              <w:jc w:val="left"/>
              <w:spacing w:before="10" w:after="10"/>
            </w:pPr>
            <w:r/>
            <w:r>
              <w:rPr>
                <w:rFonts w:ascii="Times New Roman" w:hAnsi="Times New Roman"/>
                <w:sz w:val="16"/>
              </w:rPr>
              <w:t>Kyrgyzstan</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Canada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Ethiopia</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Kosovo</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Tajikistan</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Montenegro</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China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Ukraine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Argentina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Colombia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Azerbaijan</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11</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Russia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Norway</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Algeria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Finland</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Vietnam</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Brazil</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26</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Turkmenistan</w:t>
            </w:r>
          </w:p>
        </w:tc>
        <w:tc>
          <w:tcPr>
            <w:tcW w:w="7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Egypt</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Sweden</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India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29</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Indonesia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30</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Kazakhstan</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Iran</w:t>
            </w:r>
          </w:p>
        </w:tc>
        <w:tc>
          <w:tcPr>
            <w:tcW w:w="7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7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31</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7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25</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50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Specifications (1) and (2) show unit cost ($/GPU-hr), rank among 85 countries, and regime type. (3) shows regime type only (cost and rank unchanged from (2)). EE = training + inference exporter; IE = inference exporter; DD = domestic producer; II = full importer. (1) Raw: observed electricity tariffs. (2) Cost-recovery: subsidized tariffs replaced with LRMC. (3) Bilateral: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only regime assignments change.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