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22, 2026  00:57</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7" w:name="IEA2025txt"/>
      <w:hyperlink w:anchor="IEA2025" w:history="1">
        <w:r>
          <w:rPr>
            <w:color w:val="1F3864"/>
            <w:u w:val="single"/>
          </w:rPr>
          <w:t xml:space="preserve">IEA 2025</w:t>
        </w:r>
      </w:hyperlink>
      <w:bookmarkEnd w:id="247"/>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8" w:name="Hausmann2007txt"/>
      <w:hyperlink w:anchor="Hausmann2007" w:history="1">
        <w:r>
          <w:rPr>
            <w:color w:val="1F3864"/>
            <w:u w:val="single"/>
          </w:rPr>
          <w:t xml:space="preserve">Hausmann et al. (2007)</w:t>
        </w:r>
      </w:hyperlink>
      <w:bookmarkEnd w:id="248"/>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9" w:name="Liu2023txt"/>
      <w:hyperlink w:anchor="Liu2023" w:history="1">
        <w:r>
          <w:rPr>
            <w:color w:val="1F3864"/>
            <w:u w:val="single"/>
          </w:rPr>
          <w:t xml:space="preserve">Liu et al. (2023)</w:t>
        </w:r>
      </w:hyperlink>
      <w:bookmarkEnd w:id="249"/>
      <w:r>
        <w:t xml:space="preserve"> study data center placement under renewable energy constraints. These studies focus on where firms should build data centers. In international trade theory, </w:t>
      </w:r>
      <w:bookmarkStart w:id="254" w:name="Brainard1997txt"/>
      <w:hyperlink w:anchor="Brainard1997" w:history="1">
        <w:r>
          <w:rPr>
            <w:color w:val="1F3864"/>
            <w:u w:val="single"/>
          </w:rPr>
          <w:t xml:space="preserve">Brainard (1997)</w:t>
        </w:r>
      </w:hyperlink>
      <w:bookmarkEnd w:id="254"/>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5" w:name="Pilz2025txt"/>
      <w:hyperlink w:anchor="Pilz2025" w:history="1">
        <w:r>
          <w:rPr>
            <w:color w:val="1F3864"/>
            <w:u w:val="single"/>
          </w:rPr>
          <w:t xml:space="preserve">Pilz et al. (2025)</w:t>
        </w:r>
      </w:hyperlink>
      <w:bookmarkEnd w:id="255"/>
      <w:r>
        <w:t xml:space="preserve"> project that AI data center power demand could reach 327 GW by 2030 and that domestic power shortages may push compute infrastructure abroad. The </w:t>
      </w:r>
      <w:bookmarkStart w:id="256" w:name="WorldBank2025txt"/>
      <w:hyperlink w:anchor="WorldBank2025" w:history="1">
        <w:r>
          <w:rPr>
            <w:color w:val="1F3864"/>
            <w:u w:val="single"/>
          </w:rPr>
          <w:t xml:space="preserve">World Bank (2025)</w:t>
        </w:r>
      </w:hyperlink>
      <w:bookmarkEnd w:id="256"/>
      <w:r>
        <w:t xml:space="preserve"> documents the resulting global compute divide: high-income countries hold 77% of colocation data center capacity and account for 87% of cloud computing exports (</w:t>
      </w:r>
      <w:bookmarkStart w:id="250" w:name="Stojkoski2024txt"/>
      <w:hyperlink w:anchor="Stojkoski2024" w:history="1">
        <w:r>
          <w:rPr>
            <w:color w:val="1F3864"/>
            <w:u w:val="single"/>
          </w:rPr>
          <w:t xml:space="preserve">Stojkoski et al. 2024</w:t>
        </w:r>
      </w:hyperlink>
      <w:bookmarkEnd w:id="250"/>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1" w:name="EIA2025txt"/>
      <w:hyperlink w:anchor="EIA2025" w:history="1">
        <w:r>
          <w:rPr>
            <w:color w:val="1F3864"/>
            <w:u w:val="single"/>
          </w:rPr>
          <w:t xml:space="preserve">EIA 2025</w:t>
        </w:r>
      </w:hyperlink>
      <w:bookmarkEnd w:id="251"/>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2" w:name="NVIDIA2024txt"/>
      <w:hyperlink w:anchor="NVIDIA2024" w:history="1">
        <w:r>
          <w:rPr>
            <w:color w:val="1F3864"/>
            <w:u w:val="single"/>
          </w:rPr>
          <w:t xml:space="preserve">NVIDIA 2024</w:t>
        </w:r>
      </w:hyperlink>
      <w:bookmarkEnd w:id="252"/>
      <w:r>
        <w:t xml:space="preserve">). Google’s fleet-wide GPU utilization, after years of optimization with custom schedulers and workload packing, runs in the 60–75% range (</w:t>
      </w:r>
      <w:bookmarkStart w:id="242" w:name="Barroso2018txt"/>
      <w:hyperlink w:anchor="Barroso2018" w:history="1">
        <w:r>
          <w:rPr>
            <w:color w:val="1F3864"/>
            <w:u w:val="single"/>
          </w:rPr>
          <w:t xml:space="preserve">Barroso et al. 2018</w:t>
        </w:r>
      </w:hyperlink>
      <w:bookmarkEnd w:id="242"/>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w:t>
      </w:r>
      <w:r>
        <w:t xml:space="preserve">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Hydropower producers (Kyrgyzstan, Canada, Norway) are not adjusted because their low prices reflect genuine resource advantages rather than fiscal transfers. The resulting cost-recovery ranking—column (2) of Table 3—shifts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Iran drops from first to 24th. Eleven countries change trade regime.</w:t>
      </w:r>
    </w:p>
    <w:p>
      <w:pPr>
        <w:spacing w:before="0" w:after="160"/>
        <w:ind w:firstLine="0"/>
        <w:jc w:val="both"/>
      </w:pPr>
      <w:r>
        <w:t xml:space="preserve">Dividing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Table 3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The Δ column records the rank change from raw tariffs to the preferred specification: Iran drops 84 places</w:t>
      </w:r>
      <w:r>
        <w:t>, Kyrgyzstan drops 64</w:t>
      </w:r>
      <w:r>
        <w:t>, while Austria rises 56 places</w:t>
      </w:r>
      <w:r>
        <w:t xml:space="preserve"> and Switzerland rises 50</w:t>
      </w:r>
      <w:r>
        <w:t>. The rank reshuffling is large because the cross-country cost spread is narrow; even small reliability differences reshuffle adjacent ranks.</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Table 3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consistent with Proposition 4.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amortizes hardware and construction costs using straight-line depreciation, implicitly assuming a zero discount rate and uniform financing costs across countries. In practice, the cost of capital varies substantially. An OECD-based hyperscaler financing at a weighted average cost of capital (WACC) of 8% faces an annualized hardware cost of $1.58 per GPU-hour, compared with $1.36 under straight-line depreciation. A locally financed facility in a developing country, facing a WACC of 18% owing to sovereign risk, currency risk, and shallow domestic capital markets, would pay $1.87 per GPU-hour for the same hardware—a financing gap of $0.29 per GPU-hour on hardware alone. Including construction (at 15-year facility life), the total financing gap between an OECD and a developing-country operator widens to approximately $0.37 per GPU-hour, roughly four times the entire electricity cost spread across the top 20 countries in the baseline ranking. The effect on comparative advantage depends on the ownership model. If hyperscalers finance facilities at their own WACC regardless of host country, financing costs are approximately uniform and the baseline rankings hold. If local entrepreneurs or sovereign wealth funds finance at domestic rates,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compounding the disadvantage of low-income producers. The calibration’s implicit assumption of uniform financing is therefore conservative in the sense that it overstates developing-country cost competitiveness relative to a scenario with heterogeneous cost of capital.</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8" w:name="Krugman1991txt"/>
      <w:hyperlink w:anchor="Krugman1991" w:history="1">
        <w:r>
          <w:rPr>
            <w:color w:val="1F3864"/>
            <w:u w:val="single"/>
          </w:rPr>
          <w:t xml:space="preserve">Krugman 1991</w:t>
        </w:r>
      </w:hyperlink>
      <w:bookmarkEnd w:id="228"/>
      <w:r>
        <w:t xml:space="preserve">). The concentration of data centers in locations such as Northern Virginia reflects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with the lowest electricity, cooling, and construction costs, conditional on meeting minimum infrastructure thresholds. The cost ranking in Table A1 thus identifies the feasibility frontier. Cost-competitive countries have a prerequisite for attracting investment, though cost competitiveness alone is not sufficient. The thin margins documented above (a 12% spread between the cheapest and the most expensive) reinforce this point. Since unit cost advantages are modest, institutional and agglomeration factors are often decisive in determining which countries are cost-competitive and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6" w:name="EatonKortum2002txt"/>
      <w:hyperlink w:anchor="EatonKortum2002" w:history="1">
        <w:r>
          <w:rPr>
            <w:color w:val="1F3864"/>
            <w:u w:val="single"/>
          </w:rPr>
          <w:t xml:space="preserve">Eaton and Kortum 2002</w:t>
        </w:r>
      </w:hyperlink>
      <w:bookmarkEnd w:id="246"/>
      <w:r>
        <w:t xml:space="preserve">, </w:t>
      </w:r>
      <w:bookmarkStart w:id="253" w:name="ACR2012txt"/>
      <w:hyperlink w:anchor="ACR2012" w:history="1">
        <w:r>
          <w:rPr>
            <w:color w:val="1F3864"/>
            <w:u w:val="single"/>
          </w:rPr>
          <w:t xml:space="preserve">Arkolakis et al. 2012</w:t>
        </w:r>
      </w:hyperlink>
      <w:bookmarkEnd w:id="253"/>
      <w:r>
        <w:t xml:space="preserve">). The model generates a country taxonomy (full importers, training exporters, inference hubs, and hybrid regimes) that maps onto observed investment patterns. This geographic structure is consistent with </w:t>
      </w:r>
      <w:bookmarkStart w:id="229" w:name="Lehdonvirta2024txt"/>
      <w:hyperlink w:anchor="Lehdonvirta2024" w:history="1">
        <w:r>
          <w:rPr>
            <w:color w:val="1F3864"/>
            <w:u w:val="single"/>
          </w:rPr>
          <w:t xml:space="preserve">Lehdonvirta et al. (2024)</w:t>
        </w:r>
      </w:hyperlink>
      <w:bookmarkEnd w:id="229"/>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0" w:name="vanderPloeg2011txt"/>
      <w:hyperlink w:anchor="vanderPloeg2011" w:history="1">
        <w:r>
          <w:rPr>
            <w:color w:val="1F3864"/>
            <w:u w:val="single"/>
          </w:rPr>
          <w:t xml:space="preserve">van der Ploeg 2011</w:t>
        </w:r>
      </w:hyperlink>
      <w:bookmarkEnd w:id="230"/>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5"/>
    </w:p>
    <w:p>
      <w:pPr>
        <w:spacing w:before="0" w:after="80" w:line="240" w:lineRule="exact"/>
        <w:ind w:hanging="720" w:left="720"/>
        <w:jc w:val="both"/>
      </w:pPr>
      <w:bookmarkStart w:id="506" w:name="Deloitte2020"/>
      <w:hyperlink w:anchor="Deloitte2020txt" w:history="1">
        <w:r>
          <w:rPr>
            <w:color w:val="1F3864"/>
            <w:u w:val="single"/>
          </w:rPr>
          <w:t xml:space="preserve">Deloitte and Google. (2020). </w:t>
        </w:r>
      </w:hyperlink>
      <w:r>
        <w:t>“Milliseconds Make Millions.” Deloitte Digital and Google.</w:t>
      </w:r>
      <w:bookmarkEnd w:id="506"/>
    </w:p>
    <w:p>
      <w:pPr>
        <w:spacing w:before="0" w:after="80" w:line="240" w:lineRule="exact"/>
        <w:ind w:hanging="720" w:left="720"/>
        <w:jc w:val="both"/>
      </w:pPr>
      <w:bookmarkStart w:id="50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7"/>
    </w:p>
    <w:p>
      <w:pPr>
        <w:spacing w:before="0" w:after="80" w:line="240" w:lineRule="exact"/>
        <w:ind w:hanging="720" w:left="720"/>
        <w:jc w:val="both"/>
      </w:pPr>
      <w:bookmarkStart w:id="50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8"/>
    </w:p>
    <w:p>
      <w:pPr>
        <w:spacing w:before="0" w:after="80" w:line="240" w:lineRule="exact"/>
        <w:ind w:hanging="720" w:left="720"/>
        <w:jc w:val="both"/>
      </w:pPr>
      <w:bookmarkStart w:id="50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9"/>
    </w:p>
    <w:p>
      <w:pPr>
        <w:spacing w:before="0" w:after="80" w:line="240" w:lineRule="exact"/>
        <w:ind w:hanging="720" w:left="720"/>
        <w:jc w:val="both"/>
      </w:pPr>
      <w:bookmarkStart w:id="510" w:name="EpochAI2024"/>
      <w:hyperlink w:anchor="EpochAI2024txt" w:history="1">
        <w:r>
          <w:rPr>
            <w:color w:val="1F3864"/>
            <w:u w:val="single"/>
          </w:rPr>
          <w:t xml:space="preserve">Epoch AI. (2024). </w:t>
        </w:r>
      </w:hyperlink>
      <w:r>
        <w:t>“The Training Compute of Notable AI Models.” epochai.org.</w:t>
      </w:r>
      <w:bookmarkEnd w:id="510"/>
    </w:p>
    <w:p>
      <w:pPr>
        <w:spacing w:before="0" w:after="80" w:line="240" w:lineRule="exact"/>
        <w:ind w:hanging="720" w:left="720"/>
        <w:jc w:val="both"/>
      </w:pPr>
      <w:bookmarkStart w:id="51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1"/>
    </w:p>
    <w:p>
      <w:pPr>
        <w:spacing w:before="0" w:after="80" w:line="240" w:lineRule="exact"/>
        <w:ind w:hanging="720" w:left="720"/>
        <w:jc w:val="both"/>
      </w:pPr>
      <w:bookmarkStart w:id="51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2"/>
    </w:p>
    <w:p>
      <w:pPr>
        <w:spacing w:before="0" w:after="80" w:line="240" w:lineRule="exact"/>
        <w:ind w:hanging="720" w:left="720"/>
        <w:jc w:val="both"/>
      </w:pPr>
      <w:bookmarkStart w:id="51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3"/>
    </w:p>
    <w:p>
      <w:pPr>
        <w:spacing w:before="0" w:after="80" w:line="240" w:lineRule="exact"/>
        <w:ind w:hanging="720" w:left="720"/>
        <w:jc w:val="both"/>
      </w:pPr>
      <w:bookmarkStart w:id="51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4"/>
    </w:p>
    <w:p>
      <w:pPr>
        <w:spacing w:before="0" w:after="80" w:line="240" w:lineRule="exact"/>
        <w:ind w:hanging="720" w:left="720"/>
        <w:jc w:val="both"/>
      </w:pPr>
      <w:bookmarkStart w:id="51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5"/>
    </w:p>
    <w:p>
      <w:pPr>
        <w:spacing w:before="0" w:after="80" w:line="240" w:lineRule="exact"/>
        <w:ind w:hanging="720" w:left="720"/>
        <w:jc w:val="both"/>
      </w:pPr>
      <w:bookmarkStart w:id="516" w:name="Google2024"/>
      <w:r>
        <w:rPr>
          <w:color w:val="1F3864"/>
          <w:u w:val="single"/>
        </w:rPr>
        <w:t xml:space="preserve">Google. </w:t>
      </w:r>
      <w:r>
        <w:t xml:space="preserve">(2024). </w:t>
      </w:r>
      <w:r>
        <w:rPr>
          <w:i/>
        </w:rPr>
        <w:t>2024 Environmental Report</w:t>
      </w:r>
      <w:r>
        <w:t>. sustainability.google.</w:t>
      </w:r>
      <w:bookmarkEnd w:id="516"/>
    </w:p>
    <w:p>
      <w:pPr>
        <w:spacing w:before="0" w:after="80" w:line="240" w:lineRule="exact"/>
        <w:ind w:hanging="720" w:left="720"/>
        <w:jc w:val="both"/>
      </w:pPr>
      <w:bookmarkStart w:id="51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7"/>
    </w:p>
    <w:p>
      <w:pPr>
        <w:spacing w:before="0" w:after="80" w:line="240" w:lineRule="exact"/>
        <w:ind w:hanging="720" w:left="720"/>
        <w:jc w:val="both"/>
      </w:pPr>
      <w:bookmarkStart w:id="518"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8"/>
    </w:p>
    <w:p>
      <w:pPr>
        <w:spacing w:before="0" w:after="80" w:line="240" w:lineRule="exact"/>
        <w:ind w:hanging="720" w:left="720"/>
        <w:jc w:val="both"/>
      </w:pPr>
      <w:bookmarkStart w:id="519"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9"/>
    </w:p>
    <w:p>
      <w:pPr>
        <w:spacing w:before="0" w:after="80" w:line="240" w:lineRule="exact"/>
        <w:ind w:hanging="720" w:left="720"/>
        <w:jc w:val="both"/>
      </w:pPr>
      <w:bookmarkStart w:id="520"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0"/>
    </w:p>
    <w:p>
      <w:pPr>
        <w:spacing w:before="0" w:after="80" w:line="240" w:lineRule="exact"/>
        <w:ind w:hanging="720" w:left="720"/>
        <w:jc w:val="both"/>
      </w:pPr>
      <w:bookmarkStart w:id="521" w:name="IEA2025"/>
      <w:hyperlink w:anchor="IEA2025txt" w:history="1">
        <w:r>
          <w:rPr>
            <w:color w:val="1F3864"/>
            <w:u w:val="single"/>
          </w:rPr>
          <w:t xml:space="preserve">IEA. (2025). </w:t>
        </w:r>
      </w:hyperlink>
      <w:r>
        <w:t>“Energy Demand from AI.” Published online at iea.org.</w:t>
      </w:r>
      <w:bookmarkEnd w:id="521"/>
    </w:p>
    <w:p>
      <w:pPr>
        <w:spacing w:before="0" w:after="80" w:line="240" w:lineRule="exact"/>
        <w:ind w:hanging="720" w:left="720"/>
        <w:jc w:val="both"/>
      </w:pPr>
      <w:bookmarkStart w:id="52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2"/>
    </w:p>
    <w:p>
      <w:pPr>
        <w:spacing w:before="0" w:after="80" w:line="240" w:lineRule="exact"/>
        <w:ind w:hanging="720" w:left="720"/>
        <w:jc w:val="both"/>
      </w:pPr>
      <w:bookmarkStart w:id="523"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3"/>
    </w:p>
    <w:p>
      <w:pPr>
        <w:spacing w:before="0" w:after="80" w:line="240" w:lineRule="exact"/>
        <w:ind w:hanging="720" w:left="720"/>
        <w:jc w:val="both"/>
      </w:pPr>
      <w:bookmarkStart w:id="524"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4"/>
    </w:p>
    <w:p>
      <w:pPr>
        <w:spacing w:before="0" w:after="80" w:line="240" w:lineRule="exact"/>
        <w:ind w:hanging="720" w:left="720"/>
        <w:jc w:val="both"/>
      </w:pPr>
      <w:bookmarkStart w:id="525"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5"/>
    </w:p>
    <w:p>
      <w:pPr>
        <w:spacing w:before="0" w:after="80" w:line="240" w:lineRule="exact"/>
        <w:ind w:hanging="720" w:left="720"/>
        <w:jc w:val="both"/>
      </w:pPr>
      <w:bookmarkStart w:id="526"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6"/>
    </w:p>
    <w:p>
      <w:pPr>
        <w:spacing w:before="0" w:after="80" w:line="240" w:lineRule="exact"/>
        <w:ind w:hanging="720" w:left="720"/>
        <w:jc w:val="both"/>
      </w:pPr>
      <w:bookmarkStart w:id="527"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7"/>
    </w:p>
    <w:p>
      <w:pPr>
        <w:spacing w:before="0" w:after="80" w:line="240" w:lineRule="exact"/>
        <w:ind w:hanging="720" w:left="720"/>
        <w:jc w:val="both"/>
      </w:pPr>
      <w:bookmarkStart w:id="528"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8"/>
    </w:p>
    <w:p>
      <w:pPr>
        <w:spacing w:before="0" w:after="80" w:line="240" w:lineRule="exact"/>
        <w:ind w:hanging="720" w:left="720"/>
        <w:jc w:val="both"/>
      </w:pPr>
      <w:bookmarkStart w:id="529"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9"/>
    </w:p>
    <w:p>
      <w:pPr>
        <w:spacing w:before="0" w:after="80" w:line="240" w:lineRule="exact"/>
        <w:ind w:hanging="720" w:left="720"/>
        <w:jc w:val="both"/>
      </w:pPr>
      <w:bookmarkStart w:id="530"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0"/>
    </w:p>
    <w:p>
      <w:pPr>
        <w:spacing w:before="0" w:after="80" w:line="240" w:lineRule="exact"/>
        <w:ind w:hanging="720" w:left="720"/>
        <w:jc w:val="both"/>
      </w:pPr>
      <w:bookmarkStart w:id="531"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1"/>
    </w:p>
    <w:p>
      <w:pPr>
        <w:spacing w:before="0" w:after="80" w:line="240" w:lineRule="exact"/>
        <w:ind w:hanging="720" w:left="720"/>
        <w:jc w:val="both"/>
      </w:pPr>
      <w:bookmarkStart w:id="532" w:name="Sastry2024"/>
      <w:hyperlink w:anchor="Sastry2024txt" w:history="1">
        <w:r>
          <w:rPr>
            <w:color w:val="1F3864"/>
            <w:u w:val="single"/>
          </w:rPr>
          <w:t xml:space="preserve">Sastry, G., L. Heim, et al. (2024). </w:t>
        </w:r>
      </w:hyperlink>
      <w:r>
        <w:t>“Computing Power and the Governance of Artificial Intelligence.” arXiv:2402.08797.</w:t>
      </w:r>
      <w:bookmarkEnd w:id="532"/>
    </w:p>
    <w:p>
      <w:pPr>
        <w:spacing w:before="0" w:after="80" w:line="240" w:lineRule="exact"/>
        <w:ind w:hanging="720" w:left="720"/>
        <w:jc w:val="both"/>
      </w:pPr>
      <w:bookmarkStart w:id="533"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3"/>
    </w:p>
    <w:p>
      <w:pPr>
        <w:spacing w:before="0" w:after="80" w:line="240" w:lineRule="exact"/>
        <w:ind w:hanging="720" w:left="720"/>
        <w:jc w:val="both"/>
      </w:pPr>
      <w:bookmarkStart w:id="534"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4"/>
    </w:p>
    <w:p>
      <w:pPr>
        <w:spacing w:before="0" w:after="80" w:line="240" w:lineRule="exact"/>
        <w:ind w:hanging="720" w:left="720"/>
        <w:jc w:val="both"/>
      </w:pPr>
      <w:bookmarkStart w:id="535" w:name="TurnerLee2025"/>
      <w:hyperlink w:anchor="TurnerLee2025txt" w:history="1">
        <w:r>
          <w:rPr>
            <w:color w:val="1F3864"/>
            <w:u w:val="single"/>
          </w:rPr>
          <w:t xml:space="preserve">Turner Lee, N., and D. West. (2025). </w:t>
        </w:r>
      </w:hyperlink>
      <w:r>
        <w:t>“The Future of Data Centers.” Brookings Institution, November 2025.</w:t>
      </w:r>
      <w:bookmarkEnd w:id="535"/>
    </w:p>
    <w:p>
      <w:pPr>
        <w:spacing w:before="0" w:after="80" w:line="240" w:lineRule="exact"/>
        <w:ind w:hanging="720" w:left="720"/>
        <w:jc w:val="both"/>
      </w:pPr>
      <w:bookmarkStart w:id="536" w:name="DOJFTC2010"/>
      <w:r>
        <w:rPr>
          <w:color w:val="1F3864"/>
          <w:u w:val="single"/>
        </w:rPr>
        <w:t xml:space="preserve">U.S. Department of Justice and Federal Trade Commission. </w:t>
      </w:r>
      <w:r>
        <w:t xml:space="preserve">(2010). </w:t>
      </w:r>
      <w:r>
        <w:rPr>
          <w:i/>
        </w:rPr>
        <w:t>Horizontal Merger Guidelines</w:t>
      </w:r>
      <w:r>
        <w:t>. Washington, DC.</w:t>
      </w:r>
      <w:bookmarkEnd w:id="536"/>
    </w:p>
    <w:p>
      <w:pPr>
        <w:spacing w:before="0" w:after="80" w:line="240" w:lineRule="exact"/>
        <w:ind w:hanging="720" w:left="720"/>
        <w:jc w:val="both"/>
      </w:pPr>
      <w:bookmarkStart w:id="537" w:name="UNCTAD2025"/>
      <w:r>
        <w:rPr>
          <w:color w:val="1F3864"/>
          <w:u w:val="single"/>
        </w:rPr>
        <w:t xml:space="preserve">UNCTAD. </w:t>
      </w:r>
      <w:r>
        <w:t xml:space="preserve">(2025). </w:t>
      </w:r>
      <w:r>
        <w:rPr>
          <w:i/>
        </w:rPr>
        <w:t>Technology and Innovation Report 2025</w:t>
      </w:r>
      <w:r>
        <w:t>. Geneva: United Nations.</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9"/>
    </w:p>
    <w:p>
      <w:pPr>
        <w:spacing w:before="0" w:after="80" w:line="240" w:lineRule="exact"/>
        <w:ind w:hanging="720" w:left="720"/>
        <w:jc w:val="both"/>
      </w:pPr>
      <w:bookmarkStart w:id="54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0"/>
    </w:p>
    <w:p>
      <w:pPr>
        <w:spacing w:before="0" w:after="80" w:line="240" w:lineRule="exact"/>
        <w:ind w:hanging="720" w:left="720"/>
        <w:jc w:val="both"/>
      </w:pPr>
      <w:bookmarkStart w:id="54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1"/>
    </w:p>
    <w:p>
      <w:pPr>
        <w:spacing w:before="0" w:after="80" w:line="240" w:lineRule="exact"/>
        <w:ind w:hanging="720" w:left="720"/>
        <w:jc w:val="both"/>
      </w:pPr>
      <w:bookmarkStart w:id="54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2"/>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rFonts w:ascii="Times New Roman" w:hAnsi="Times New Roman"/>
          <w:b w:val="0"/>
          <w:i/>
          <w:sz w:val="24"/>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sz w:val="20"/>
              </w:rPr>
              <w:t>Pᴳᴘᴜ</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w:r>
              <w:rPr>
                <w:rFonts w:ascii="Times New Roman" w:hAnsi="Times New Roman"/>
                <w:sz w:val="20"/>
              </w:rPr>
              <w:t>θ̄</w:t>
            </w:r>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w:r>
              <w:rPr>
                <w:rFonts w:ascii="Times New Roman" w:hAnsi="Times New Roman"/>
                <w:sz w:val="20"/>
              </w:rPr>
              <w:t>ξⱼ</w:t>
            </w:r>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69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$1.74</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$1.88</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$1.41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-81</w:t>
            </w:r>
          </w:p>
        </w:tc>
      </w:tr>
      <w:tr>
        <w:tc>
          <w:tcPr>
            <w:tcBorders>
              <w:bottom w:val="double" w:sz="4" w:space="0" w:color="auto"/>
            </w:tcBorders>
            <w:tcW w:w="1800" w:type="dxa"/>
          </w:tcPr>
          <w:p>
            <w:pPr>
              <w:jc w:val="left"/>
              <w:spacing w:before="10" w:after="10"/>
            </w:pPr>
            <w:r/>
            <w:r>
              <w:rPr>
                <w:rFonts w:ascii="Times New Roman" w:hAnsi="Times New Roman"/>
                <w:sz w:val="16"/>
              </w:rPr>
              <w:t>Iran</w:t>
            </w:r>
          </w:p>
        </w:tc>
        <w:tc>
          <w:tcPr>
            <w:tcBorders>
              <w:bottom w:val="double" w:sz="4" w:space="0" w:color="auto"/>
            </w:tcBorders>
            <w:tcW w:w="900" w:type="dxa"/>
          </w:tcPr>
          <w:p>
            <w:pPr>
              <w:jc w:val="center"/>
              <w:spacing w:before="10" w:after="10"/>
            </w:pPr>
            <w:r/>
            <w:r>
              <w:rPr>
                <w:rFonts w:ascii="Times New Roman" w:hAnsi="Times New Roman"/>
                <w:sz w:val="16"/>
              </w:rPr>
              <w:t>$1.40</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$1.97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i/>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25 selected countries;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i/>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