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20:01</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0" w:line="240" w:lineRule="auto"/>
        <w:ind w:firstLine="0" w:left="720" w:right="720"/>
        <w:jc w:val="both"/>
      </w:pPr>
      <w:r>
        <w:rPr>
          <w:b/>
        </w:rPr>
        <w:t xml:space="preserve">JEL Classification: </w:t>
      </w:r>
      <w:r>
        <w:t>F14, F18, L86, O14, O33, Q40</w:t>
      </w:r>
    </w:p>
    <w:p>
      <w:pPr>
        <w:spacing w:before="0" w:after="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0"/>
        <w:ind w:firstLine="0"/>
        <w:jc w:val="both"/>
      </w:pPr>
    </w:p>
    <w:p>
      <w:pPr>
        <w:spacing w:before="0" w:after="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0"/>
        <w:ind w:firstLine="0"/>
        <w:jc w:val="both"/>
      </w:pPr>
    </w:p>
    <w:p>
      <w:pPr>
        <w:spacing w:before="0" w:after="0"/>
        <w:ind w:firstLine="0"/>
        <w:jc w:val="both"/>
      </w:pPr>
    </w:p>
    <w:p>
      <w:pPr>
        <w:pStyle w:val="Heading1"/>
      </w:pPr>
      <w:r>
        <w:rPr>
          <w:rFonts w:ascii="Times New Roman" w:hAnsi="Times New Roman"/>
          <w:b/>
          <w:color w:val="2F5496"/>
          <w:sz w:val="28"/>
        </w:rPr>
        <w:t>3. Model of Compute Production and Trade</w:t>
      </w:r>
    </w:p>
    <w:p>
      <w:pPr>
        <w:spacing w:before="0" w:after="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0"/>
        <w:ind w:firstLine="0"/>
        <w:jc w:val="both"/>
      </w:pPr>
      <w:r>
        <w:t>This section derives the formal properties of the capacity-constrained equilibrium defined in Section 3. Full derivations are shown in Appendix B.</w:t>
      </w:r>
    </w:p>
    <w:p>
      <w:pPr>
        <w:spacing w:before="0" w:after="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0"/>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−6.9%</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−0.8%</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1.00),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0"/>
        <w:ind w:firstLine="0"/>
        <w:jc w:val="both"/>
      </w:pPr>
    </w:p>
    <w:p>
      <w:pPr>
        <w:spacing w:before="0" w:after="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0"/>
        <w:ind w:firstLine="0"/>
        <w:jc w:val="both"/>
      </w:pPr>
    </w:p>
    <w:p>
      <w:pPr>
        <w:spacing w:before="0" w:after="0"/>
        <w:ind w:firstLine="0"/>
        <w:jc w:val="both"/>
      </w:pPr>
    </w:p>
    <w:p>
      <w:pPr>
        <w:spacing w:before="0" w:after="0"/>
        <w:ind w:firstLine="0"/>
        <w:jc w:val="both"/>
      </w:pPr>
    </w:p>
    <w:p>
      <w:pPr>
        <w:pStyle w:val="Heading1"/>
      </w:pPr>
      <w:r>
        <w:rPr>
          <w:rFonts w:ascii="Times New Roman" w:hAnsi="Times New Roman"/>
          <w:b/>
          <w:color w:val="2F5496"/>
          <w:sz w:val="28"/>
        </w:rPr>
        <w:t>8. Conclusion</w:t>
      </w:r>
    </w:p>
    <w:p>
      <w:pPr>
        <w:spacing w:before="0" w:after="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4" w:name="Eq3txt904"/>
      <w:hyperlink w:anchor="Eq3" w:history="1">
        <w:r>
          <w:rPr>
            <w:rFonts w:ascii="Times New Roman" w:hAnsi="Times New Roman"/>
            <w:sz w:val="20"/>
            <w:color w:val="1F3864"/>
            <w:u w:val="single"/>
          </w:rPr>
          <w:t xml:space="preserve">equation (3)</w:t>
        </w:r>
      </w:hyperlink>
      <w:bookmarkEnd w:id="904"/>
      <w:r>
        <w:rPr>
          <w:rFonts w:ascii="Times New Roman" w:hAnsi="Times New Roman"/>
          <w:sz w:val="20"/>
        </w:rPr>
        <w:t xml:space="preserve">. Under specs (1)–(2), λ = 0, so Pⱼ = cⱼ. Under spec (3), Pⱼₖ = cⱼ(1 + λⱼₖ) where k = United States. EE = training + inference exporter; IE = inference exporter;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