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v24  —  February 22, 2026  23:44</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cross-country cost differences are small, making production efficiency, bilateral trade frictions,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4" w:name="EpochAI2024txt"/>
      <w:hyperlink w:anchor="EpochAI2024" w:history="1">
        <w:r>
          <w:rPr>
            <w:color w:val="1F3864"/>
            <w:u w:val="single"/>
          </w:rPr>
          <w:t xml:space="preserve">Epoch AI 2024</w:t>
        </w:r>
      </w:hyperlink>
      <w:bookmarkEnd w:id="234"/>
      <w:r>
        <w:t xml:space="preserve">). Data centers accounted for approximately 1.5% of global electricity demand in 2024—more than the electricity consumption of France—a share projected to more than double by 2030 (</w:t>
      </w:r>
      <w:bookmarkStart w:id="246" w:name="IEA2025txt"/>
      <w:hyperlink w:anchor="IEA2025" w:history="1">
        <w:r>
          <w:rPr>
            <w:color w:val="1F3864"/>
            <w:u w:val="single"/>
          </w:rPr>
          <w:t xml:space="preserve">IEA 2025</w:t>
        </w:r>
      </w:hyperlink>
      <w:bookmarkEnd w:id="246"/>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under raw electricity tariffs (20 percent after efficiency adjustment). Once production-efficiency penalties for grid outages and weak governance are applied, the cost ranking changes substantially. Several energy-abundant but institutionally fragile economies fall out of the top tier, replaced by countries with more reliable grids and stronger institutions at moderately higher energy costs.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7" w:name="Hausmann2007txt"/>
      <w:hyperlink w:anchor="Hausmann2007" w:history="1">
        <w:r>
          <w:rPr>
            <w:color w:val="1F3864"/>
            <w:u w:val="single"/>
          </w:rPr>
          <w:t xml:space="preserve">Hausmann et al. (2007)</w:t>
        </w:r>
      </w:hyperlink>
      <w:bookmarkEnd w:id="247"/>
      <w:r>
        <w:t xml:space="preserve">, who show that what a country exports matters for growth. </w:t>
      </w:r>
      <w:bookmarkStart w:id="238" w:name="Limao2001txt"/>
      <w:hyperlink w:anchor="Limao2001" w:history="1">
        <w:r>
          <w:rPr>
            <w:color w:val="1F3864"/>
            <w:u w:val="single"/>
          </w:rPr>
          <w:t xml:space="preserve">Limão and Venables (2001)</w:t>
        </w:r>
      </w:hyperlink>
      <w:bookmarkEnd w:id="238"/>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48" w:name="Liu2023txt"/>
      <w:hyperlink w:anchor="Liu2023" w:history="1">
        <w:r>
          <w:rPr>
            <w:color w:val="1F3864"/>
            <w:u w:val="single"/>
          </w:rPr>
          <w:t xml:space="preserve">Liu et al. (2023)</w:t>
        </w:r>
      </w:hyperlink>
      <w:bookmarkEnd w:id="248"/>
      <w:r>
        <w:t xml:space="preserve"> study data center placement under renewable energy constraints. These studies focus on where firms should build data centers. In international trade theory, </w:t>
      </w:r>
      <w:bookmarkStart w:id="251" w:name="Brainard1997txt"/>
      <w:hyperlink w:anchor="Brainard1997" w:history="1">
        <w:r>
          <w:rPr>
            <w:color w:val="1F3864"/>
            <w:u w:val="single"/>
          </w:rPr>
          <w:t xml:space="preserve">Brainard (1997)</w:t>
        </w:r>
      </w:hyperlink>
      <w:bookmarkEnd w:id="251"/>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ind w:firstLine="0"/>
        <w:jc w:val="both"/>
      </w:pPr>
      <w:r>
        <w:t xml:space="preserve">On the governance side, </w:t>
      </w:r>
      <w:bookmarkStart w:id="240" w:name="Sastry2024txt"/>
      <w:hyperlink w:anchor="Sastry2024" w:history="1">
        <w:r>
          <w:rPr>
            <w:color w:val="1F3864"/>
            <w:u w:val="single"/>
          </w:rPr>
          <w:t xml:space="preserve">Sastry et al. (2024)</w:t>
        </w:r>
      </w:hyperlink>
      <w:bookmarkEnd w:id="240"/>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2" w:name="Pilz2025txt"/>
      <w:hyperlink w:anchor="Pilz2025" w:history="1">
        <w:r>
          <w:rPr>
            <w:color w:val="1F3864"/>
            <w:u w:val="single"/>
          </w:rPr>
          <w:t xml:space="preserve">Pilz et al. (2025)</w:t>
        </w:r>
      </w:hyperlink>
      <w:bookmarkEnd w:id="252"/>
      <w:r>
        <w:t xml:space="preserve"> project that AI data center power demand could reach 327 GW by 2030 and that domestic power shortages may push compute infrastructure abroad. The </w:t>
      </w:r>
      <w:bookmarkStart w:id="253" w:name="WorldBank2025txt"/>
      <w:hyperlink w:anchor="WorldBank2025" w:history="1">
        <w:r>
          <w:rPr>
            <w:color w:val="1F3864"/>
            <w:u w:val="single"/>
          </w:rPr>
          <w:t xml:space="preserve">World Bank (2025)</w:t>
        </w:r>
      </w:hyperlink>
      <w:bookmarkEnd w:id="253"/>
      <w:r>
        <w:t xml:space="preserve"> documents the resulting global compute divide: high-income countries hold 77% of colocation data center capacity and account for 87% of cloud computing exports (</w:t>
      </w:r>
      <w:bookmarkStart w:id="249" w:name="Stojkoski2024txt"/>
      <w:hyperlink w:anchor="Stojkoski2024" w:history="1">
        <w:r>
          <w:rPr>
            <w:color w:val="1F3864"/>
            <w:u w:val="single"/>
          </w:rPr>
          <w:t xml:space="preserve">Stojkoski et al. 2024</w:t>
        </w:r>
      </w:hyperlink>
      <w:bookmarkEnd w:id="249"/>
      <w:r>
        <w:t xml:space="preserve">), but the report offers descriptive evidence without a formal framework linking production costs to trade patterns. On the industrial organization side, </w:t>
      </w:r>
      <w:bookmarkStart w:id="241" w:name="Biglaiser2024txt"/>
      <w:hyperlink w:anchor="Biglaiser2024" w:history="1">
        <w:r>
          <w:rPr>
            <w:color w:val="1F3864"/>
            <w:u w:val="single"/>
          </w:rPr>
          <w:t xml:space="preserve">Biglaiser et al. (2024)</w:t>
        </w:r>
      </w:hyperlink>
      <w:bookmarkEnd w:id="241"/>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It is constructed as the product of two normalized scores: grid reliability (inverse of hours without electricity per firm per year) and operational risk (a composite of contract enforcement, expropriation risk, and regulatory predictability). It approaches one for countries with reliable power and sound institutions, and falls below one where outages or operational risk reduce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1" w:name="Hummels2013txt"/>
      <w:hyperlink w:anchor="Hummels2013" w:history="1">
        <w:r>
          <w:rPr>
            <w:color w:val="1F3864"/>
            <w:u w:val="single"/>
          </w:rPr>
          <w:t xml:space="preserve">Hummels and Schaur (2013)</w:t>
        </w:r>
      </w:hyperlink>
      <w:bookmarkEnd w:id="211"/>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4,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2" w:name="Eurostat2025txt"/>
      <w:hyperlink w:anchor="Eurostat2025" w:history="1">
        <w:r>
          <w:rPr>
            <w:color w:val="1F3864"/>
            <w:u w:val="single"/>
          </w:rPr>
          <w:t xml:space="preserve">Eurostat 2025</w:t>
        </w:r>
      </w:hyperlink>
      <w:bookmarkEnd w:id="242"/>
      <w:r>
        <w:t xml:space="preserve">). For non-European countries, the prices are obtained from national regulator tariff sheets and secondary sources, including the U.S. Energy Information Administration (</w:t>
      </w:r>
      <w:bookmarkStart w:id="250" w:name="EIA2025txt"/>
      <w:hyperlink w:anchor="EIA2025" w:history="1">
        <w:r>
          <w:rPr>
            <w:color w:val="1F3864"/>
            <w:u w:val="single"/>
          </w:rPr>
          <w:t xml:space="preserve">EIA 2025</w:t>
        </w:r>
      </w:hyperlink>
      <w:bookmarkEnd w:id="250"/>
      <w:r>
        <w:t xml:space="preserve">) for the United States, KEPCO for South Korea, national utility tariffs for Central Asian countries, and </w:t>
      </w:r>
      <w:bookmarkStart w:id="212" w:name="GlobalPetrolPrices2025txt"/>
      <w:hyperlink w:anchor="GlobalPetrolPrices2025" w:history="1">
        <w:r>
          <w:rPr>
            <w:color w:val="1F3864"/>
            <w:u w:val="single"/>
          </w:rPr>
          <w:t xml:space="preserve">GlobalPetrolPrices (2025)</w:t>
        </w:r>
      </w:hyperlink>
      <w:bookmarkEnd w:id="212"/>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3" w:name="Hersbach2020txt"/>
      <w:hyperlink w:anchor="Hersbach2020" w:history="1">
        <w:r>
          <w:rPr>
            <w:color w:val="1F3864"/>
            <w:u w:val="single"/>
          </w:rPr>
          <w:t xml:space="preserve">Hersbach et al. 2020</w:t>
        </w:r>
      </w:hyperlink>
      <w:bookmarkEnd w:id="213"/>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4" w:name="TurnerTownsend2025txt"/>
      <w:hyperlink w:anchor="TurnerTownsend2025" w:history="1">
        <w:r>
          <w:rPr>
            <w:color w:val="1F3864"/>
            <w:u w:val="single"/>
          </w:rPr>
          <w:t xml:space="preserve">Turner &amp; Townsend 2025</w:t>
        </w:r>
      </w:hyperlink>
      <w:bookmarkEnd w:id="214"/>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5" w:name="WonderNetwork2024txt"/>
      <w:hyperlink w:anchor="WonderNetwork2024" w:history="1">
        <w:r>
          <w:rPr>
            <w:color w:val="1F3864"/>
            <w:u w:val="single"/>
          </w:rPr>
          <w:t xml:space="preserve">WonderNetwork 2024</w:t>
        </w:r>
      </w:hyperlink>
      <w:bookmarkEnd w:id="215"/>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6" w:name="Cloudscene2025txt"/>
      <w:hyperlink w:anchor="Cloudscene2025" w:history="1">
        <w:r>
          <w:rPr>
            <w:color w:val="1F3864"/>
            <w:u w:val="single"/>
          </w:rPr>
          <w:t xml:space="preserve">Cloudscene 2025</w:t>
        </w:r>
      </w:hyperlink>
      <w:bookmarkEnd w:id="216"/>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7" w:name="UptimeInstitute2024txt"/>
      <w:hyperlink w:anchor="UptimeInstitute2024" w:history="1">
        <w:r>
          <w:rPr>
            <w:color w:val="1F3864"/>
            <w:u w:val="single"/>
          </w:rPr>
          <w:t xml:space="preserve">Uptime Institute 2024</w:t>
        </w:r>
      </w:hyperlink>
      <w:bookmarkEnd w:id="217"/>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8" w:name="Liu2023txt"/>
      <w:hyperlink w:anchor="Liu2023" w:history="1">
        <w:r>
          <w:rPr>
            <w:color w:val="1F3864"/>
            <w:u w:val="single"/>
          </w:rPr>
          <w:t xml:space="preserve">Liu et al. 2023</w:t>
        </w:r>
      </w:hyperlink>
      <w:bookmarkEnd w:id="218"/>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9" w:name="UptimeInstitute2024txt"/>
      <w:hyperlink w:anchor="UptimeInstitute2024" w:history="1">
        <w:r>
          <w:rPr>
            <w:color w:val="1F3864"/>
            <w:u w:val="single"/>
          </w:rPr>
          <w:t xml:space="preserve">Uptime Institute 2024</w:t>
        </w:r>
      </w:hyperlink>
      <w:bookmarkEnd w:id="219"/>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Google’s GPU utilization, after years of optimization, runs in the 60–75% range (</w:t>
      </w:r>
      <w:bookmarkStart w:id="220" w:name="Barroso2018txt"/>
      <w:hyperlink w:anchor="Barroso2018" w:history="1">
        <w:r>
          <w:rPr>
            <w:color w:val="1F3864"/>
            <w:u w:val="single"/>
          </w:rPr>
          <w:t xml:space="preserve">Barroso et al. 2018</w:t>
        </w:r>
      </w:hyperlink>
      <w:bookmarkEnd w:id="220"/>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1" w:name="Barroso2018txt"/>
      <w:hyperlink w:anchor="Barroso2018" w:history="1">
        <w:r>
          <w:rPr>
            <w:color w:val="1F3864"/>
            <w:u w:val="single"/>
          </w:rPr>
          <w:t xml:space="preserve">Barroso et al. 2018</w:t>
        </w:r>
      </w:hyperlink>
      <w:bookmarkEnd w:id="221"/>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w:t>
      </w:r>
      <w:hyperlink w:anchor="TableA1" w:history="1">
        <w:r>
          <w:rPr>
            <w:color w:val="1F3864"/>
            <w:u w:val="single"/>
          </w:rPr>
          <w:t xml:space="preserve">Table A1</w:t>
        </w:r>
      </w:hyperlink>
      <w:r>
        <w:t>.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Our qualitative findings are therefore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2" w:name="Deloitte2020txt"/>
      <w:hyperlink w:anchor="Deloitte2020" w:history="1">
        <w:r>
          <w:rPr>
            <w:color w:val="1F3864"/>
            <w:u w:val="single"/>
          </w:rPr>
          <w:t xml:space="preserve">Deloitte (2020)</w:t>
        </w:r>
      </w:hyperlink>
      <w:bookmarkEnd w:id="222"/>
      <w:r>
        <w:t xml:space="preserve"> that a 0.1-second improvement in page load time raises e-commerce conversion rates by 8.4%.</w:t>
      </w:r>
      <w:r>
        <w:rPr>
          <w:rStyle w:val="FootnoteReference"/>
        </w:rPr>
        <w:footnoteReference w:id="14"/>
      </w:r>
      <w:r>
        <w:t xml:space="preserv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The coefficient weights are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w:t>
      </w:r>
      <w:r>
        <w:rPr>
          <w:rStyle w:val="FootnoteReference"/>
        </w:rPr>
        <w:footnoteReference w:id="15"/>
      </w:r>
    </w:p>
    <w:p>
      <w:pPr>
        <w:spacing w:before="0" w:after="160"/>
        <w:ind w:firstLine="0"/>
        <w:jc w:val="both"/>
      </w:pPr>
      <w:r>
        <w:t xml:space="preserve">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3" w:name="Deloitte2025txt"/>
      <w:hyperlink w:anchor="Deloitte2025" w:history="1">
        <w:r>
          <w:rPr>
            <w:color w:val="1F3864"/>
            <w:u w:val="single"/>
          </w:rPr>
          <w:t xml:space="preserve">Deloitte 2025</w:t>
        </w:r>
      </w:hyperlink>
      <w:bookmarkEnd w:id="223"/>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is constructed as the geometric mean of two normalized scores: governance quality (</w:t>
      </w:r>
      <w:bookmarkStart w:id="224" w:name="WorldBank2024txt"/>
      <w:hyperlink w:anchor="WorldBank2024" w:history="1">
        <w:r>
          <w:rPr>
            <w:color w:val="1F3864"/>
            <w:u w:val="single"/>
          </w:rPr>
          <w:t xml:space="preserve">World Bank</w:t>
        </w:r>
      </w:hyperlink>
      <w:bookmarkEnd w:id="224"/>
      <w:r>
        <w:t xml:space="preserve"> Worldwide Governance Indicators, Rule of Law percentile, rescaled to [0, 1]) and grid reliability (inverse of hours without electricity per firm per year, from the </w:t>
      </w:r>
      <w:bookmarkStart w:id="243" w:name="WorldBank2024txt"/>
      <w:hyperlink w:anchor="WorldBank2024" w:history="1">
        <w:r>
          <w:rPr>
            <w:color w:val="1F3864"/>
            <w:u w:val="single"/>
          </w:rPr>
          <w:t xml:space="preserve">World Bank</w:t>
        </w:r>
      </w:hyperlink>
      <w:bookmarkEnd w:id="243"/>
      <w:r>
        <w:t xml:space="preserve"> Enterprise Surveys). Sanctions exposure, previously part of ξ, is now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4" w:name="Eq2txt904"/>
      <w:hyperlink w:anchor="Eq2" w:history="1">
        <w:r>
          <w:rPr>
            <w:color w:val="1F3864"/>
            <w:u w:val="single"/>
          </w:rPr>
          <w:t xml:space="preserve">equation (2)</w:t>
        </w:r>
      </w:hyperlink>
      <w:bookmarkEnd w:id="904"/>
      <w:r>
        <w:t xml:space="preserve">. For OECD countries with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with weak grids and governance fall in between (e.g., Kyrgyzstan: 0.57, Iran: 0.51). Note that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after efficiency adjustment: penalizing low-ξ competitors pushes them down, mechanically raising higher-ξ countries. Moreover, ξ ranges from 0.95 to 1.00 even within the OECD, and the tight cross-country cost spread (≈20%) means small efficiency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r>
        <w:t xml:space="preserve">Under observed electricity tariffs and without efficiency adjustment, the cheapest producer is Iran ($1.41/hr), followed by Turkmenistan ($1.42/hr) and Ethiopia ($1.43/hr), as shown in column (1) of </w:t>
      </w:r>
      <w:bookmarkStart w:id="112" w:name="Table3txt"/>
      <w:hyperlink w:anchor="Table3" w:history="1">
        <w:r>
          <w:rPr>
            <w:color w:val="1F3864"/>
            <w:u w:val="single"/>
          </w:rPr>
          <w:t xml:space="preserve">Table 3a</w:t>
        </w:r>
      </w:hyperlink>
      <w:bookmarkEnd w:id="112"/>
      <w:r>
        <w:t xml:space="preserve">. But this ranking is misleading. Iran’s headline cost rests on electricity priced at $0.005/kWh, a figure sustained by one of the world’s largest fossil fuel subsidies. Turkmenistan, Algeria, Qatar, and several other low-cost producers face similar distortions. </w:t>
      </w:r>
    </w:p>
    <w:p>
      <w:pPr>
        <w:spacing w:before="0" w:after="160"/>
        <w:ind w:firstLine="0"/>
        <w:jc w:val="both"/>
      </w:pPr>
      <w:r>
        <w:t xml:space="preserve">To distinguish genuine comparative advantage from fiscal artifact, we replace subsidized tariffs with cost-recovery prices. These are defined as the long-run marginal cost (LRMC) of the dominant generation technology at opportunity-cost fuel prices (</w:t>
      </w:r>
      <w:bookmarkStart w:id="244" w:name="IMF2025txt"/>
      <w:hyperlink w:anchor="IMF2025" w:history="1">
        <w:r>
          <w:rPr>
            <w:color w:val="1F3864"/>
            <w:u w:val="single"/>
          </w:rPr>
          <w:t xml:space="preserve">IMF 2025</w:t>
        </w:r>
      </w:hyperlink>
      <w:bookmarkEnd w:id="244"/>
      <w:r>
        <w:t xml:space="preserve">, </w:t>
      </w:r>
      <w:bookmarkStart w:id="225" w:name="Lazard2025txt"/>
      <w:hyperlink w:anchor="Lazard2025" w:history="1">
        <w:r>
          <w:rPr>
            <w:color w:val="1F3864"/>
            <w:u w:val="single"/>
          </w:rPr>
          <w:t xml:space="preserve">Lazard 2025</w:t>
        </w:r>
      </w:hyperlink>
      <w:bookmarkEnd w:id="225"/>
      <w:r>
        <w:t xml:space="preserve">). This adjustment is applied to 13 countries whose retail electricity prices fall below the estimated LRMC.  The resulting cost-recovery ranking—column (2) of </w:t>
      </w:r>
      <w:hyperlink w:anchor="Table3" w:history="1">
        <w:r>
          <w:rPr>
            <w:color w:val="1F3864"/>
            <w:u w:val="single"/>
          </w:rPr>
          <w:t xml:space="preserve">Table 3a</w:t>
        </w:r>
      </w:hyperlink>
      <w:r>
        <w:t>—shifts the top of the ranking toward hydropower-rich countries: Kyrgyzstan ($1.58/hr), Canada ($1.59/hr), Ethiopia ($1.59/hr), Kosovo ($1.60/hr), and Tajikistan ($1.60/hr).</w:t>
      </w:r>
    </w:p>
    <w:p>
      <w:pPr>
        <w:spacing w:before="0" w:after="160"/>
        <w:ind w:firstLine="0"/>
        <w:jc w:val="both"/>
      </w:pP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the export scale, this fiscal arithmetic becomes unsustainable. Iran drops from first to 24th. 42 countries change their trade regimes.</w:t>
      </w:r>
    </w:p>
    <w:p>
      <w:pPr>
        <w:spacing w:before="0" w:after="160"/>
        <w:ind w:firstLine="0"/>
        <w:jc w:val="both"/>
      </w:pPr>
      <w:r>
        <w:t xml:space="preserve">Dividing the cost-recovery costs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penalizes countries with weak governance and unreliable grids. Column (3) of </w:t>
      </w:r>
      <w:hyperlink w:anchor="Table3" w:history="1">
        <w:r>
          <w:rPr>
            <w:color w:val="1F3864"/>
            <w:u w:val="single"/>
          </w:rPr>
          <w:t xml:space="preserve">Table 3a</w:t>
        </w:r>
      </w:hyperlink>
      <w:r>
        <w:t xml:space="preserve"> reports the preferred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($1.46/hr), Norway ($1.47/hr), Finland ($1.47/hr), Sweden ($1.49/hr), and South Africa ($1.49/hr). </w:t>
      </w:r>
      <w:r>
        <w:t>The Δ column records the rank change from raw tariffs to the preferred specification: Iran drops 80 places</w:t>
      </w:r>
      <w:r>
        <w:t>, Kyrgyzstan drops 70</w:t>
      </w:r>
      <w:r>
        <w:t xml:space="preserve">, while Switzerland rises 63 places, </w:t>
      </w:r>
      <w:r>
        <w:t>and Singapore rises 62</w:t>
      </w:r>
      <w:r>
        <w:t xml:space="preserve">. Nine of the ten cheapest countries under the pure engineering cost ranking fall out of the top ten after efficiency adjustment, replaced by countries with stronger institutions and more reliable grids. Because hardware and networking costs account for roughly 94% of engineering costs, the cross-country cost spread is narrow (about 20%).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 </w:t>
      </w:r>
    </w:p>
    <w:p>
      <w:pPr>
        <w:spacing w:before="0" w:after="160"/>
        <w:ind w:firstLine="0"/>
        <w:jc w:val="both"/>
      </w:pPr>
      <w:r>
        <w:t>The preceding analysis identifies which countries can produce cheaply. The bilateral sovereignty premium determines which countries will trade.</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5" w:name="Eq2txt905"/>
      <w:hyperlink w:anchor="Eq2" w:history="1">
        <w:r>
          <w:rPr>
            <w:color w:val="1F3864"/>
            <w:u w:val="single"/>
          </w:rPr>
          <w:t xml:space="preserve">equation (2)</w:t>
        </w:r>
      </w:hyperlink>
      <w:bookmarkEnd w:id="905"/>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−8.1%</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0.2%</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20.3%</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56.8%</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6" w:name="Eq4txt906"/>
      <w:hyperlink w:anchor="Eq4" w:history="1">
        <w:r>
          <w:rPr>
            <w:color w:val="1F3864"/>
            <w:u w:val="single"/>
          </w:rPr>
          <w:t xml:space="preserve">equation (4)</w:t>
        </w:r>
      </w:hyperlink>
      <w:bookmarkEnd w:id="906"/>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Inference is more dispersed, with the top five suppliers being Canada (48%), Finland (34%), Norway (7%), Singapore (5%), and Australia (2%), collectively accounting for 96% of global inference demand (HHI = 0.35). Under the bilateral sovereignty premium, most training demand is served domestically, and the smaller export market is served by 1 exporter (HHI = 1.00) at $1.58/hr.</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($1.69/hr). For Germany, inference is sourced from Norway ($1.66/hr), for the United Kingdom from Finland ($1.67/hr), and for France from Finland ($1.67/hr). For China, the cheapest source of inference is Finland ($1.92/hr), a neighboring country with hydropower-based electricity. These patterns illustrate the model’s core prediction that inference organizes around latency-bounded regional hubs, and each major market has a distinct optimal supplier determined by geography. With the bilateral sovereignty premium, most large economies shift to full domestic production.</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4.7% of average compute spending, comparable to the 0.2–10% welfare losses from trade barriers estimated for goods trade (</w:t>
      </w:r>
      <w:bookmarkStart w:id="226" w:name="EatonKortum2002txt"/>
      <w:hyperlink w:anchor="EatonKortum2002" w:history="1">
        <w:r>
          <w:rPr>
            <w:color w:val="1F3864"/>
            <w:u w:val="single"/>
          </w:rPr>
          <w:t xml:space="preserve">Eaton and Kortum 2002</w:t>
        </w:r>
      </w:hyperlink>
      <w:bookmarkEnd w:id="226"/>
      <w:r>
        <w:t xml:space="preserve">, </w:t>
      </w:r>
      <w:bookmarkStart w:id="245" w:name="ACR2012txt"/>
      <w:hyperlink w:anchor="ACR2012" w:history="1">
        <w:r>
          <w:rPr>
            <w:color w:val="1F3864"/>
            <w:u w:val="single"/>
          </w:rPr>
          <w:t xml:space="preserve">Arkolakis et al. 2012</w:t>
        </w:r>
      </w:hyperlink>
      <w:bookmarkEnd w:id="245"/>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EU’s GDPR and AI Act already segment the compute market along regulatory lines, reinforcing the sovereignty premium as a structural feature. The </w:t>
      </w:r>
      <w:bookmarkStart w:id="227" w:name="WorldBank2025txt"/>
      <w:hyperlink w:anchor="WorldBank2025" w:history="1">
        <w:r>
          <w:rPr>
            <w:color w:val="1F3864"/>
            <w:u w:val="single"/>
          </w:rPr>
          <w:t xml:space="preserve">World Bank (2025)</w:t>
        </w:r>
      </w:hyperlink>
      <w:bookmarkEnd w:id="227"/>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The calibration likely overstates developing-country competitiveness. Several of the cheapest producers (Iran, Turkmenistan, Uzbekistan) rank poorly on property rights and rule of law indices, and subsidized electricity prices may be politically fragile. Data center investments are large, long-lived, and immobile, so viability depends on institutional factors not fully captured by ξ alone. GPU export controls further constrain Iran, Russia, and Belarus, and water scarcity limits Iran, Turkmenistan, Egypt, and Saudi Arabia. Effective entry barriers are therefore higher than production costs alone suggest.</w:t>
      </w:r>
    </w:p>
    <w:p>
      <w:pPr>
        <w:spacing w:before="0" w:after="160"/>
        <w:ind w:firstLine="0"/>
        <w:jc w:val="both"/>
      </w:pPr>
      <w:r>
        <w:t>Even after adjusting for cost-recovery pricing, fiscal sustainability remains a concern.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w:t>
      </w:r>
      <w:hyperlink w:anchor="TableA1" w:history="1">
        <w:r>
          <w:rPr>
            <w:color w:val="1F3864"/>
            <w:u w:val="single"/>
          </w:rPr>
          <w:t xml:space="preserve">Table A1</w:t>
        </w:r>
      </w:hyperlink>
      <w:r>
        <w:t>, a hyperscale data center can be large relative to the host grid. Kyrgyzstan’s 3,800 MW grid (Appendix D) would face significant strain from a single 100 MW facility consuming roughly 3% of national electricity output. At the multi-facility scale implied by the model’s export predictions, data centers would become the dominant industrial load competing with residential heating in winter when hydropower output drops and likely triggering regulatory intervention. The cheap electricity that attracts investment would be partially eroded by the investment itself.</w:t>
      </w:r>
      <w:r>
        <w:rPr>
          <w:rStyle w:val="FootnoteReference"/>
        </w:rPr>
        <w:footnoteReference w:id="18"/>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w:t>
      </w:r>
      <w:hyperlink w:anchor="TableA1" w:history="1">
        <w:r>
          <w:rPr>
            <w:color w:val="1F3864"/>
            <w:u w:val="single"/>
          </w:rPr>
          <w:t xml:space="preserve">Table A1</w:t>
        </w:r>
      </w:hyperlink>
      <w:r>
        <w:t xml:space="preserve">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costs via straight-line depreciation. In practice, the financing gap is large (</w:t>
      </w:r>
      <w:bookmarkStart w:id="228" w:name="Calcaterra2024txt"/>
      <w:hyperlink w:anchor="Calcaterra2024" w:history="1">
        <w:r>
          <w:rPr>
            <w:color w:val="1F3864"/>
            <w:u w:val="single"/>
          </w:rPr>
          <w:t xml:space="preserve">Calcaterra et al. 2024</w:t>
        </w:r>
      </w:hyperlink>
      <w:bookmarkEnd w:id="228"/>
      <w:r>
        <w:t xml:space="preserve">). An OECD hyperscaler at a WACC of 8% faces hardware costs of $1.58 per GPU-hour, while a developing-country operator at 18% pays $1.87—a $0.29 gap on hardware alone, widening to $0.37 including construction, about four times the electricity cost spread across the top 20 countries. If hyperscalers finance at their own WACC regardless of host country, the baseline rankings hold. If facilities are locally financed, the cost-of-capital channel reinforces the efficiency adjustment: the same institutional weaknesses that lower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The cost rankings in </w:t>
      </w:r>
      <w:hyperlink w:anchor="TableA1" w:history="1">
        <w:r>
          <w:rPr>
            <w:color w:val="1F3864"/>
            <w:u w:val="single"/>
          </w:rPr>
          <w:t xml:space="preserve">Table A1</w:t>
        </w:r>
      </w:hyperlink>
      <w:r>
        <w:t xml:space="preserve">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spacing w:before="0" w:after="160"/>
        <w:ind w:firstLine="0"/>
        <w:jc w:val="both"/>
      </w:pPr>
      <w:r>
        <w:rPr>
          <w:rFonts w:ascii="Times New Roman" w:hAnsi="Times New Roman"/>
          <w:b w:val="0"/>
          <w:i/>
          <w:sz w:val="24"/>
        </w:rPr>
        <w:t xml:space="preserve">Uniform sovereignty premium. </w:t>
      </w:r>
      <w:r>
        <w:t xml:space="preserve">As a robustness check, column (6) of </w:t>
      </w:r>
      <w:hyperlink w:anchor="Table3b" w:history="1">
        <w:r>
          <w:rPr>
            <w:color w:val="1F3864"/>
            <w:u w:val="single"/>
          </w:rPr>
          <w:t xml:space="preserve">Table 3b</w:t>
        </w:r>
      </w:hyperlink>
      <w:r>
        <w:t xml:space="preserve"> reports results under a uniform sovereignty premium </w:t>
      </w:r>
      <m:oMath>
        <m:r>
          <m:rPr>
            <m:sty m:val="i"/>
          </m:rPr>
          <w:rPr>
            <w:rFonts w:ascii="Cambria Math" w:hAnsi="Cambria Math"/>
          </w:rPr>
          <m:t xml:space="preserve">λ</m:t>
        </m:r>
        <m:r>
          <m:rPr>
            <m:sty m:val="p"/>
          </m:rPr>
          <w:rPr>
            <w:rFonts w:ascii="Cambria Math" w:hAnsi="Cambria Math"/>
          </w:rPr>
          <m:t xml:space="preserve"> = 10%</m:t>
        </m:r>
      </m:oMath>
      <w:r>
        <w:t>, the specification used in earlier versions of the model. The uniform premium produces broadly similar regime assignments: most countries produce domestically under either specification. The main difference is that the bilateral premium excludes sanctioned countries from serving any demand center, while the uniform premium treats all country pairs identically. The bilateral specification is preferred because it captures the observed heterogeneity in sovereignty preferences across country pairs.</w:t>
      </w:r>
    </w:p>
    <w:p>
      <w:pPr>
        <w:spacing w:before="0" w:after="160"/>
        <w:ind w:firstLine="0"/>
        <w:jc w:val="both"/>
      </w:pPr>
      <w:r>
        <w:t xml:space="preserve">As a refinement, the model segments each country’s compute demand into three tiers: sovereign workloads (10% of demand, domestic only), regulated workloads (20%, higher regulatory compatibility weight), and commercial workloads (70%, geopolitical alignment only). Under the calibrated parameters, tiering leaves regime type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frameworks, favoring EU member states and APEC CBPR participants over geographically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9" w:name="Krugman1991txt"/>
      <w:hyperlink w:anchor="Krugman1991" w:history="1">
        <w:r>
          <w:rPr>
            <w:color w:val="1F3864"/>
            <w:u w:val="single"/>
          </w:rPr>
          <w:t xml:space="preserve">Krugman 1991</w:t>
        </w:r>
      </w:hyperlink>
      <w:bookmarkEnd w:id="229"/>
      <w:r>
        <w:t xml:space="preserve">). The concentration of data centers in locations such as Northern Virginia reflects these centripetal forces.</w:t>
      </w:r>
    </w:p>
    <w:p>
      <w:pPr>
        <w:pStyle w:val="Heading1"/>
      </w:pPr>
      <w:r>
        <w:rPr>
          <w:rFonts w:ascii="Times New Roman" w:hAnsi="Times New Roman"/>
          <w:b/>
          <w:color w:val="2F5496"/>
          <w:sz w:val="28"/>
        </w:rPr>
        <w:t>8.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4.7% of compute spending. The model generates a country taxonomy (full importers, training exporters, inference hubs, and hybrid regimes) that maps onto observed investment patterns. This geographic structure is consistent with </w:t>
      </w:r>
      <w:bookmarkStart w:id="230" w:name="Lehdonvirta2024txt"/>
      <w:hyperlink w:anchor="Lehdonvirta2024" w:history="1">
        <w:r>
          <w:rPr>
            <w:color w:val="1F3864"/>
            <w:u w:val="single"/>
          </w:rPr>
          <w:t xml:space="preserve">Lehdonvirta et al. (2024)</w:t>
        </w:r>
      </w:hyperlink>
      <w:bookmarkEnd w:id="230"/>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1" w:name="vanderPloeg2011txt"/>
      <w:hyperlink w:anchor="vanderPloeg2011" w:history="1">
        <w:r>
          <w:rPr>
            <w:color w:val="1F3864"/>
            <w:u w:val="single"/>
          </w:rPr>
          <w:t xml:space="preserve">van der Ploeg 2011</w:t>
        </w:r>
      </w:hyperlink>
      <w:bookmarkEnd w:id="231"/>
      <w:r>
        <w:t xml:space="preserve">) warns that concentrated export revenues can lead to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production efficiency, bilateral trust, and data governance frameworks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4"/>
    </w:p>
    <w:p>
      <w:pPr>
        <w:spacing w:before="0" w:after="80" w:line="240" w:lineRule="exact"/>
        <w:ind w:hanging="720" w:left="720"/>
        <w:jc w:val="both"/>
      </w:pPr>
      <w:bookmarkStart w:id="515"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5"/>
    </w:p>
    <w:p>
      <w:pPr>
        <w:spacing w:before="0" w:after="80" w:line="240" w:lineRule="exact"/>
        <w:ind w:hanging="720" w:left="720"/>
        <w:jc w:val="both"/>
      </w:pPr>
      <w:bookmarkStart w:id="516"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6"/>
    </w:p>
    <w:p>
      <w:pPr>
        <w:spacing w:before="0" w:after="80" w:line="240" w:lineRule="exact"/>
        <w:ind w:hanging="720" w:left="720"/>
        <w:jc w:val="both"/>
      </w:pPr>
      <w:bookmarkStart w:id="517"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7"/>
    </w:p>
    <w:p>
      <w:pPr>
        <w:spacing w:before="0" w:after="80" w:line="240" w:lineRule="exact"/>
        <w:ind w:hanging="720" w:left="720"/>
        <w:jc w:val="both"/>
      </w:pPr>
      <w:bookmarkStart w:id="518" w:name="Google2024"/>
      <w:r>
        <w:rPr>
          <w:color w:val="1F3864"/>
          <w:u w:val="single"/>
        </w:rPr>
        <w:t xml:space="preserve">Google. </w:t>
      </w:r>
      <w:r>
        <w:t xml:space="preserve">(2024). </w:t>
      </w:r>
      <w:r>
        <w:rPr>
          <w:i/>
        </w:rPr>
        <w:t>2024 Environmental Report</w:t>
      </w:r>
      <w:r>
        <w:t>. sustainability.google.</w:t>
      </w:r>
      <w:bookmarkEnd w:id="518"/>
    </w:p>
    <w:p>
      <w:pPr>
        <w:spacing w:before="0" w:after="80" w:line="240" w:lineRule="exact"/>
        <w:ind w:hanging="720" w:left="720"/>
        <w:jc w:val="both"/>
      </w:pPr>
      <w:bookmarkStart w:id="519"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9"/>
    </w:p>
    <w:p>
      <w:pPr>
        <w:spacing w:before="0" w:after="80" w:line="240" w:lineRule="exact"/>
        <w:ind w:hanging="720" w:left="720"/>
        <w:jc w:val="both"/>
      </w:pPr>
      <w:bookmarkStart w:id="520"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0"/>
    </w:p>
    <w:p>
      <w:pPr>
        <w:spacing w:before="0" w:after="80" w:line="240" w:lineRule="exact"/>
        <w:ind w:hanging="720" w:left="720"/>
        <w:jc w:val="both"/>
      </w:pPr>
      <w:bookmarkStart w:id="52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1"/>
    </w:p>
    <w:p>
      <w:pPr>
        <w:spacing w:before="0" w:after="80" w:line="240" w:lineRule="exact"/>
        <w:ind w:hanging="720" w:left="720"/>
        <w:jc w:val="both"/>
      </w:pPr>
      <w:bookmarkStart w:id="522"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2"/>
    </w:p>
    <w:p>
      <w:pPr>
        <w:spacing w:before="0" w:after="80" w:line="240" w:lineRule="exact"/>
        <w:ind w:hanging="720" w:left="720"/>
        <w:jc w:val="both"/>
      </w:pPr>
      <w:bookmarkStart w:id="523" w:name="IEA2025"/>
      <w:hyperlink w:anchor="IEA2025txt" w:history="1">
        <w:r>
          <w:rPr>
            <w:color w:val="1F3864"/>
            <w:u w:val="single"/>
          </w:rPr>
          <w:t xml:space="preserve">IEA. (2025). </w:t>
        </w:r>
      </w:hyperlink>
      <w:r>
        <w:t>“Energy Demand from AI.” Published online at iea.org.</w:t>
      </w:r>
      <w:bookmarkEnd w:id="523"/>
    </w:p>
    <w:p>
      <w:pPr>
        <w:spacing w:before="0" w:after="80" w:line="240" w:lineRule="exact"/>
        <w:ind w:hanging="720" w:left="720"/>
        <w:jc w:val="both"/>
      </w:pPr>
      <w:bookmarkStart w:id="524"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4"/>
    </w:p>
    <w:p>
      <w:pPr>
        <w:spacing w:before="0" w:after="80" w:line="240" w:lineRule="exact"/>
        <w:ind w:hanging="720" w:left="720"/>
        <w:jc w:val="both"/>
      </w:pPr>
      <w:bookmarkStart w:id="525"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5"/>
    </w:p>
    <w:p>
      <w:pPr>
        <w:spacing w:before="0" w:after="80" w:line="240" w:lineRule="exact"/>
        <w:ind w:hanging="720" w:left="720"/>
        <w:jc w:val="both"/>
      </w:pPr>
      <w:bookmarkStart w:id="526"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6"/>
    </w:p>
    <w:p>
      <w:pPr>
        <w:spacing w:before="0" w:after="80" w:line="240" w:lineRule="exact"/>
        <w:ind w:hanging="720" w:left="720"/>
        <w:jc w:val="both"/>
      </w:pPr>
      <w:bookmarkStart w:id="527"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7"/>
    </w:p>
    <w:p>
      <w:pPr>
        <w:spacing w:before="0" w:after="80" w:line="240" w:lineRule="exact"/>
        <w:ind w:hanging="720" w:left="720"/>
        <w:jc w:val="both"/>
      </w:pPr>
      <w:bookmarkStart w:id="528"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8"/>
    </w:p>
    <w:p>
      <w:pPr>
        <w:spacing w:before="0" w:after="80" w:line="240" w:lineRule="exact"/>
        <w:ind w:hanging="720" w:left="720"/>
        <w:jc w:val="both"/>
      </w:pPr>
      <w:bookmarkStart w:id="529"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2" w:name="WorldBank2024txt"/>
      <w:hyperlink w:anchor="WorldBank2024" w:history="1">
        <w:r>
          <w:rPr>
            <w:i/>
            <w:color w:val="1F3864"/>
            <w:u w:val="single"/>
          </w:rPr>
          <w:t xml:space="preserve">World Bank</w:t>
        </w:r>
      </w:hyperlink>
      <w:bookmarkEnd w:id="232"/>
      <w:r>
        <w:rPr>
          <w:i/>
        </w:rPr>
        <w:t xml:space="preserve"> Economic Review</w:t>
      </w:r>
      <w:r>
        <w:t>, 15(3): 451–479.</w:t>
      </w:r>
      <w:bookmarkEnd w:id="529"/>
    </w:p>
    <w:p>
      <w:pPr>
        <w:spacing w:before="0" w:after="80" w:line="240" w:lineRule="exact"/>
        <w:ind w:hanging="720" w:left="720"/>
        <w:jc w:val="both"/>
      </w:pPr>
      <w:bookmarkStart w:id="530"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0"/>
    </w:p>
    <w:p>
      <w:pPr>
        <w:spacing w:before="0" w:after="80" w:line="240" w:lineRule="exact"/>
        <w:ind w:hanging="720" w:left="720"/>
        <w:jc w:val="both"/>
      </w:pPr>
      <w:bookmarkStart w:id="531" w:name="NVIDIA2024"/>
      <w:r>
        <w:rPr>
          <w:color w:val="1F3864"/>
          <w:u w:val="single"/>
        </w:rPr>
        <w:t xml:space="preserve">NVIDIA. </w:t>
      </w:r>
      <w:r>
        <w:t xml:space="preserve">(2024). </w:t>
      </w:r>
      <w:r>
        <w:rPr>
          <w:i/>
        </w:rPr>
        <w:t>NVIDIA H100 Tensor Core GPU Datasheet</w:t>
      </w:r>
      <w:r>
        <w:t>. nvidia.com.</w:t>
      </w:r>
      <w:bookmarkEnd w:id="531"/>
    </w:p>
    <w:p>
      <w:pPr>
        <w:spacing w:before="0" w:after="80" w:line="240" w:lineRule="exact"/>
        <w:ind w:hanging="720" w:left="720"/>
        <w:jc w:val="both"/>
      </w:pPr>
      <w:bookmarkStart w:id="532"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2"/>
    </w:p>
    <w:p>
      <w:pPr>
        <w:spacing w:before="0" w:after="80" w:line="240" w:lineRule="exact"/>
        <w:ind w:hanging="720" w:left="720"/>
        <w:jc w:val="both"/>
      </w:pPr>
      <w:bookmarkStart w:id="533"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3"/>
    </w:p>
    <w:p>
      <w:pPr>
        <w:spacing w:before="0" w:after="80" w:line="240" w:lineRule="exact"/>
        <w:ind w:hanging="720" w:left="720"/>
        <w:jc w:val="both"/>
      </w:pPr>
      <w:bookmarkStart w:id="534" w:name="Sastry2024"/>
      <w:hyperlink w:anchor="Sastry2024txt" w:history="1">
        <w:r>
          <w:rPr>
            <w:color w:val="1F3864"/>
            <w:u w:val="single"/>
          </w:rPr>
          <w:t xml:space="preserve">Sastry, G., L. Heim, et al. (2024). </w:t>
        </w:r>
      </w:hyperlink>
      <w:r>
        <w:t>“Computing Power and the Governance of Artificial Intelligence.” arXiv:2402.08797.</w:t>
      </w:r>
      <w:bookmarkEnd w:id="534"/>
    </w:p>
    <w:p>
      <w:pPr>
        <w:spacing w:before="0" w:after="80" w:line="240" w:lineRule="exact"/>
        <w:ind w:hanging="720" w:left="720"/>
        <w:jc w:val="both"/>
      </w:pPr>
      <w:bookmarkStart w:id="535"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5"/>
    </w:p>
    <w:p>
      <w:pPr>
        <w:spacing w:before="0" w:after="80" w:line="240" w:lineRule="exact"/>
        <w:ind w:hanging="720" w:left="720"/>
        <w:jc w:val="both"/>
      </w:pPr>
      <w:bookmarkStart w:id="536"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6"/>
    </w:p>
    <w:p>
      <w:pPr>
        <w:spacing w:before="0" w:after="80" w:line="240" w:lineRule="exact"/>
        <w:ind w:hanging="720" w:left="720"/>
        <w:jc w:val="both"/>
      </w:pPr>
      <w:bookmarkStart w:id="537" w:name="TurnerLee2025"/>
      <w:hyperlink w:anchor="TurnerLee2025txt" w:history="1">
        <w:r>
          <w:rPr>
            <w:color w:val="1F3864"/>
            <w:u w:val="single"/>
          </w:rPr>
          <w:t xml:space="preserve">Turner Lee, N., and D. West. (2025). </w:t>
        </w:r>
      </w:hyperlink>
      <w:r>
        <w:t>“The Future of Data Centers.” Brookings Institution, November 2025.</w:t>
      </w:r>
      <w:bookmarkEnd w:id="537"/>
    </w:p>
    <w:p>
      <w:pPr>
        <w:spacing w:before="0" w:after="80" w:line="240" w:lineRule="exact"/>
        <w:ind w:hanging="720" w:left="720"/>
        <w:jc w:val="both"/>
      </w:pPr>
      <w:bookmarkStart w:id="538" w:name="DOJFTC2010"/>
      <w:r>
        <w:rPr>
          <w:color w:val="1F3864"/>
          <w:u w:val="single"/>
        </w:rPr>
        <w:t xml:space="preserve">U.S. Department of Justice and Federal Trade Commission. </w:t>
      </w:r>
      <w:r>
        <w:t xml:space="preserve">(2010). </w:t>
      </w:r>
      <w:r>
        <w:rPr>
          <w:i/>
        </w:rPr>
        <w:t>Horizontal Merger Guidelines</w:t>
      </w:r>
      <w:r>
        <w:t>. Washington, DC.</w:t>
      </w:r>
      <w:bookmarkEnd w:id="538"/>
    </w:p>
    <w:p>
      <w:pPr>
        <w:spacing w:before="0" w:after="80" w:line="240" w:lineRule="exact"/>
        <w:ind w:hanging="720" w:left="720"/>
        <w:jc w:val="both"/>
      </w:pPr>
      <w:bookmarkStart w:id="539" w:name="UNCTAD2025"/>
      <w:r>
        <w:rPr>
          <w:color w:val="1F3864"/>
          <w:u w:val="single"/>
        </w:rPr>
        <w:t xml:space="preserve">UNCTAD. </w:t>
      </w:r>
      <w:r>
        <w:t xml:space="preserve">(2025). </w:t>
      </w:r>
      <w:r>
        <w:rPr>
          <w:i/>
        </w:rPr>
        <w:t>Technology and Innovation Report 2025</w:t>
      </w:r>
      <w:r>
        <w:t>. Geneva: United Nations.</w:t>
      </w:r>
      <w:bookmarkEnd w:id="539"/>
    </w:p>
    <w:p>
      <w:pPr>
        <w:spacing w:before="0" w:after="80" w:line="240" w:lineRule="exact"/>
        <w:ind w:hanging="720" w:left="720"/>
        <w:jc w:val="both"/>
      </w:pPr>
      <w:bookmarkStart w:id="540"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0"/>
    </w:p>
    <w:p>
      <w:pPr>
        <w:spacing w:before="0" w:after="80" w:line="240" w:lineRule="exact"/>
        <w:ind w:hanging="720" w:left="720"/>
        <w:jc w:val="both"/>
      </w:pPr>
      <w:bookmarkStart w:id="541"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1"/>
    </w:p>
    <w:p>
      <w:pPr>
        <w:spacing w:before="0" w:after="80" w:line="240" w:lineRule="exact"/>
        <w:ind w:hanging="720" w:left="720"/>
        <w:jc w:val="both"/>
      </w:pPr>
      <w:bookmarkStart w:id="542"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2"/>
    </w:p>
    <w:p>
      <w:pPr>
        <w:spacing w:before="0" w:after="80" w:line="240" w:lineRule="exact"/>
        <w:ind w:hanging="720" w:left="720"/>
        <w:jc w:val="both"/>
      </w:pPr>
      <w:bookmarkStart w:id="543"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3"/>
    </w:p>
    <w:p>
      <w:pPr>
        <w:spacing w:before="0" w:after="80" w:line="240" w:lineRule="exact"/>
        <w:ind w:hanging="720" w:left="720"/>
        <w:jc w:val="both"/>
      </w:pPr>
      <w:bookmarkStart w:id="544"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3" w:name="WorldBank2024txt"/>
      <w:hyperlink w:anchor="WorldBank2024" w:history="1">
        <w:r>
          <w:rPr>
            <w:color w:val="1F3864"/>
            <w:u w:val="single"/>
          </w:rPr>
          <w:t xml:space="preserve">World Bank</w:t>
        </w:r>
      </w:hyperlink>
      <w:bookmarkEnd w:id="233"/>
      <w:r>
        <w:t xml:space="preserve">.</w:t>
      </w:r>
      <w:bookmarkEnd w:id="544"/>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22448"/>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22448"/>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combines governance quality and grid reliability (equation 3).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+11</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+54</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b/>
                <w:sz w:val="16"/>
              </w:rPr>
              <w:t>37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-20</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b/>
                <w:sz w:val="16"/>
              </w:rPr>
              <w:t>41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b/>
                <w:sz w:val="16"/>
              </w:rPr>
              <w:t>45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-35</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sz w:val="16"/>
              </w:rPr>
              <w:t>52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b/>
                <w:sz w:val="16"/>
              </w:rPr>
              <w:t>52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sz w:val="16"/>
              </w:rPr>
              <w:t>59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b/>
                <w:sz w:val="16"/>
              </w:rPr>
              <w:t>59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-41</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b/>
                <w:sz w:val="16"/>
              </w:rPr>
              <w:t>62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sz w:val="16"/>
              </w:rPr>
              <w:t>65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b/>
                <w:sz w:val="16"/>
              </w:rPr>
              <w:t>65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b/>
                <w:sz w:val="16"/>
              </w:rPr>
              <w:t>73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sz w:val="16"/>
              </w:rPr>
              <w:t>74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b/>
                <w:sz w:val="16"/>
              </w:rPr>
              <w:t>74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-70</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sz w:val="16"/>
              </w:rPr>
              <w:t>75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b/>
                <w:sz w:val="16"/>
              </w:rPr>
              <w:t>75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-67</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sz w:val="16"/>
              </w:rPr>
              <w:t>80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b/>
                <w:sz w:val="16"/>
              </w:rPr>
              <w:t>80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$1.40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sz w:val="16"/>
              </w:rPr>
              <w:t>81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b/>
                <w:sz w:val="16"/>
              </w:rPr>
              <w:t>81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Borders>
              <w:bottom w:val="double" w:sz="4" w:space="0" w:color="auto"/>
            </w:tcBorders>
            <w:tcW w:w="1800" w:type="dxa"/>
          </w:tcPr>
          <w:p>
            <w:pPr>
              <w:jc w:val="left"/>
              <w:spacing w:before="10" w:after="10"/>
            </w:pPr>
            <w:r/>
            <w:r>
              <w:rPr>
                <w:rFonts w:ascii="Times New Roman" w:hAnsi="Times New Roman"/>
                <w:sz w:val="16"/>
              </w:rPr>
              <w:t>Turkmenistan</w:t>
            </w:r>
          </w:p>
        </w:tc>
        <w:tc>
          <w:tcPr>
            <w:tcBorders>
              <w:bottom w:val="double" w:sz="4" w:space="0" w:color="auto"/>
            </w:tcBorders>
            <w:tcW w:w="900" w:type="dxa"/>
          </w:tcPr>
          <w:p>
            <w:pPr>
              <w:jc w:val="center"/>
              <w:spacing w:before="10" w:after="10"/>
            </w:pPr>
            <w:r/>
            <w:r>
              <w:rPr>
                <w:rFonts w:ascii="Times New Roman" w:hAnsi="Times New Roman"/>
                <w:sz w:val="16"/>
              </w:rPr>
              <w:t>$1.41</w:t>
            </w:r>
          </w:p>
        </w:tc>
        <w:tc>
          <w:tcPr>
            <w:tcBorders>
              <w:bottom w:val="double" w:sz="4" w:space="0" w:color="auto"/>
            </w:tcBorders>
            <w:tcW w:w="540" w:type="dxa"/>
          </w:tcPr>
          <w:p>
            <w:pPr>
              <w:jc w:val="center"/>
              <w:spacing w:before="10" w:after="10"/>
            </w:pPr>
            <w:r/>
            <w:r>
              <w:rPr>
                <w:rFonts w:ascii="Times New Roman" w:hAnsi="Times New Roman"/>
                <w:sz w:val="16"/>
              </w:rPr>
              <w:t>2</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$1.47</w:t>
            </w:r>
          </w:p>
        </w:tc>
        <w:tc>
          <w:tcPr>
            <w:tcBorders>
              <w:bottom w:val="double" w:sz="4" w:space="0" w:color="auto"/>
            </w:tcBorders>
            <w:tcW w:w="540" w:type="dxa"/>
          </w:tcPr>
          <w:p>
            <w:pPr>
              <w:jc w:val="center"/>
              <w:spacing w:before="10" w:after="10"/>
            </w:pPr>
            <w:r/>
            <w:r>
              <w:rPr>
                <w:rFonts w:ascii="Times New Roman" w:hAnsi="Times New Roman"/>
                <w:sz w:val="16"/>
              </w:rPr>
              <w:t>18</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b/>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-82</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cost-recovery price divided by production-efficiency index ξⱼᵉᶠᶠ (preferred specification). (4) Bilateral: efficiency-adjusted cost with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tcBorders>
            <w:tcW w:w="2400" w:type="dxa"/>
          </w:tcPr>
          <w:p>
            <w:pPr>
              <w:jc w:val="center"/>
              <w:spacing w:before="10" w:after="10"/>
            </w:pPr>
            <w:r/>
            <w:r>
              <w:rPr>
                <w:rFonts w:ascii="Times New Roman" w:hAnsi="Times New Roman"/>
                <w:sz w:val="16"/>
              </w:rPr>
            </w:r>
          </w:p>
        </w:tc>
        <w:tc>
          <w:tcPr>
            <w:tcBorders>
              <w:top w:val="single" w:sz="4" w:space="0" w:color="auto"/>
            </w:tcBorders>
            <w:tcW w:w="1300" w:type="dxa"/>
          </w:tcPr>
          <w:p>
            <w:pPr>
              <w:jc w:val="center"/>
              <w:spacing w:before="10" w:after="10"/>
            </w:pPr>
            <w:r/>
            <w:r>
              <w:rPr>
                <w:rFonts w:ascii="Times New Roman" w:hAnsi="Times New Roman"/>
                <w:sz w:val="16"/>
              </w:rPr>
            </w:r>
          </w:p>
        </w:tc>
        <w:tc>
          <w:tcPr>
            <w:tcBorders>
              <w:top w:val="single" w:sz="4" w:space="0" w:color="auto"/>
            </w:tcBorders>
            <w:tcW w:w="1000" w:type="dxa"/>
          </w:tcPr>
          <w:p>
            <w:pPr>
              <w:jc w:val="center"/>
              <w:spacing w:before="10" w:after="10"/>
            </w:pPr>
            <w:r/>
            <w:r>
              <w:rPr>
                <w:rFonts w:ascii="Times New Roman" w:hAnsi="Times New Roman"/>
                <w:b/>
                <w:sz w:val="16"/>
              </w:rPr>
              <w:t>(4)/(5) Bilateral</w:t>
            </w:r>
          </w:p>
        </w:tc>
        <w:tc>
          <w:tcPr>
            <w:tcBorders>
              <w:top w:val="single" w:sz="4" w:space="0" w:color="auto"/>
            </w:tcBorders>
            <w:tcW w:w="1000" w:type="dxa"/>
          </w:tcPr>
          <w:p>
            <w:pPr>
              <w:jc w:val="center"/>
              <w:spacing w:before="10" w:after="10"/>
            </w:pPr>
            <w:r/>
            <w:r>
              <w:rPr>
                <w:rFonts w:ascii="Times New Roman" w:hAnsi="Times New Roman"/>
                <w:b/>
                <w:sz w:val="16"/>
              </w:rPr>
              <w:t>(6) Uniform</w:t>
            </w:r>
          </w:p>
        </w:tc>
        <w:tc>
          <w:tcPr>
            <w:tcBorders>
              <w:top w:val="single" w:sz="4" w:space="0" w:color="auto"/>
            </w:tcBorders>
            <w:tcW w:w="900" w:type="dxa"/>
          </w:tcPr>
          <w:p>
            <w:pPr>
              <w:jc w:val="center"/>
              <w:spacing w:before="10" w:after="10"/>
            </w:pPr>
            <w:r/>
            <w:r>
              <w:rPr>
                <w:rFonts w:ascii="Times New Roman" w:hAnsi="Times New Roman"/>
                <w:sz w:val="16"/>
              </w:rPr>
            </w:r>
          </w:p>
        </w:tc>
        <w:tc>
          <w:tcPr>
            <w:tcBorders>
              <w:top w:val="single" w:sz="4" w:space="0" w:color="auto"/>
            </w:tcBorders>
            <w:tcW w:w="1100" w:type="dxa"/>
          </w:tcPr>
          <w:p>
            <w:pPr>
              <w:jc w:val="center"/>
              <w:spacing w:before="10" w:after="10"/>
            </w:pPr>
            <w:r/>
            <w:r>
              <w:rPr>
                <w:rFonts w:ascii="Times New Roman" w:hAnsi="Times New Roman"/>
                <w:sz w:val="16"/>
              </w:rPr>
            </w:r>
          </w:p>
        </w:tc>
      </w:tr>
      <w:tr>
        <w:tc>
          <w:tcPr>
            <w:tcBorders>
              <w:bottom w:val="single" w:sz="4" w:space="0" w:color="auto"/>
            </w:tcBorders>
            <w:tcW w:w="2400" w:type="dxa"/>
          </w:tcPr>
          <w:p>
            <w:pPr>
              <w:jc w:val="left"/>
              <w:spacing w:before="10" w:after="10"/>
            </w:pPr>
            <w:r/>
            <w:r>
              <w:rPr>
                <w:rFonts w:ascii="Times New Roman" w:hAnsi="Times New Roman"/>
                <w:b/>
                <w:sz w:val="16"/>
              </w:rPr>
              <w:t>Country</w:t>
            </w:r>
          </w:p>
        </w:tc>
        <w:tc>
          <w:tcPr>
            <w:tcBorders>
              <w:bottom w:val="single" w:sz="4" w:space="0" w:color="auto"/>
            </w:tcBorders>
            <w:tcW w:w="1300" w:type="dxa"/>
          </w:tcPr>
          <w:p>
            <w:pPr>
              <w:jc w:val="center"/>
              <w:spacing w:before="10" w:after="10"/>
            </w:pPr>
            <w:r/>
            <w:r>
              <w:rPr>
                <w:rFonts w:ascii="Times New Roman" w:hAnsi="Times New Roman"/>
                <w:b/>
                <w:sz w:val="16"/>
              </w:rPr>
              <w:t>cⱼ/ξⱼᵉᶠᶠ</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Rank₆</w:t>
            </w:r>
          </w:p>
        </w:tc>
        <w:tc>
          <w:tcPr>
            <w:tcBorders>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$1.46</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−7.7%</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−7.5%</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−6.6%</w:t>
            </w:r>
          </w:p>
        </w:tc>
      </w:tr>
      <w:tr>
        <w:tc>
          <w:tcPr>
            <w:tcW w:w="2400" w:type="dxa"/>
          </w:tcPr>
          <w:p>
            <w:pPr>
              <w:jc w:val="left"/>
              <w:spacing w:before="10" w:after="10"/>
            </w:pPr>
            <w:r/>
            <w:r>
              <w:rPr>
                <w:rFonts w:ascii="Times New Roman" w:hAnsi="Times New Roman"/>
                <w:sz w:val="16"/>
              </w:rPr>
              <w:t>South Africa</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−5.0%</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−2.5%</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−2.4%</w:t>
            </w:r>
          </w:p>
        </w:tc>
      </w:tr>
      <w:tr>
        <w:tc>
          <w:tcPr>
            <w:tcW w:w="2400" w:type="dxa"/>
          </w:tcPr>
          <w:p>
            <w:pPr>
              <w:jc w:val="left"/>
              <w:spacing w:before="10" w:after="10"/>
            </w:pPr>
            <w:r/>
            <w:r>
              <w:rPr>
                <w:rFonts w:ascii="Times New Roman" w:hAnsi="Times New Roman"/>
                <w:sz w:val="16"/>
              </w:rPr>
              <w:t>Germany</w:t>
            </w:r>
          </w:p>
        </w:tc>
        <w:tc>
          <w:tcPr>
            <w:tcW w:w="1300" w:type="dxa"/>
          </w:tcPr>
          <w:p>
            <w:pPr>
              <w:jc w:val="center"/>
              <w:spacing w:before="10" w:after="10"/>
            </w:pPr>
            <w:r/>
            <w:r>
              <w:rPr>
                <w:rFonts w:ascii="Times New Roman" w:hAnsi="Times New Roman"/>
                <w:sz w:val="16"/>
              </w:rPr>
              <w:t>$1.58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−0.9%</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−0.8%</w:t>
            </w:r>
          </w:p>
        </w:tc>
      </w:tr>
      <w:tr>
        <w:tc>
          <w:tcPr>
            <w:tcW w:w="2400" w:type="dxa"/>
          </w:tcPr>
          <w:p>
            <w:pPr>
              <w:jc w:val="left"/>
              <w:spacing w:before="10" w:after="10"/>
            </w:pPr>
            <w:r/>
            <w:r>
              <w:rPr>
                <w:rFonts w:ascii="Times New Roman" w:hAnsi="Times New Roman"/>
                <w:sz w:val="16"/>
              </w:rPr>
              <w:t>Japan</w:t>
            </w:r>
          </w:p>
        </w:tc>
        <w:tc>
          <w:tcPr>
            <w:tcW w:w="1300" w:type="dxa"/>
          </w:tcPr>
          <w:p>
            <w:pPr>
              <w:jc w:val="center"/>
              <w:spacing w:before="10" w:after="10"/>
            </w:pPr>
            <w:r/>
            <w:r>
              <w:rPr>
                <w:rFonts w:ascii="Times New Roman" w:hAnsi="Times New Roman"/>
                <w:sz w:val="16"/>
              </w:rPr>
              <w:t>$1.59</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0.2%</w:t>
            </w:r>
          </w:p>
        </w:tc>
      </w:tr>
      <w:tr>
        <w:tc>
          <w:tcPr>
            <w:tcW w:w="2400" w:type="dxa"/>
          </w:tcPr>
          <w:p>
            <w:pPr>
              <w:jc w:val="left"/>
              <w:spacing w:before="10" w:after="10"/>
            </w:pPr>
            <w:r/>
            <w:r>
              <w:rPr>
                <w:rFonts w:ascii="Times New Roman" w:hAnsi="Times New Roman"/>
                <w:sz w:val="16"/>
              </w:rPr>
              <w:t>Qatar</w:t>
            </w:r>
          </w:p>
        </w:tc>
        <w:tc>
          <w:tcPr>
            <w:tcW w:w="1300" w:type="dxa"/>
          </w:tcPr>
          <w:p>
            <w:pPr>
              <w:jc w:val="center"/>
              <w:spacing w:before="10" w:after="10"/>
            </w:pPr>
            <w:r/>
            <w:r>
              <w:rPr>
                <w:rFonts w:ascii="Times New Roman" w:hAnsi="Times New Roman"/>
                <w:sz w:val="16"/>
              </w:rPr>
              <w:t>$1.73</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37</w:t>
            </w:r>
          </w:p>
        </w:tc>
        <w:tc>
          <w:tcPr>
            <w:tcW w:w="1100" w:type="dxa"/>
          </w:tcPr>
          <w:p>
            <w:pPr>
              <w:jc w:val="center"/>
              <w:spacing w:before="10" w:after="10"/>
            </w:pPr>
            <w:r/>
            <w:r>
              <w:rPr>
                <w:rFonts w:ascii="Times New Roman" w:hAnsi="Times New Roman"/>
                <w:sz w:val="16"/>
              </w:rPr>
              <w:t>8.4%</w:t>
            </w:r>
          </w:p>
        </w:tc>
      </w:tr>
      <w:tr>
        <w:tc>
          <w:tcPr>
            <w:tcW w:w="2400" w:type="dxa"/>
          </w:tcPr>
          <w:p>
            <w:pPr>
              <w:jc w:val="left"/>
              <w:spacing w:before="10" w:after="10"/>
            </w:pPr>
            <w:r/>
            <w:r>
              <w:rPr>
                <w:rFonts w:ascii="Times New Roman" w:hAnsi="Times New Roman"/>
                <w:sz w:val="16"/>
              </w:rPr>
              <w:t>Saudi Arabia</w:t>
            </w:r>
          </w:p>
        </w:tc>
        <w:tc>
          <w:tcPr>
            <w:tcW w:w="1300" w:type="dxa"/>
          </w:tcPr>
          <w:p>
            <w:pPr>
              <w:jc w:val="center"/>
              <w:spacing w:before="10" w:after="10"/>
            </w:pPr>
            <w:r/>
            <w:r>
              <w:rPr>
                <w:rFonts w:ascii="Times New Roman" w:hAnsi="Times New Roman"/>
                <w:sz w:val="16"/>
              </w:rPr>
              <w:t>$1.80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41</w:t>
            </w:r>
          </w:p>
        </w:tc>
        <w:tc>
          <w:tcPr>
            <w:tcW w:w="1100" w:type="dxa"/>
          </w:tcPr>
          <w:p>
            <w:pPr>
              <w:jc w:val="center"/>
              <w:spacing w:before="10" w:after="10"/>
            </w:pPr>
            <w:r/>
            <w:r>
              <w:rPr>
                <w:rFonts w:ascii="Times New Roman" w:hAnsi="Times New Roman"/>
                <w:sz w:val="16"/>
              </w:rPr>
              <w:t>13.0%</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$1.92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45</w:t>
            </w:r>
          </w:p>
        </w:tc>
        <w:tc>
          <w:tcPr>
            <w:tcW w:w="1100" w:type="dxa"/>
          </w:tcPr>
          <w:p>
            <w:pPr>
              <w:jc w:val="center"/>
              <w:spacing w:before="10" w:after="10"/>
            </w:pPr>
            <w:r/>
            <w:r>
              <w:rPr>
                <w:rFonts w:ascii="Times New Roman" w:hAnsi="Times New Roman"/>
                <w:sz w:val="16"/>
              </w:rPr>
              <w:t>20.3%</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$2.05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52</w:t>
            </w:r>
          </w:p>
        </w:tc>
        <w:tc>
          <w:tcPr>
            <w:tcW w:w="1100" w:type="dxa"/>
          </w:tcPr>
          <w:p>
            <w:pPr>
              <w:jc w:val="center"/>
              <w:spacing w:before="10" w:after="10"/>
            </w:pPr>
            <w:r/>
            <w:r>
              <w:rPr>
                <w:rFonts w:ascii="Times New Roman" w:hAnsi="Times New Roman"/>
                <w:sz w:val="16"/>
              </w:rPr>
              <w:t>29.0%</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$2.18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59</w:t>
            </w:r>
          </w:p>
        </w:tc>
        <w:tc>
          <w:tcPr>
            <w:tcW w:w="1100" w:type="dxa"/>
          </w:tcPr>
          <w:p>
            <w:pPr>
              <w:jc w:val="center"/>
              <w:spacing w:before="10" w:after="10"/>
            </w:pPr>
            <w:r/>
            <w:r>
              <w:rPr>
                <w:rFonts w:ascii="Times New Roman" w:hAnsi="Times New Roman"/>
                <w:sz w:val="16"/>
              </w:rPr>
              <w:t>36.9%</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$2.23</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62</w:t>
            </w:r>
          </w:p>
        </w:tc>
        <w:tc>
          <w:tcPr>
            <w:tcW w:w="1100" w:type="dxa"/>
          </w:tcPr>
          <w:p>
            <w:pPr>
              <w:jc w:val="center"/>
              <w:spacing w:before="10" w:after="10"/>
            </w:pPr>
            <w:r/>
            <w:r>
              <w:rPr>
                <w:rFonts w:ascii="Times New Roman" w:hAnsi="Times New Roman"/>
                <w:sz w:val="16"/>
              </w:rPr>
              <w:t>40.1%</w:t>
            </w:r>
          </w:p>
        </w:tc>
      </w:tr>
      <w:tr>
        <w:tc>
          <w:tcPr>
            <w:tcW w:w="2400" w:type="dxa"/>
          </w:tcPr>
          <w:p>
            <w:pPr>
              <w:jc w:val="left"/>
              <w:spacing w:before="10" w:after="10"/>
            </w:pPr>
            <w:r/>
            <w:r>
              <w:rPr>
                <w:rFonts w:ascii="Times New Roman" w:hAnsi="Times New Roman"/>
                <w:sz w:val="16"/>
              </w:rPr>
              <w:t>Ukraine</w:t>
            </w:r>
          </w:p>
        </w:tc>
        <w:tc>
          <w:tcPr>
            <w:tcW w:w="1300" w:type="dxa"/>
          </w:tcPr>
          <w:p>
            <w:pPr>
              <w:jc w:val="center"/>
              <w:spacing w:before="10" w:after="10"/>
            </w:pPr>
            <w:r/>
            <w:r>
              <w:rPr>
                <w:rFonts w:ascii="Times New Roman" w:hAnsi="Times New Roman"/>
                <w:sz w:val="16"/>
              </w:rPr>
              <w:t>$2.27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65</w:t>
            </w:r>
          </w:p>
        </w:tc>
        <w:tc>
          <w:tcPr>
            <w:tcW w:w="1100" w:type="dxa"/>
          </w:tcPr>
          <w:p>
            <w:pPr>
              <w:jc w:val="center"/>
              <w:spacing w:before="10" w:after="10"/>
            </w:pPr>
            <w:r/>
            <w:r>
              <w:rPr>
                <w:rFonts w:ascii="Times New Roman" w:hAnsi="Times New Roman"/>
                <w:sz w:val="16"/>
              </w:rPr>
              <w:t>42.5%</w:t>
            </w:r>
          </w:p>
        </w:tc>
      </w:tr>
      <w:tr>
        <w:tc>
          <w:tcPr>
            <w:tcW w:w="2400" w:type="dxa"/>
          </w:tcPr>
          <w:p>
            <w:pPr>
              <w:jc w:val="left"/>
              <w:spacing w:before="10" w:after="10"/>
            </w:pPr>
            <w:r/>
            <w:r>
              <w:rPr>
                <w:rFonts w:ascii="Times New Roman" w:hAnsi="Times New Roman"/>
                <w:sz w:val="16"/>
              </w:rPr>
              <w:t>Egypt</w:t>
            </w:r>
          </w:p>
        </w:tc>
        <w:tc>
          <w:tcPr>
            <w:tcW w:w="1300" w:type="dxa"/>
          </w:tcPr>
          <w:p>
            <w:pPr>
              <w:jc w:val="center"/>
              <w:spacing w:before="10" w:after="10"/>
            </w:pPr>
            <w:r/>
            <w:r>
              <w:rPr>
                <w:rFonts w:ascii="Times New Roman" w:hAnsi="Times New Roman"/>
                <w:sz w:val="16"/>
              </w:rPr>
              <w:t>$2.48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73</w:t>
            </w:r>
          </w:p>
        </w:tc>
        <w:tc>
          <w:tcPr>
            <w:tcW w:w="1100" w:type="dxa"/>
          </w:tcPr>
          <w:p>
            <w:pPr>
              <w:jc w:val="center"/>
              <w:spacing w:before="10" w:after="10"/>
            </w:pPr>
            <w:r/>
            <w:r>
              <w:rPr>
                <w:rFonts w:ascii="Times New Roman" w:hAnsi="Times New Roman"/>
                <w:sz w:val="16"/>
              </w:rPr>
              <w:t>55.8%</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$2.50</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74</w:t>
            </w:r>
          </w:p>
        </w:tc>
        <w:tc>
          <w:tcPr>
            <w:tcW w:w="1100" w:type="dxa"/>
          </w:tcPr>
          <w:p>
            <w:pPr>
              <w:jc w:val="center"/>
              <w:spacing w:before="10" w:after="10"/>
            </w:pPr>
            <w:r/>
            <w:r>
              <w:rPr>
                <w:rFonts w:ascii="Times New Roman" w:hAnsi="Times New Roman"/>
                <w:sz w:val="16"/>
              </w:rPr>
              <w:t>56.8%</w:t>
            </w:r>
          </w:p>
        </w:tc>
      </w:tr>
      <w:tr>
        <w:tc>
          <w:tcPr>
            <w:tcW w:w="2400" w:type="dxa"/>
          </w:tcPr>
          <w:p>
            <w:pPr>
              <w:jc w:val="left"/>
              <w:spacing w:before="10" w:after="10"/>
            </w:pPr>
            <w:r/>
            <w:r>
              <w:rPr>
                <w:rFonts w:ascii="Times New Roman" w:hAnsi="Times New Roman"/>
                <w:sz w:val="16"/>
              </w:rPr>
              <w:t>Russia</w:t>
            </w:r>
          </w:p>
        </w:tc>
        <w:tc>
          <w:tcPr>
            <w:tcW w:w="1300" w:type="dxa"/>
          </w:tcPr>
          <w:p>
            <w:pPr>
              <w:jc w:val="center"/>
              <w:spacing w:before="10" w:after="10"/>
            </w:pPr>
            <w:r/>
            <w:r>
              <w:rPr>
                <w:rFonts w:ascii="Times New Roman" w:hAnsi="Times New Roman"/>
                <w:sz w:val="16"/>
              </w:rPr>
              <w:t>$2.51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75</w:t>
            </w:r>
          </w:p>
        </w:tc>
        <w:tc>
          <w:tcPr>
            <w:tcW w:w="1100" w:type="dxa"/>
          </w:tcPr>
          <w:p>
            <w:pPr>
              <w:jc w:val="center"/>
              <w:spacing w:before="10" w:after="10"/>
            </w:pPr>
            <w:r/>
            <w:r>
              <w:rPr>
                <w:rFonts w:ascii="Times New Roman" w:hAnsi="Times New Roman"/>
                <w:sz w:val="16"/>
              </w:rPr>
              <w:t>57.7%</w:t>
            </w:r>
          </w:p>
        </w:tc>
      </w:tr>
      <w:tr>
        <w:tc>
          <w:tcPr>
            <w:tcW w:w="2400" w:type="dxa"/>
          </w:tcPr>
          <w:p>
            <w:pPr>
              <w:jc w:val="left"/>
              <w:spacing w:before="10" w:after="10"/>
            </w:pPr>
            <w:r/>
            <w:r>
              <w:rPr>
                <w:rFonts w:ascii="Times New Roman" w:hAnsi="Times New Roman"/>
                <w:sz w:val="16"/>
              </w:rPr>
              <w:t>Tajikistan</w:t>
            </w:r>
          </w:p>
        </w:tc>
        <w:tc>
          <w:tcPr>
            <w:tcW w:w="1300" w:type="dxa"/>
          </w:tcPr>
          <w:p>
            <w:pPr>
              <w:jc w:val="center"/>
              <w:spacing w:before="10" w:after="10"/>
            </w:pPr>
            <w:r/>
            <w:r>
              <w:rPr>
                <w:rFonts w:ascii="Times New Roman" w:hAnsi="Times New Roman"/>
                <w:sz w:val="16"/>
              </w:rPr>
              <w:t>$2.84</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80</w:t>
            </w:r>
          </w:p>
        </w:tc>
        <w:tc>
          <w:tcPr>
            <w:tcW w:w="1100" w:type="dxa"/>
          </w:tcPr>
          <w:p>
            <w:pPr>
              <w:jc w:val="center"/>
              <w:spacing w:before="10" w:after="10"/>
            </w:pPr>
            <w:r/>
            <w:r>
              <w:rPr>
                <w:rFonts w:ascii="Times New Roman" w:hAnsi="Times New Roman"/>
                <w:sz w:val="16"/>
              </w:rPr>
              <w:t>78.4%</w:t>
            </w:r>
          </w:p>
        </w:tc>
      </w:tr>
      <w:tr>
        <w:tc>
          <w:tcPr>
            <w:tcW w:w="2400" w:type="dxa"/>
          </w:tcPr>
          <w:p>
            <w:pPr>
              <w:jc w:val="left"/>
              <w:spacing w:before="10" w:after="10"/>
            </w:pPr>
            <w:r/>
            <w:r>
              <w:rPr>
                <w:rFonts w:ascii="Times New Roman" w:hAnsi="Times New Roman"/>
                <w:sz w:val="16"/>
              </w:rPr>
              <w:t>Iran</w:t>
            </w:r>
          </w:p>
        </w:tc>
        <w:tc>
          <w:tcPr>
            <w:tcW w:w="1300" w:type="dxa"/>
          </w:tcPr>
          <w:p>
            <w:pPr>
              <w:jc w:val="center"/>
              <w:spacing w:before="10" w:after="10"/>
            </w:pPr>
            <w:r/>
            <w:r>
              <w:rPr>
                <w:rFonts w:ascii="Times New Roman" w:hAnsi="Times New Roman"/>
                <w:sz w:val="16"/>
              </w:rPr>
              <w:t>$2.89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81</w:t>
            </w:r>
          </w:p>
        </w:tc>
        <w:tc>
          <w:tcPr>
            <w:tcW w:w="1100" w:type="dxa"/>
          </w:tcPr>
          <w:p>
            <w:pPr>
              <w:jc w:val="center"/>
              <w:spacing w:before="10" w:after="10"/>
            </w:pPr>
            <w:r/>
            <w:r>
              <w:rPr>
                <w:rFonts w:ascii="Times New Roman" w:hAnsi="Times New Roman"/>
                <w:sz w:val="16"/>
              </w:rPr>
              <w:t>81.2%</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$3.07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83</w:t>
            </w:r>
          </w:p>
        </w:tc>
        <w:tc>
          <w:tcPr>
            <w:tcW w:w="1100" w:type="dxa"/>
          </w:tcPr>
          <w:p>
            <w:pPr>
              <w:jc w:val="center"/>
              <w:spacing w:before="10" w:after="10"/>
            </w:pPr>
            <w:r/>
            <w:r>
              <w:rPr>
                <w:rFonts w:ascii="Times New Roman" w:hAnsi="Times New Roman"/>
                <w:sz w:val="16"/>
              </w:rPr>
              <w:t>92.9%</w:t>
            </w:r>
          </w:p>
        </w:tc>
      </w:tr>
      <w:tr>
        <w:tc>
          <w:tcPr>
            <w:tcBorders>
              <w:bottom w:val="double" w:sz="4" w:space="0" w:color="auto"/>
            </w:tcBorders>
            <w:tcW w:w="2400" w:type="dxa"/>
          </w:tcPr>
          <w:p>
            <w:pPr>
              <w:jc w:val="left"/>
              <w:spacing w:before="10" w:after="10"/>
            </w:pPr>
            <w:r/>
            <w:r>
              <w:rPr>
                <w:rFonts w:ascii="Times New Roman" w:hAnsi="Times New Roman"/>
                <w:sz w:val="16"/>
              </w:rPr>
              <w:t>Turkmenistan</w:t>
            </w:r>
          </w:p>
        </w:tc>
        <w:tc>
          <w:tcPr>
            <w:tcBorders>
              <w:bottom w:val="double" w:sz="4" w:space="0" w:color="auto"/>
            </w:tcBorders>
            <w:tcW w:w="1300" w:type="dxa"/>
          </w:tcPr>
          <w:p>
            <w:pPr>
              <w:jc w:val="center"/>
              <w:spacing w:before="10" w:after="10"/>
            </w:pPr>
            <w:r/>
            <w:r>
              <w:rPr>
                <w:rFonts w:ascii="Times New Roman" w:hAnsi="Times New Roman"/>
                <w:sz w:val="16"/>
              </w:rPr>
              <w:t>$3.10</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84</w:t>
            </w:r>
          </w:p>
        </w:tc>
        <w:tc>
          <w:tcPr>
            <w:tcBorders>
              <w:bottom w:val="double" w:sz="4" w:space="0" w:color="auto"/>
            </w:tcBorders>
            <w:tcW w:w="1100" w:type="dxa"/>
          </w:tcPr>
          <w:p>
            <w:pPr>
              <w:jc w:val="center"/>
              <w:spacing w:before="10" w:after="10"/>
            </w:pPr>
            <w:r/>
            <w:r>
              <w:rPr>
                <w:rFonts w:ascii="Times New Roman" w:hAnsi="Times New Roman"/>
                <w:sz w:val="16"/>
              </w:rPr>
              <w:t>94.8%</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8" w:name="Eq2txt908"/>
      <w:hyperlink w:anchor="Eq2" w:history="1">
        <w:r>
          <w:rPr>
            <w:rFonts w:ascii="Times New Roman" w:hAnsi="Times New Roman"/>
            <w:sz w:val="20"/>
            <w:color w:val="1F3864"/>
            <w:u w:val="single"/>
          </w:rPr>
          <w:t xml:space="preserve">equation (2)</w:t>
        </w:r>
      </w:hyperlink>
      <w:bookmarkEnd w:id="908"/>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0.98</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0.75</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0.64</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0.71</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0.67</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0.99</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0.63</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0.74</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0.61</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0.47</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0.53</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0.70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0.90</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0.87</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0.65</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0.94</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0.98</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0.99</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0.98</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0.91</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0.98</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0.90</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9" w:name="Eq4txt909"/>
      <w:hyperlink w:anchor="Eq4" w:history="1">
        <w:r>
          <w:rPr>
            <w:sz w:val="20"/>
            <w:color w:val="1F3864"/>
            <w:u w:val="single"/>
          </w:rPr>
          <w:t xml:space="preserve">equation (4)</w:t>
        </w:r>
      </w:hyperlink>
      <w:bookmarkEnd w:id="909"/>
      <w:r>
        <w:rPr>
          <w:sz w:val="20"/>
        </w:rPr>
        <w:t xml:space="preserve">. ξⱼᵉᶠᶠ = production-efficiency index combining governance quality and grid reliability (geometric mean;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Efficiency-Adjusted</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cⱼ/ξⱼᵉᶠᶠ</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-71</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-82</w:t>
            </w:r>
          </w:p>
        </w:tc>
      </w:tr>
      <w:tr>
        <w:tc>
          <w:tcPr>
            <w:tcBorders>
              <w:bottom w:val="double" w:sz="4" w:space="0" w:color="auto"/>
            </w:tcBorders>
            <w:tcW w:w="1800" w:type="dxa"/>
          </w:tcPr>
          <w:p>
            <w:pPr>
              <w:jc w:val="left"/>
              <w:spacing w:before="5" w:after="5"/>
            </w:pPr>
            <w:r/>
            <w:r>
              <w:rPr>
                <w:rFonts w:ascii="Times New Roman" w:hAnsi="Times New Roman"/>
                <w:sz w:val="14"/>
              </w:rPr>
              <w:t>Nigeria</w:t>
            </w:r>
          </w:p>
        </w:tc>
        <w:tc>
          <w:tcPr>
            <w:tcBorders>
              <w:bottom w:val="double" w:sz="4" w:space="0" w:color="auto"/>
            </w:tcBorders>
            <w:tcW w:w="900" w:type="dxa"/>
          </w:tcPr>
          <w:p>
            <w:pPr>
              <w:jc w:val="center"/>
              <w:spacing w:before="5" w:after="5"/>
            </w:pPr>
            <w:r/>
            <w:r>
              <w:rPr>
                <w:rFonts w:ascii="Times New Roman" w:hAnsi="Times New Roman"/>
                <w:sz w:val="14"/>
              </w:rPr>
              <w:t>$1.45</w:t>
            </w:r>
          </w:p>
        </w:tc>
        <w:tc>
          <w:tcPr>
            <w:tcBorders>
              <w:bottom w:val="double" w:sz="4" w:space="0" w:color="auto"/>
            </w:tcBorders>
            <w:tcW w:w="540" w:type="dxa"/>
          </w:tcPr>
          <w:p>
            <w:pPr>
              <w:jc w:val="center"/>
              <w:spacing w:before="5" w:after="5"/>
            </w:pPr>
            <w:r/>
            <w:r>
              <w:rPr>
                <w:rFonts w:ascii="Times New Roman" w:hAnsi="Times New Roman"/>
                <w:sz w:val="14"/>
              </w:rPr>
              <w:t>13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$1.49</w:t>
            </w:r>
          </w:p>
        </w:tc>
        <w:tc>
          <w:tcPr>
            <w:tcBorders>
              <w:bottom w:val="double" w:sz="4" w:space="0" w:color="auto"/>
            </w:tcBorders>
            <w:tcW w:w="540" w:type="dxa"/>
          </w:tcPr>
          <w:p>
            <w:pPr>
              <w:jc w:val="center"/>
              <w:spacing w:before="5" w:after="5"/>
            </w:pPr>
            <w:r/>
            <w:r>
              <w:rPr>
                <w:rFonts w:ascii="Times New Roman" w:hAnsi="Times New Roman"/>
                <w:sz w:val="14"/>
              </w:rPr>
              <w:t>31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-72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10" w:name="Eq2txt910"/>
      <w:hyperlink w:anchor="Eq2" w:history="1">
        <w:r>
          <w:rPr>
            <w:sz w:val="20"/>
            <w:color w:val="1F3864"/>
            <w:u w:val="single"/>
          </w:rPr>
          <w:t xml:space="preserve">equation (2)</w:t>
        </w:r>
      </w:hyperlink>
      <w:bookmarkEnd w:id="910"/>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1" w:name="Eq1txt911"/>
      <w:hyperlink w:anchor="Eq1" w:history="1">
        <w:r>
          <w:rPr>
            <w:color w:val="1F3864"/>
            <w:u w:val="single"/>
          </w:rPr>
          <w:t xml:space="preserve">equation (1)</w:t>
        </w:r>
      </w:hyperlink>
      <w:bookmarkEnd w:id="911"/>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2" w:name="Eq4txt912"/>
      <w:hyperlink w:anchor="Eq4" w:history="1">
        <w:r>
          <w:rPr>
            <w:color w:val="1F3864"/>
            <w:u w:val="single"/>
          </w:rPr>
          <w:t xml:space="preserve">equation (4)</w:t>
        </w:r>
      </w:hyperlink>
      <w:bookmarkEnd w:id="912"/>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3" w:name="Eq2txt913"/>
      <w:hyperlink w:anchor="Eq2" w:history="1">
        <w:r>
          <w:rPr>
            <w:color w:val="1F3864"/>
            <w:u w:val="single"/>
          </w:rPr>
          <w:t xml:space="preserve">equation (2)</w:t>
        </w:r>
      </w:hyperlink>
      <w:bookmarkEnd w:id="913"/>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8">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