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0" w:after="160"/>
        <w:ind w:firstLine="0"/>
        <w:jc w:val="both"/>
      </w:pPr>
      <w:r>
        <w:rPr>
          <w:rFonts w:ascii="Times New Roman" w:hAnsi="Times New Roman"/>
          <w:color w:val="808080"/>
          <w:sz w:val="18"/>
        </w:rPr>
        <w:t>v18  —  February 12, 2026  16:12</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we find that many cheap-energy economies, including several low-income countries, could serve the world’s training needs, while regional inference hubs emerge around major demand centers. For developing countries with cheap energy but narrow export baskets, compute exporting provides a direct link between a natural resource endowment and the fastest-growing segment of global electricity demand, projected to more than double from 415 TWh in 2024 to 945 TWh by 2030.</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surging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5" w:name="Deloitte2025txt"/>
      <w:hyperlink w:anchor="Deloitte2025" w:history="1">
        <w:r>
          <w:rPr>
            <w:color w:val="1F3864"/>
            <w:u w:val="single"/>
          </w:rPr>
          <w:t xml:space="preserve">Deloitte 2025</w:t>
        </w:r>
      </w:hyperlink>
      <w:bookmarkEnd w:id="225"/>
      <w:r>
        <w:t xml:space="preserve">). The electricity footprint is enormous: data centers consumed approximately 415 TWh in 2024, accounting for 1.5% of global electricity demand, projected to reach 945 TWh by 2030 (</w:t>
      </w:r>
      <w:bookmarkStart w:id="240" w:name="IEA2025txt"/>
      <w:hyperlink w:anchor="IEA2025" w:history="1">
        <w:r>
          <w:rPr>
            <w:color w:val="1F3864"/>
            <w:u w:val="single"/>
          </w:rPr>
          <w:t xml:space="preserve">IEA 2025</w:t>
        </w:r>
      </w:hyperlink>
      <w:bookmarkEnd w:id="240"/>
      <w:r>
        <w:t xml:space="preserve">), with U.S. data center electricity consumption expected to triple over that period (</w:t>
      </w:r>
      <w:bookmarkStart w:id="236" w:name="EPRI2024txt"/>
      <w:hyperlink w:anchor="EPRI2024" w:history="1">
        <w:r>
          <w:rPr>
            <w:color w:val="1F3864"/>
            <w:u w:val="single"/>
          </w:rPr>
          <w:t xml:space="preserve">EPRI 2024</w:t>
        </w:r>
      </w:hyperlink>
      <w:bookmarkEnd w:id="236"/>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We call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Just as exporting refined petroleum products captures more value than exporting crude oil, exporting FLOPs captures more value than exporting the kilowatt-hours that power them.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adding over 15% to the country’s export base (</w:t>
      </w:r>
      <w:bookmarkStart w:id="205" w:name="WorldBank2024txt"/>
      <w:hyperlink w:anchor="WorldBank2024" w:history="1">
        <w:r>
          <w:rPr>
            <w:color w:val="1F3864"/>
            <w:u w:val="single"/>
          </w:rPr>
          <w:t xml:space="preserve">World Bank 2024</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6" w:name="Sastry2024txt"/>
      <w:hyperlink w:anchor="Sastry2024" w:history="1">
        <w:r>
          <w:rPr>
            <w:color w:val="1F3864"/>
            <w:u w:val="single"/>
          </w:rPr>
          <w:t xml:space="preserve">Sastry, Heim, et al. 2024</w:t>
        </w:r>
      </w:hyperlink>
      <w:bookmarkEnd w:id="226"/>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27" w:name="Pilz2025txt"/>
      <w:hyperlink w:anchor="Pilz2025" w:history="1">
        <w:r>
          <w:rPr>
            <w:color w:val="1F3864"/>
            <w:u w:val="single"/>
          </w:rPr>
          <w:t xml:space="preserve">Pilz, Mahmood, and Heim 2025</w:t>
        </w:r>
      </w:hyperlink>
      <w:bookmarkEnd w:id="227"/>
      <w:r>
        <w:t xml:space="preserve">), but no formal trade model of compute exists. We offer the first such model, treating FLOPs as commodities produced and exported according to Ricardian comparative advantage. We make three contributions. First, we develop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we calibrate the model for 86 countries using data on electricity prices, climate, data center construction costs, and inter-country network latency. Third, we characterize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Our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28" w:name="Korinek2021txt"/>
      <w:hyperlink w:anchor="Korinek2021" w:history="1">
        <w:r>
          <w:rPr>
            <w:color w:val="1F3864"/>
            <w:u w:val="single"/>
          </w:rPr>
          <w:t xml:space="preserve">Korinek and Stiglitz (2021)</w:t>
        </w:r>
      </w:hyperlink>
      <w:bookmarkEnd w:id="228"/>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29" w:name="Limao2001txt"/>
      <w:hyperlink w:anchor="Limao2001" w:history="1">
        <w:r>
          <w:rPr>
            <w:color w:val="1F3864"/>
            <w:u w:val="single"/>
          </w:rPr>
          <w:t xml:space="preserve">Limão and Venables (2001)</w:t>
        </w:r>
      </w:hyperlink>
      <w:bookmarkEnd w:id="229"/>
      <w:r>
        <w:t xml:space="preserve"> show that infrastructure quality determines trade costs. In our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significantly affects data center cooling costs. </w:t>
      </w:r>
      <w:bookmarkStart w:id="230" w:name="Oltmanns2021txt"/>
      <w:hyperlink w:anchor="Oltmanns2021" w:history="1">
        <w:r>
          <w:rPr>
            <w:color w:val="1F3864"/>
            <w:u w:val="single"/>
          </w:rPr>
          <w:t xml:space="preserve">Oltmanns, Krcmarik, and Gatti (2021)</w:t>
        </w:r>
      </w:hyperlink>
      <w:bookmarkEnd w:id="230"/>
      <w:r>
        <w:t xml:space="preserve"> model data center siting as a function of electricity prices, climate, connectivity, and political stability. </w:t>
      </w:r>
      <w:bookmarkStart w:id="237" w:name="Liu2023txt"/>
      <w:hyperlink w:anchor="Liu2023" w:history="1">
        <w:r>
          <w:rPr>
            <w:color w:val="1F3864"/>
            <w:u w:val="single"/>
          </w:rPr>
          <w:t xml:space="preserve">Liu et al. (2023)</w:t>
        </w:r>
      </w:hyperlink>
      <w:bookmarkEnd w:id="237"/>
      <w:r>
        <w:t xml:space="preserve"> study data center placement under renewable energy constraints. These studies focus on where firms should build data centers; our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1" w:name="Sastry2024txt"/>
      <w:hyperlink w:anchor="Sastry2024" w:history="1">
        <w:r>
          <w:rPr>
            <w:color w:val="1F3864"/>
            <w:u w:val="single"/>
          </w:rPr>
          <w:t xml:space="preserve">Sastry, Heim, et al. (2024)</w:t>
        </w:r>
      </w:hyperlink>
      <w:bookmarkEnd w:id="231"/>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our model’s training/inference exporter distinction. </w:t>
      </w:r>
      <w:bookmarkStart w:id="232" w:name="Pilz2025txt"/>
      <w:hyperlink w:anchor="Pilz2025" w:history="1">
        <w:r>
          <w:rPr>
            <w:color w:val="1F3864"/>
            <w:u w:val="single"/>
          </w:rPr>
          <w:t xml:space="preserve">Pilz, Mahmood, and Heim (2025)</w:t>
        </w:r>
      </w:hyperlink>
      <w:bookmarkEnd w:id="232"/>
      <w:r>
        <w:t xml:space="preserve"> project that AI data center power demand could reach 327 GW by 2030 and that domestic power shortages may push compute infrastructure abroad. These papers describe where compute is and who controls it. We add the economics of why it locates where it does and how trade in compute responds to costs and policy.</w:t>
      </w:r>
    </w:p>
    <w:p>
      <w:pPr>
        <w:spacing w:before="0" w:after="160"/>
        <w:ind w:firstLine="0"/>
        <w:jc w:val="both"/>
      </w:pPr>
      <w:r>
        <w:t xml:space="preserve">Our model builds on the trade-in-tasks framework of </w:t>
      </w:r>
      <w:bookmarkStart w:id="211" w:name="Grossman2008txt"/>
      <w:hyperlink w:anchor="Grossman2008" w:history="1">
        <w:r>
          <w:rPr>
            <w:color w:val="1F3864"/>
            <w:u w:val="single"/>
          </w:rPr>
          <w:t xml:space="preserve">Grossman and Rossi-Hansberg (2008)</w:t>
        </w:r>
      </w:hyperlink>
      <w:bookmarkEnd w:id="211"/>
      <w:r>
        <w:t xml:space="preserve">, where tasks differ in their offshoring costs. Training and inference use the same input (FLOPs) but differ in latency sensitivity, generating task-specific sourcing patterns. The iceberg trade cost for inference connects to </w:t>
      </w:r>
      <w:bookmarkStart w:id="238" w:name="Hummels2013txt"/>
      <w:hyperlink w:anchor="Hummels2013" w:history="1">
        <w:r>
          <w:rPr>
            <w:color w:val="1F3864"/>
            <w:u w:val="single"/>
          </w:rPr>
          <w:t xml:space="preserve">Hummels and Schaur (2013)</w:t>
        </w:r>
      </w:hyperlink>
      <w:bookmarkEnd w:id="238"/>
      <w:r>
        <w:t xml:space="preserve">, who estimate that each day of shipping time is equivalent to a tariff; in our setting, milliseconds replace days and network latency replaces shipping time. The make-or-buy decision follows the proximity-concentration tradeoff of </w:t>
      </w:r>
      <w:bookmarkStart w:id="241" w:name="Brainard1997txt"/>
      <w:hyperlink w:anchor="Brainard1997" w:history="1">
        <w:r>
          <w:rPr>
            <w:color w:val="1F3864"/>
            <w:u w:val="single"/>
          </w:rPr>
          <w:t xml:space="preserve">Brainard (1997)</w:t>
        </w:r>
      </w:hyperlink>
      <w:bookmarkEnd w:id="241"/>
      <w:r>
        <w:t xml:space="preserve"> and the heterogeneous-firm trade model of </w:t>
      </w:r>
      <w:bookmarkStart w:id="233" w:name="HMY2004txt"/>
      <w:hyperlink w:anchor="HMY2004" w:history="1">
        <w:r>
          <w:rPr>
            <w:color w:val="1F3864"/>
            <w:u w:val="single"/>
          </w:rPr>
          <w:t xml:space="preserve">Helpman, Melitz, and Yeaple (2004)</w:t>
        </w:r>
      </w:hyperlink>
      <w:bookmarkEnd w:id="233"/>
      <w:r>
        <w:t xml:space="preserve">, where firms sort into exporting versus FDI based on productivity; in our setting, countries sort into importing versus domestic production based on their cost advantage.</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purpose-built facilities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Electricity is the primary recurring cost and the main source of cross-country variation. Third, </w:t>
      </w:r>
      <w:r>
        <w:rPr>
          <w:i/>
        </w:rPr>
        <w:t>construction</w:t>
      </w:r>
      <w:r>
        <w:t xml:space="preserve">: the physical facility, including power distribution, connectivity, and cooling. Cooling overhead is captured by the power usage effectiveness (PUE), which varies from 1.08 in cold climates to over 1.4 in hot ones (</w:t>
      </w:r>
      <w:bookmarkStart w:id="212" w:name="Flucker2013txt"/>
      <w:hyperlink w:anchor="Flucker2013" w:history="1">
        <w:r>
          <w:rPr>
            <w:color w:val="1F3864"/>
            <w:u w:val="single"/>
          </w:rPr>
          <w:t xml:space="preserve">Flucker, Tozer, and Whitehead 2013</w:t>
        </w:r>
      </w:hyperlink>
      <w:bookmarkEnd w:id="212"/>
      <w:r>
        <w:t xml:space="preserv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our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We denote energy intensity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a dimensionless ratio of total facility energy to IT equipment energy (</w:t>
      </w:r>
      <w:bookmarkStart w:id="213" w:name="Flucker2013txt"/>
      <w:hyperlink w:anchor="Flucker2013" w:history="1">
        <w:r>
          <w:rPr>
            <w:color w:val="1F3864"/>
            <w:u w:val="single"/>
          </w:rPr>
          <w:t xml:space="preserve">Flucker, Tozer, and Whitehead 2013</w:t>
        </w:r>
      </w:hyperlink>
      <w:bookmarkEnd w:id="213"/>
      <w:r>
        <w:t xml:space="preserve">). We model PUE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4" w:name="Flucker2013txt"/>
      <w:hyperlink w:anchor="Flucker2013" w:history="1">
        <w:r>
          <w:rPr>
            <w:color w:val="1F3864"/>
            <w:u w:val="single"/>
          </w:rPr>
          <w:t xml:space="preserve">Flucker, Tozer, and Whitehead 2013</w:t>
        </w:r>
      </w:hyperlink>
      <w:bookmarkEnd w:id="214"/>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we discuss this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Countries produce and trade two types of compute services. </w:t>
      </w:r>
      <w:r>
        <w:rPr>
          <w:i/>
        </w:rPr>
        <w:t>Training services</w:t>
      </w:r>
      <w:r>
        <w:t xml:space="preserve"> encompass batch workloads: model training, fine-tuning, and large-scale data processing. A frontier model training run typically takes weeks to months on thousands of GPUs. The client ships its data to where FLOPs are cheapest;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We capture this through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We model this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We now characterize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our calibration, the demand-weighted HHI for training is 0.99 (highly concentrated), versus 0.12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We close the model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Following the gravity-model tradition (</w:t>
      </w:r>
      <w:bookmarkStart w:id="215" w:name="Anderson2003txt"/>
      <w:hyperlink w:anchor="Anderson2003" w:history="1">
        <w:r>
          <w:rPr>
            <w:color w:val="1F3864"/>
            <w:u w:val="single"/>
          </w:rPr>
          <w:t xml:space="preserve">Anderson and van Wincoop 2003</w:t>
        </w:r>
      </w:hyperlink>
      <w:bookmarkEnd w:id="215"/>
      <w:r>
        <w:t xml:space="preserve">), we proxy compute demand using GDP at purchasing power parity: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GDP</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GDP</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GDP at purchasing power parity. This is a standard gravity-model proxy: larger economies demand more compute services.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heterogeneous-firm trade model of </w:t>
      </w:r>
      <w:bookmarkStart w:id="216" w:name="HMY2004txt"/>
      <w:hyperlink w:anchor="HMY2004" w:history="1">
        <w:r>
          <w:rPr>
            <w:color w:val="1F3864"/>
            <w:u w:val="single"/>
          </w:rPr>
          <w:t xml:space="preserve">Helpman, Melitz, and Yeaple (2004)</w:t>
        </w:r>
      </w:hyperlink>
      <w:bookmarkEnd w:id="216"/>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We define the aggregate welfare cost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our calibration (Section 7), this cost amounts to 9.5%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We now calibrate the model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we use Eurostat industrial electricity prices in the 20,000–69,999 MWh consumption band (nrg_pc_205), which corresponds to large industrial consumers (</w:t>
      </w:r>
      <w:bookmarkStart w:id="234" w:name="Eurostat2025txt"/>
      <w:hyperlink w:anchor="Eurostat2025" w:history="1">
        <w:r>
          <w:rPr>
            <w:color w:val="1F3864"/>
            <w:u w:val="single"/>
          </w:rPr>
          <w:t xml:space="preserve">Eurostat 2025</w:t>
        </w:r>
      </w:hyperlink>
      <w:bookmarkEnd w:id="234"/>
      <w:r>
        <w:t xml:space="preserve">). For non-European countries, we use national regulator tariff sheets and secondary sources: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 national utility tariffs for Central Asian countries (Barki Tojik, AERA, Ministry of Energy of Uzbekistan); and </w:t>
      </w:r>
      <w:bookmarkStart w:id="217" w:name="GlobalPetrolPrices2025txt"/>
      <w:hyperlink w:anchor="GlobalPetrolPrices2025" w:history="1">
        <w:r>
          <w:rPr>
            <w:color w:val="1F3864"/>
            <w:u w:val="single"/>
          </w:rPr>
          <w:t xml:space="preserve">GlobalPetrolPrices (2025)</w:t>
        </w:r>
      </w:hyperlink>
      <w:bookmarkEnd w:id="217"/>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8" w:name="Hersbach2020txt"/>
      <w:hyperlink w:anchor="Hersbach2020" w:history="1">
        <w:r>
          <w:rPr>
            <w:color w:val="1F3864"/>
            <w:u w:val="single"/>
          </w:rPr>
          <w:t xml:space="preserve">Hersbach et al. 2020</w:t>
        </w:r>
      </w:hyperlink>
      <w:bookmarkEnd w:id="218"/>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9" w:name="TurnerTownsend2025txt"/>
      <w:hyperlink w:anchor="TurnerTownsend2025" w:history="1">
        <w:r>
          <w:rPr>
            <w:color w:val="1F3864"/>
            <w:u w:val="single"/>
          </w:rPr>
          <w:t xml:space="preserve">Turner &amp; Townsend 2025</w:t>
        </w:r>
      </w:hyperlink>
      <w:bookmarkEnd w:id="219"/>
      <w:r>
        <w:t xml:space="preserve">). For the remaining countries, we predict construction costs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0" w:name="WonderNetwork2024txt"/>
      <w:hyperlink w:anchor="WonderNetwork2024" w:history="1">
        <w:r>
          <w:rPr>
            <w:color w:val="1F3864"/>
            <w:u w:val="single"/>
          </w:rPr>
          <w:t xml:space="preserve">WonderNetwork 2024</w:t>
        </w:r>
      </w:hyperlink>
      <w:bookmarkEnd w:id="220"/>
      <w:r>
        <w:t xml:space="preserve">). For each country pair, we use the median round-trip time (RTT) in milliseconds.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We use the NVIDIA H100 SXM GPU as the reference hardware platform: list price $25,000, thermal design power 700W, economic lifetime 3 years, utilization rate 90% (</w:t>
      </w:r>
      <w:bookmarkStart w:id="221" w:name="NVIDIA2024txt"/>
      <w:hyperlink w:anchor="NVIDIA2024" w:history="1">
        <w:r>
          <w:rPr>
            <w:color w:val="1F3864"/>
            <w:u w:val="single"/>
          </w:rPr>
          <w:t xml:space="preserve">NVIDIA 2024</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We proxy 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with total GDP at purchasing power parity (</w:t>
      </w:r>
      <w:bookmarkStart w:id="235" w:name="WorldBank2024txt"/>
      <w:hyperlink w:anchor="WorldBank2024" w:history="1">
        <w:r>
          <w:rPr>
            <w:color w:val="1F3864"/>
            <w:u w:val="single"/>
          </w:rPr>
          <w:t xml:space="preserve">World Bank 2024</w:t>
        </w:r>
      </w:hyperlink>
      <w:bookmarkEnd w:id="235"/>
      <w:r>
        <w:t xml:space="preserve">, </w:t>
      </w:r>
      <w:bookmarkStart w:id="222" w:name="Anderson2003txt"/>
      <w:hyperlink w:anchor="Anderson2003" w:history="1">
        <w:r>
          <w:rPr>
            <w:color w:val="1F3864"/>
            <w:u w:val="single"/>
          </w:rPr>
          <w:t xml:space="preserve">Anderson and van Wincoop 2003</w:t>
        </w:r>
      </w:hyperlink>
      <w:bookmarkEnd w:id="222"/>
      <w:r>
        <w:t xml:space="preserve">), as specified in equation (5). The five largest demand centers—China (20%), United States of America (16%), India (8.5%), Russia (4%), and Japan (4%)—account for 52% of global demand. GDP is a rough proxy. Actual compute demand is probably more concentrated, since the United States and China have outsized technology sectors. Cloud revenue shares or installed data center capacity would be better demand measures, but neither is available at the country level. If anything, our GDP-based shares understate concentration, which would push training-market HHI even higher.</w:t>
      </w:r>
    </w:p>
    <w:p>
      <w:pPr>
        <w:pStyle w:val="Heading1"/>
      </w:pPr>
      <w:r>
        <w:rPr>
          <w:rFonts w:ascii="Times New Roman" w:hAnsi="Times New Roman"/>
          <w:color w:val="2F5496"/>
        </w:rPr>
        <w:t>7. Calibration and Discussion</w:t>
      </w:r>
    </w:p>
    <w:p>
      <w:pPr>
        <w:spacing w:before="0" w:after="160"/>
        <w:ind w:firstLine="0"/>
        <w:jc w:val="both"/>
      </w:pPr>
      <w:r>
        <w:t xml:space="preserve">We calibrate the model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Our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our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we report training flows excluding sanctioned producers: Turkmenistan ($1.11/hr) captures 99.5% of global training demand. </w:t>
      </w:r>
      <w:r>
        <w:t>Inference is far more dispersed: the top five inference suppliers are Kyrgyzstan (21%), Canada (19%), Algeria (15%), India (8%), Russia (4%), together serving 67% of global inference demand. The demand-weighted HHI for training is 0.99, versus 0.12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We keep the unconstrained formulation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21% of global inference demand by serving China and Kazakhstan—a striking result for a country with GDP under $15 billion. Algeria serves as the inference hub for Western Europe, capturing 15%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16%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Canada ($1.19/hr), reflecting Canada’s combination of low cost and minimal cross-border latency. For major European demand centers, inference is sourced from Algeria at delivered costs of $1.18/hr for Germany, $1.18/hr for the United Kingdom, and $1.17/hr for France. Algeria’s subsidized electricity and moderate Mediterranean latency make it the European inference hub. For China, the cheapest inference source is Kyrgyzstan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 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3" w:name="Krugman1991txt"/>
      <w:hyperlink w:anchor="Krugman1991" w:history="1">
        <w:r>
          <w:rPr>
            <w:color w:val="1F3864"/>
            <w:u w:val="single"/>
          </w:rPr>
          <w:t xml:space="preserve">Krugman 1991</w:t>
        </w:r>
      </w:hyperlink>
      <w:bookmarkEnd w:id="223"/>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our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our calibration, including Iran ($0.005/kWh), Turkmenistan ($0.01/kWh), and Egypt ($0.038/kWh), benefit from domestic energy subsidies. At a small scale, hosting a data center is a net gain: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The implicit fiscal cost, the gap between the subsidized tariff and the long-run marginal cost of generation, would scale linearly with export volume. Governments would face a choice between raising electricity prices for data centers (eroding the cost advantage), maintaining subsidies at growing fiscal cost, or capping data center capacity. This suggests that the lowest-cost producers in our calibration are unlikely to serve global training demand at the volumes implied by pure cost minimization.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How sensitive are the rankings to subsidized electricity? We replace observed tariffs in 5 subsidy-dependent countries (Iran, Turkmenistan, Algeria, Egypt, and Uzbekistan) with estimated long-run marginal costs of generation at opportunity-cost fuel prices, specifically $0.05/kWh for gas exporters (the approximate cost of combined-cycle generation at export-parity fuel prices) and $0.075–$0.085/kWh for gas importers with subsidies. The five cheapest producers become Kyrgyzstan ($1.13/hr), Ethiopia ($1.13/hr), Canada ($1.14/hr), Russia ($1.14/hr), and Kosovo ($1.14/hr). Hydropower countries (Kyrgyzstan, Canada, Norway) and cold-climate producers (Russia, Kosovo) move up, and Iran drops from first to 7th.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We develop a trade model for computing services (FLOPs) in which countries produce and export computing capacity based on their electricity prices, climate, and construction costs. We distinguish two service types, latency-insensitive training and latency-sensitive inference, and introduce a sovereignty premium to capture governments’ preference for domestic data processing. We derive buyers’ optimal sourcing decisions and producers’ entry conditions, and establish three comparative static results: country-specific sovereignty thresholds, the nesting of training exporters within inference exporters, and greater concentration in training than in inference markets. We calibrate the model for 86 countries using data on electricity prices, temperatures, construction costs, bilateral latencies, and GDP-based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9.5%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our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Anderson2003"/>
      <w:hyperlink w:anchor="Anderson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0"/>
    </w:p>
    <w:p>
      <w:pPr>
        <w:spacing w:before="0" w:after="80" w:line="240" w:lineRule="auto"/>
        <w:ind w:hanging="720" w:left="720"/>
        <w:jc w:val="both"/>
      </w:pPr>
      <w:bookmarkStart w:id="50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(2025). Electric Power Monthly. U.S. Energy Information Administration.</w:t>
        </w:r>
      </w:hyperlink>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1"/>
    </w:p>
    <w:p>
      <w:pPr>
        <w:spacing w:before="0" w:after="80" w:line="240" w:lineRule="auto"/>
        <w:ind w:hanging="720" w:left="720"/>
        <w:jc w:val="both"/>
      </w:pPr>
      <w:bookmarkStart w:id="51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2"/>
    </w:p>
    <w:p>
      <w:pPr>
        <w:spacing w:before="0" w:after="80" w:line="240" w:lineRule="auto"/>
        <w:ind w:hanging="720" w:left="720"/>
        <w:jc w:val="both"/>
      </w:pPr>
      <w:bookmarkStart w:id="51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3"/>
    </w:p>
    <w:p>
      <w:pPr>
        <w:spacing w:before="0" w:after="80" w:line="240" w:lineRule="auto"/>
        <w:ind w:hanging="720" w:left="720"/>
        <w:jc w:val="both"/>
      </w:pPr>
      <w:bookmarkStart w:id="51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4"/>
    </w:p>
    <w:p>
      <w:pPr>
        <w:spacing w:before="0" w:after="80" w:line="240" w:lineRule="auto"/>
        <w:ind w:hanging="720" w:left="720"/>
        <w:jc w:val="both"/>
      </w:pPr>
      <w:bookmarkStart w:id="515"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5"/>
    </w:p>
    <w:p>
      <w:pPr>
        <w:spacing w:before="0" w:after="80" w:line="240" w:lineRule="auto"/>
        <w:ind w:hanging="720" w:left="720"/>
        <w:jc w:val="both"/>
      </w:pPr>
      <w:bookmarkStart w:id="516" w:name="IEA2025"/>
      <w:hyperlink w:anchor="IEA2025txt" w:history="1">
        <w:r>
          <w:rPr>
            <w:color w:val="1F3864"/>
            <w:u w:val="single"/>
          </w:rPr>
          <w:t xml:space="preserve">IEA. (2025). </w:t>
        </w:r>
      </w:hyperlink>
      <w:r>
        <w:t>“Energy Demand from AI.” Published online at iea.org.</w:t>
      </w:r>
      <w:bookmarkEnd w:id="516"/>
    </w:p>
    <w:p>
      <w:pPr>
        <w:spacing w:before="0" w:after="80" w:line="240" w:lineRule="auto"/>
        <w:ind w:hanging="720" w:left="720"/>
        <w:jc w:val="both"/>
      </w:pPr>
      <w:bookmarkStart w:id="51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7"/>
    </w:p>
    <w:p>
      <w:pPr>
        <w:spacing w:before="0" w:after="80" w:line="240" w:lineRule="auto"/>
        <w:ind w:hanging="720" w:left="720"/>
        <w:jc w:val="both"/>
      </w:pPr>
      <w:bookmarkStart w:id="51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8"/>
    </w:p>
    <w:p>
      <w:pPr>
        <w:spacing w:before="0" w:after="80" w:line="240" w:lineRule="auto"/>
        <w:ind w:hanging="720" w:left="720"/>
        <w:jc w:val="both"/>
      </w:pPr>
      <w:bookmarkStart w:id="51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19"/>
    </w:p>
    <w:p>
      <w:pPr>
        <w:spacing w:before="0" w:after="80" w:line="240" w:lineRule="auto"/>
        <w:ind w:hanging="720" w:left="720"/>
        <w:jc w:val="both"/>
      </w:pPr>
      <w:bookmarkStart w:id="52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4" w:name="WorldBank2024txt"/>
      <w:hyperlink w:anchor="WorldBank2024" w:history="1">
        <w:r>
          <w:rPr>
            <w:i/>
            <w:color w:val="1F3864"/>
            <w:u w:val="single"/>
          </w:rPr>
          <w:t xml:space="preserve">World Bank</w:t>
        </w:r>
      </w:hyperlink>
      <w:bookmarkEnd w:id="224"/>
      <w:r>
        <w:rPr>
          <w:i/>
        </w:rPr>
        <w:t xml:space="preserve"> Economic Review</w:t>
      </w:r>
      <w:r>
        <w:t>, 15(3): 451–479.</w:t>
      </w:r>
      <w:bookmarkEnd w:id="520"/>
    </w:p>
    <w:p>
      <w:pPr>
        <w:spacing w:before="0" w:after="80" w:line="240" w:lineRule="auto"/>
        <w:ind w:hanging="720" w:left="720"/>
        <w:jc w:val="both"/>
      </w:pPr>
      <w:bookmarkStart w:id="52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1"/>
    </w:p>
    <w:p>
      <w:pPr>
        <w:spacing w:before="0" w:after="80" w:line="240" w:lineRule="auto"/>
        <w:ind w:hanging="720" w:left="720"/>
        <w:jc w:val="both"/>
      </w:pPr>
      <w:bookmarkStart w:id="522" w:name="NVIDIA2024"/>
      <w:hyperlink w:anchor="NVIDIA2024txt" w:history="1">
        <w:r>
          <w:rPr>
            <w:color w:val="1F3864"/>
            <w:u w:val="single"/>
          </w:rPr>
          <w:t xml:space="preserve">NVIDIA. (2024). NVIDIA H100 Tensor Core GPU Datasheet. nvidia.com.</w:t>
        </w:r>
      </w:hyperlink>
      <w:bookmarkEnd w:id="522"/>
    </w:p>
    <w:p>
      <w:pPr>
        <w:spacing w:before="0" w:after="80" w:line="240" w:lineRule="auto"/>
        <w:ind w:hanging="720" w:left="720"/>
        <w:jc w:val="both"/>
      </w:pPr>
      <w:bookmarkStart w:id="523"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3"/>
    </w:p>
    <w:p>
      <w:pPr>
        <w:spacing w:before="0" w:after="80" w:line="240" w:lineRule="auto"/>
        <w:ind w:hanging="720" w:left="720"/>
        <w:jc w:val="both"/>
      </w:pPr>
      <w:bookmarkStart w:id="52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24"/>
    </w:p>
    <w:p>
      <w:pPr>
        <w:spacing w:before="0" w:after="80" w:line="240" w:lineRule="auto"/>
        <w:ind w:hanging="720" w:left="720"/>
        <w:jc w:val="both"/>
      </w:pPr>
      <w:bookmarkStart w:id="525" w:name="Sastry2024"/>
      <w:hyperlink w:anchor="Sastry2024txt" w:history="1">
        <w:r>
          <w:rPr>
            <w:color w:val="1F3864"/>
            <w:u w:val="single"/>
          </w:rPr>
          <w:t xml:space="preserve">Sastry, G., L. Heim, et al. (2024). </w:t>
        </w:r>
      </w:hyperlink>
      <w:r>
        <w:t>“Computing Power and the Governance of Artificial Intelligence.” arXiv:2402.08797.</w:t>
      </w:r>
      <w:bookmarkEnd w:id="525"/>
    </w:p>
    <w:p>
      <w:pPr>
        <w:spacing w:before="0" w:after="80" w:line="240" w:lineRule="auto"/>
        <w:ind w:hanging="720" w:left="720"/>
        <w:jc w:val="both"/>
      </w:pPr>
      <w:bookmarkStart w:id="52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6"/>
    </w:p>
    <w:p>
      <w:pPr>
        <w:spacing w:before="0" w:after="80" w:line="240" w:lineRule="auto"/>
        <w:ind w:hanging="720" w:left="720"/>
        <w:jc w:val="both"/>
      </w:pPr>
      <w:bookmarkStart w:id="527" w:name="UNCTAD2025"/>
      <w:hyperlink w:anchor="UNCTAD2025txt" w:history="1">
        <w:r>
          <w:rPr>
            <w:color w:val="1F3864"/>
            <w:u w:val="single"/>
          </w:rPr>
          <w:t xml:space="preserve">UNCTAD. (2025). Technology and Innovation Report 2025. Geneva: United Nations.</w:t>
        </w:r>
      </w:hyperlink>
      <w:bookmarkEnd w:id="527"/>
    </w:p>
    <w:p>
      <w:pPr>
        <w:spacing w:before="0" w:after="80" w:line="240" w:lineRule="auto"/>
        <w:ind w:hanging="720" w:left="720"/>
        <w:jc w:val="both"/>
      </w:pPr>
      <w:bookmarkStart w:id="528" w:name="UptimeInstitute2024"/>
      <w:hyperlink w:anchor="UptimeInstitute2024txt" w:history="1">
        <w:r>
          <w:rPr>
            <w:color w:val="1F3864"/>
            <w:u w:val="single"/>
          </w:rPr>
          <w:t xml:space="preserve">Uptime Institute. (2024). </w:t>
        </w:r>
      </w:hyperlink>
      <w:r>
        <w:t>“Data Center Staffing: Trends and Best Practices.”</w:t>
      </w:r>
      <w:bookmarkEnd w:id="528"/>
    </w:p>
    <w:p>
      <w:pPr>
        <w:spacing w:before="0" w:after="80" w:line="240" w:lineRule="auto"/>
        <w:ind w:hanging="720" w:left="720"/>
        <w:jc w:val="both"/>
      </w:pPr>
      <w:bookmarkStart w:id="52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29"/>
    </w:p>
    <w:p>
      <w:pPr>
        <w:spacing w:before="0" w:after="80" w:line="240" w:lineRule="auto"/>
        <w:ind w:hanging="720" w:left="720"/>
        <w:jc w:val="both"/>
      </w:pPr>
      <w:bookmarkStart w:id="53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0"/>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Our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