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a New Export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v19  —  February 13, 2026  19:24</w:t>
      </w:r>
    </w:p>
    <w:p>
      <w:pPr>
        <w:spacing w:before="240" w:after="160" w:line="240" w:lineRule="auto"/>
        <w:ind w:firstLine="0"/>
        <w:jc w:val="both"/>
      </w:pPr>
      <w:r>
        <w:rPr>
          <w:b/>
        </w:rPr>
        <w:t>Abstract</w:t>
      </w:r>
      <w:r>
        <w:t>: The rapid growth of artificial intelligence is generating surging global demand for computational resources, yet the cost of producing a unit of computation varies by a factor of two across countries. The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the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the global economy converting a natural resource directly into a high-value digital service.</w:t>
      </w:r>
    </w:p>
    <w:p>
      <w:pPr>
        <w:spacing w:before="0" w:after="160"/>
        <w:ind w:firstLine="0"/>
        <w:jc w:val="both"/>
      </w:pPr>
      <w:r>
        <w:rPr>
          <w:b/>
        </w:rPr>
        <w:t xml:space="preserve">JEL Classification: </w:t>
      </w:r>
      <w:r>
        <w:t>F14, F18, L86, O14, O33, Q40</w:t>
      </w:r>
    </w:p>
    <w:p>
      <w:pPr>
        <w:spacing w:before="0" w:after="160"/>
        <w:ind w:firstLine="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color w:val="2F5496"/>
        </w:rPr>
        <w:t>1. Introduction</w:t>
      </w:r>
    </w:p>
    <w:p>
      <w:pPr>
        <w:spacing w:before="0" w:after="160"/>
        <w:ind w:firstLine="0"/>
        <w:jc w:val="both"/>
      </w:pPr>
      <w:r>
        <w:t xml:space="preserve">The rapid expansion of artificial intelligence is creating surging demand for computational resources. The computation used to train frontier AI models has been doubling every six months (</w:t>
      </w:r>
      <w:bookmarkStart w:id="200" w:name="EpochAI2024txt"/>
      <w:hyperlink w:anchor="EpochAI2024" w:history="1">
        <w:r>
          <w:rPr>
            <w:color w:val="1F3864"/>
            <w:u w:val="single"/>
          </w:rPr>
          <w:t xml:space="preserve">Epoch AI 2024</w:t>
        </w:r>
      </w:hyperlink>
      <w:bookmarkEnd w:id="200"/>
      <w:r>
        <w:t xml:space="preserve">), with inference workloads expected to account for roughly two-thirds of all compute by 2026 (</w:t>
      </w:r>
      <w:bookmarkStart w:id="228" w:name="Deloitte2025txt"/>
      <w:hyperlink w:anchor="Deloitte2025" w:history="1">
        <w:r>
          <w:rPr>
            <w:color w:val="1F3864"/>
            <w:u w:val="single"/>
          </w:rPr>
          <w:t xml:space="preserve">Deloitte 2025</w:t>
        </w:r>
      </w:hyperlink>
      <w:bookmarkEnd w:id="228"/>
      <w:r>
        <w:t xml:space="preserve">). Data centers consumed approximately 415 TWh in 2024, accounting for 1.5% of global electricity demand, projected to reach 945 TWh by 2030 (</w:t>
      </w:r>
      <w:bookmarkStart w:id="243" w:name="IEA2025txt"/>
      <w:hyperlink w:anchor="IEA2025" w:history="1">
        <w:r>
          <w:rPr>
            <w:color w:val="1F3864"/>
            <w:u w:val="single"/>
          </w:rPr>
          <w:t xml:space="preserve">IEA 2025</w:t>
        </w:r>
      </w:hyperlink>
      <w:bookmarkEnd w:id="243"/>
      <w:r>
        <w:t xml:space="preserve">), with U.S. data center electricity consumption expected to triple over that period (</w:t>
      </w:r>
      <w:bookmarkStart w:id="240" w:name="EPRI2024txt"/>
      <w:hyperlink w:anchor="EPRI2024" w:history="1">
        <w:r>
          <w:rPr>
            <w:color w:val="1F3864"/>
            <w:u w:val="single"/>
          </w:rPr>
          <w:t xml:space="preserve">EPRI 2024</w:t>
        </w:r>
      </w:hyperlink>
      <w:bookmarkEnd w:id="240"/>
      <w:r>
        <w:t xml:space="preserve">).</w:t>
      </w:r>
      <w:r>
        <w:rPr>
          <w:rStyle w:val="FootnoteReference"/>
        </w:rPr>
        <w:footnoteReference w:id="2"/>
      </w:r>
    </w:p>
    <w:p>
      <w:pPr>
        <w:spacing w:before="0" w:after="160"/>
        <w:ind w:firstLine="0"/>
        <w:jc w:val="both"/>
      </w:pPr>
      <w:r>
        <w:t xml:space="preserve">This surge in demand creates a new type of export opportunity. Countries with abundant, inexpensive electricity and land, from Central Asia to North Africa, can produce and export computational services, measured in floating-point operations per second (FLOP/s). This paper refers to this as </w:t>
      </w:r>
      <w:r>
        <w:rPr>
          <w:i/>
        </w:rPr>
        <w:t>FLOP exporting</w:t>
      </w:r>
      <w:r>
        <w:t xml:space="preserve">: the production of compute services in one country for consumption in another. FLOP exporting is a form of value chain upgrading. Rather than exporting raw energy resources (oil, natural gas, or coal) as primary commodities, countries can convert cheap electricity into a higher value-added digital service. For energy-rich developing countries, FLOP exporting offers a route up the value chain without the heavy industrialization traditionally required for such upgrading (</w:t>
      </w:r>
      <w:bookmarkStart w:id="201" w:name="Hausmann2007txt"/>
      <w:hyperlink w:anchor="Hausmann2007" w:history="1">
        <w:r>
          <w:rPr>
            <w:color w:val="1F3864"/>
            <w:u w:val="single"/>
          </w:rPr>
          <w:t xml:space="preserve">Hausmann, Hwang, and Rodrik 2007</w:t>
        </w:r>
      </w:hyperlink>
      <w:bookmarkEnd w:id="201"/>
      <w:r>
        <w:t xml:space="preserve">).</w:t>
      </w:r>
    </w:p>
    <w:p>
      <w:pPr>
        <w:spacing w:before="0" w:after="160"/>
        <w:ind w:firstLine="0"/>
        <w:jc w:val="both"/>
      </w:pPr>
      <w:r>
        <w:t xml:space="preserve">Data center operations require minimal labor: a typical hyperscale facility employs only about 50 permanent staff (</w:t>
      </w:r>
      <w:bookmarkStart w:id="202" w:name="UptimeInstitute2024txt"/>
      <w:hyperlink w:anchor="UptimeInstitute2024" w:history="1">
        <w:r>
          <w:rPr>
            <w:color w:val="1F3864"/>
            <w:u w:val="single"/>
          </w:rPr>
          <w:t xml:space="preserve">Uptime Institute 2024</w:t>
        </w:r>
      </w:hyperlink>
      <w:bookmarkEnd w:id="202"/>
      <w:r>
        <w:t xml:space="preserve">).</w:t>
      </w:r>
      <w:r>
        <w:rPr>
          <w:rStyle w:val="FootnoteReference"/>
        </w:rPr>
        <w:footnoteReference w:id="3"/>
      </w:r>
      <w:r>
        <w:t xml:space="preserve"> The binding inputs are cheap electricity and, to a lesser degree, land, so some human capital constraints that have historically limited export upgrading in developing countries (</w:t>
      </w:r>
      <w:bookmarkStart w:id="203" w:name="Hausmann2007txt"/>
      <w:hyperlink w:anchor="Hausmann2007" w:history="1">
        <w:r>
          <w:rPr>
            <w:color w:val="1F3864"/>
            <w:u w:val="single"/>
          </w:rPr>
          <w:t xml:space="preserve">Hausmann, Hwang, and Rodrik 2007</w:t>
        </w:r>
      </w:hyperlink>
      <w:bookmarkEnd w:id="203"/>
      <w:r>
        <w:t xml:space="preserve">) are largely absent. Investing in FLOP production capacity today also has option value: export-oriented data centers can later serve the domestic market as local AI demand grows.</w:t>
      </w:r>
    </w:p>
    <w:p>
      <w:pPr>
        <w:spacing w:before="0" w:after="160"/>
        <w:ind w:firstLine="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w:t>
      </w:r>
    </w:p>
    <w:p>
      <w:pPr>
        <w:spacing w:before="0" w:after="160"/>
        <w:ind w:firstLine="0"/>
        <w:jc w:val="both"/>
      </w:pPr>
      <w:r>
        <w:t xml:space="preserve">Large-scale investments confirm that FLOP exporting from developing countries is feasible. Armenia is deploying 50,000 GPUs in a $4 billion AI megaproject (</w:t>
      </w:r>
      <w:bookmarkStart w:id="204" w:name="Firebird2026txt"/>
      <w:hyperlink w:anchor="Firebird2026" w:history="1">
        <w:r>
          <w:rPr>
            <w:color w:val="1F3864"/>
            <w:u w:val="single"/>
          </w:rPr>
          <w:t xml:space="preserve">Firebird 2026</w:t>
        </w:r>
      </w:hyperlink>
      <w:bookmarkEnd w:id="204"/>
      <w:r>
        <w:t xml:space="preserve">), while Kenya, Saudi Arabia, Morocco, Malaysia, and Indonesia have each attracted billion-dollar data center commitments.</w:t>
      </w:r>
      <w:r>
        <w:rPr>
          <w:rStyle w:val="FootnoteReference"/>
        </w:rPr>
        <w:footnoteReference w:id="4"/>
      </w:r>
      <w:r>
        <w:t xml:space="preserve"> The economic stakes are substantial: a single 40 MW data center in Kyrgyzstan could generate annual revenue of $630 million–$950 million at wholesale contract rates, equivalent to over 15% of Kyrgyzstan’s $3.8 billion in goods exports (</w:t>
      </w:r>
      <w:bookmarkStart w:id="205" w:name="WorldBank2024txt"/>
      <w:hyperlink w:anchor="WorldBank2024" w:history="1">
        <w:r>
          <w:rPr>
            <w:color w:val="1F3864"/>
            <w:u w:val="single"/>
          </w:rPr>
          <w:t xml:space="preserve">World Bank 2024</w:t>
        </w:r>
      </w:hyperlink>
      <w:bookmarkEnd w:id="205"/>
      <w:r>
        <w:t xml:space="preserve">).</w:t>
      </w:r>
      <w:r>
        <w:rPr>
          <w:rStyle w:val="FootnoteReference"/>
        </w:rPr>
        <w:footnoteReference w:id="5"/>
      </w:r>
    </w:p>
    <w:p>
      <w:pPr>
        <w:spacing w:before="0" w:after="160"/>
        <w:ind w:firstLine="0"/>
        <w:jc w:val="both"/>
      </w:pPr>
      <w:r>
        <w:t xml:space="preserve">Recent work has examined compute governance and the geography of AI infrastructure (</w:t>
      </w:r>
      <w:bookmarkStart w:id="229" w:name="Sastry2024txt"/>
      <w:hyperlink w:anchor="Sastry2024" w:history="1">
        <w:r>
          <w:rPr>
            <w:color w:val="1F3864"/>
            <w:u w:val="single"/>
          </w:rPr>
          <w:t xml:space="preserve">Sastry, Heim, et al. 2024</w:t>
        </w:r>
      </w:hyperlink>
      <w:bookmarkEnd w:id="229"/>
      <w:r>
        <w:t xml:space="preserve">, </w:t>
      </w:r>
      <w:bookmarkStart w:id="206" w:name="Lehdonvirta2024txt"/>
      <w:hyperlink w:anchor="Lehdonvirta2024" w:history="1">
        <w:r>
          <w:rPr>
            <w:color w:val="1F3864"/>
            <w:u w:val="single"/>
          </w:rPr>
          <w:t xml:space="preserve">Lehdonvirta, Wu, and Hawkins 2024</w:t>
        </w:r>
      </w:hyperlink>
      <w:bookmarkEnd w:id="206"/>
      <w:r>
        <w:t xml:space="preserve">, </w:t>
      </w:r>
      <w:bookmarkStart w:id="230" w:name="Pilz2025txt"/>
      <w:hyperlink w:anchor="Pilz2025" w:history="1">
        <w:r>
          <w:rPr>
            <w:color w:val="1F3864"/>
            <w:u w:val="single"/>
          </w:rPr>
          <w:t xml:space="preserve">Pilz, Mahmood, and Heim 2025</w:t>
        </w:r>
      </w:hyperlink>
      <w:bookmarkEnd w:id="230"/>
      <w:r>
        <w:t xml:space="preserve">),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it calibrates the model for 86 countries using data on electricity prices, climate, data center construction costs, and inter-country network latency. Third, it characterizes the resulting trade regimes (which countries export, which import, and which adopt hybrid strategies) and show how the sovereignty premium determines the boundary between domestic and foreign sourcing.</w:t>
      </w:r>
    </w:p>
    <w:p>
      <w:pPr>
        <w:spacing w:before="0" w:after="160"/>
        <w:ind w:firstLine="0"/>
        <w:jc w:val="both"/>
      </w:pPr>
      <w:r>
        <w:t>The remainder of the paper is organized as follows. Section 2 reviews the related literature. Section 3 develops the model, defining the production technology for FLOPs and the trade cost structure that distinguishes training from inference. Section 4 derives the comparative advantage results, presents the buyer’s optimal sourcing problem, and develops a country taxonomy. Section 5 analyzes the make-or-buy decision under country-specific fixed entry costs and the sovereignty premium. Section 6 describes the data. Section 7 calibrates the model and discusses the results. Section 8 concludes.</w:t>
      </w:r>
    </w:p>
    <w:p>
      <w:pPr>
        <w:pStyle w:val="Heading1"/>
      </w:pPr>
      <w:r>
        <w:rPr>
          <w:rFonts w:ascii="Times New Roman" w:hAnsi="Times New Roman"/>
          <w:color w:val="2F5496"/>
        </w:rPr>
        <w:t>2. Related Literature</w:t>
      </w:r>
    </w:p>
    <w:p>
      <w:pPr>
        <w:spacing w:before="0" w:after="160"/>
        <w:ind w:firstLine="0"/>
        <w:jc w:val="both"/>
      </w:pPr>
      <w:r>
        <w:t xml:space="preserve"/>
      </w:r>
      <w:bookmarkStart w:id="207" w:name="Goldfarb2018txt"/>
      <w:hyperlink w:anchor="Goldfarb2018" w:history="1">
        <w:r>
          <w:rPr>
            <w:color w:val="1F3864"/>
            <w:u w:val="single"/>
          </w:rPr>
          <w:t xml:space="preserve">Goldfarb and Trefler (2018)</w:t>
        </w:r>
      </w:hyperlink>
      <w:bookmarkEnd w:id="207"/>
      <w:r>
        <w:t xml:space="preserve"> argue that AI shifts comparative advantage toward countries with data, human capital, and institutional capacity. The model introduces a complementary channel: comparative advantage in compute </w:t>
      </w:r>
      <w:r>
        <w:rPr>
          <w:i/>
        </w:rPr>
        <w:t>production</w:t>
      </w:r>
      <w:r>
        <w:t xml:space="preserve"> depends on electricity costs and climate, so resource-rich countries could become compute exporters without domestic AI research industries. </w:t>
      </w:r>
      <w:bookmarkStart w:id="231" w:name="Korinek2021txt"/>
      <w:hyperlink w:anchor="Korinek2021" w:history="1">
        <w:r>
          <w:rPr>
            <w:color w:val="1F3864"/>
            <w:u w:val="single"/>
          </w:rPr>
          <w:t xml:space="preserve">Korinek and Stiglitz (2021)</w:t>
        </w:r>
      </w:hyperlink>
      <w:bookmarkEnd w:id="231"/>
      <w:r>
        <w:t xml:space="preserve"> raise the possibility that developing countries could be left behind in the AI revolution; FLOP exporting offers a route by which energy-rich developing countries could participate. The concept of FLOP exporting as value chain upgrading connects to </w:t>
      </w:r>
      <w:bookmarkStart w:id="208" w:name="Hausmann2007txt"/>
      <w:hyperlink w:anchor="Hausmann2007" w:history="1">
        <w:r>
          <w:rPr>
            <w:color w:val="1F3864"/>
            <w:u w:val="single"/>
          </w:rPr>
          <w:t xml:space="preserve">Hausmann, Hwang, and Rodrik (2007)</w:t>
        </w:r>
      </w:hyperlink>
      <w:bookmarkEnd w:id="208"/>
      <w:r>
        <w:t xml:space="preserve">, who show that what a country exports matters for growth. </w:t>
      </w:r>
      <w:bookmarkStart w:id="232" w:name="Limao2001txt"/>
      <w:hyperlink w:anchor="Limao2001" w:history="1">
        <w:r>
          <w:rPr>
            <w:color w:val="1F3864"/>
            <w:u w:val="single"/>
          </w:rPr>
          <w:t xml:space="preserve">Limão and Venables (2001)</w:t>
        </w:r>
      </w:hyperlink>
      <w:bookmarkEnd w:id="232"/>
      <w:r>
        <w:t xml:space="preserve"> demonstrate that infrastructure quality determines trade costs. In the model, network infrastructure plays the analogous role for digital trade.</w:t>
      </w:r>
    </w:p>
    <w:p>
      <w:pPr>
        <w:spacing w:before="0" w:after="160"/>
        <w:ind w:firstLine="0"/>
        <w:jc w:val="both"/>
      </w:pPr>
      <w:r>
        <w:t xml:space="preserve">A growing literature examines the determinants of data center location. </w:t>
      </w:r>
      <w:bookmarkStart w:id="209" w:name="Flucker2013txt"/>
      <w:hyperlink w:anchor="Flucker2013" w:history="1">
        <w:r>
          <w:rPr>
            <w:color w:val="1F3864"/>
            <w:u w:val="single"/>
          </w:rPr>
          <w:t xml:space="preserve">Flucker, Tozer, and Whitehead (2013)</w:t>
        </w:r>
      </w:hyperlink>
      <w:bookmarkEnd w:id="209"/>
      <w:r>
        <w:t xml:space="preserve"> show that climate affects data center cooling costs. </w:t>
      </w:r>
      <w:bookmarkStart w:id="233" w:name="Oltmanns2021txt"/>
      <w:hyperlink w:anchor="Oltmanns2021" w:history="1">
        <w:r>
          <w:rPr>
            <w:color w:val="1F3864"/>
            <w:u w:val="single"/>
          </w:rPr>
          <w:t xml:space="preserve">Oltmanns, Krcmarik, and Gatti (2021)</w:t>
        </w:r>
      </w:hyperlink>
      <w:bookmarkEnd w:id="233"/>
      <w:r>
        <w:t xml:space="preserve"> model data center siting as a function of electricity prices, climate, connectivity, and political stability. </w:t>
      </w:r>
      <w:bookmarkStart w:id="241" w:name="Liu2023txt"/>
      <w:hyperlink w:anchor="Liu2023" w:history="1">
        <w:r>
          <w:rPr>
            <w:color w:val="1F3864"/>
            <w:u w:val="single"/>
          </w:rPr>
          <w:t xml:space="preserve">Liu et al. (2023)</w:t>
        </w:r>
      </w:hyperlink>
      <w:bookmarkEnd w:id="241"/>
      <w:r>
        <w:t xml:space="preserve"> study data center placement under renewable energy constraints. These studies focus on where firms should build data centers; this paper’s contribution is to embed this location decision in a trade framework that endogenizes the sourcing of compute across countries.</w:t>
      </w:r>
    </w:p>
    <w:p>
      <w:pPr>
        <w:spacing w:before="0" w:after="160"/>
        <w:ind w:firstLine="0"/>
        <w:jc w:val="both"/>
      </w:pPr>
      <w:r>
        <w:t xml:space="preserve">Several recent papers address compute governance. </w:t>
      </w:r>
      <w:bookmarkStart w:id="234" w:name="Sastry2024txt"/>
      <w:hyperlink w:anchor="Sastry2024" w:history="1">
        <w:r>
          <w:rPr>
            <w:color w:val="1F3864"/>
            <w:u w:val="single"/>
          </w:rPr>
          <w:t xml:space="preserve">Sastry, Heim, et al. (2024)</w:t>
        </w:r>
      </w:hyperlink>
      <w:bookmarkEnd w:id="234"/>
      <w:r>
        <w:t xml:space="preserve"> argue that compute is well-suited as a regulatory lever because it is detectable, excludable, and quantifiable, and because the chip supply chain is concentrated in a handful of firms. </w:t>
      </w:r>
      <w:bookmarkStart w:id="210" w:name="Lehdonvirta2024txt"/>
      <w:hyperlink w:anchor="Lehdonvirta2024" w:history="1">
        <w:r>
          <w:rPr>
            <w:color w:val="1F3864"/>
            <w:u w:val="single"/>
          </w:rPr>
          <w:t xml:space="preserve">Lehdonvirta, Wu, and Hawkins (2024)</w:t>
        </w:r>
      </w:hyperlink>
      <w:bookmarkEnd w:id="210"/>
      <w:r>
        <w:t xml:space="preserve"> map the global geography of cloud GPU infrastructure and find that training-capable hardware sits in roughly 30 countries (their “Compute North”), while a “Compute South” is limited to inference-grade chips, a geographic split that mirrors the model’s training/inference exporter distinction. </w:t>
      </w:r>
      <w:bookmarkStart w:id="235" w:name="Pilz2025txt"/>
      <w:hyperlink w:anchor="Pilz2025" w:history="1">
        <w:r>
          <w:rPr>
            <w:color w:val="1F3864"/>
            <w:u w:val="single"/>
          </w:rPr>
          <w:t xml:space="preserve">Pilz, Mahmood, and Heim (2025)</w:t>
        </w:r>
      </w:hyperlink>
      <w:bookmarkEnd w:id="235"/>
      <w:r>
        <w:t xml:space="preserve"> project that AI data center power demand could reach 327 GW by 2030 and that domestic power shortages may push compute infrastructure abroad. These papers describe where compute is and who controls it. This paper adds the economics of why it locates where it does and how trade in compute responds to costs and policy.</w:t>
      </w:r>
    </w:p>
    <w:p>
      <w:pPr>
        <w:pStyle w:val="Heading1"/>
      </w:pPr>
      <w:r>
        <w:rPr>
          <w:rFonts w:ascii="Times New Roman" w:hAnsi="Times New Roman"/>
          <w:color w:val="2F5496"/>
        </w:rPr>
        <w:t>3. Model Setup</w:t>
      </w:r>
    </w:p>
    <w:p>
      <w:pPr>
        <w:pStyle w:val="Heading2"/>
      </w:pPr>
      <w:r>
        <w:rPr>
          <w:rFonts w:ascii="Times New Roman" w:hAnsi="Times New Roman"/>
          <w:i/>
          <w:color w:val="2F5496"/>
        </w:rPr>
        <w:t>3.1 Production Technology</w:t>
      </w:r>
    </w:p>
    <w:p>
      <w:pPr>
        <w:spacing w:before="0" w:after="160"/>
        <w:ind w:firstLine="0"/>
        <w:jc w:val="both"/>
      </w:pPr>
      <w:r>
        <w:t xml:space="preserve">A floating-point operation (FLOP) is a single arithmetic computation. Computing power is measured in petaFLOP/s (10¹⁵ FLOPs per second); a current-generation NVIDIA H100 GPU delivers approximately 1 petaFLOP/s at 16-bit precision. The production of compute at scale takes place in data centers that house thousands of GPU-equipped servers. Consider </w:t>
      </w:r>
      <m:oMath>
        <m:r>
          <m:rPr>
            <m:sty m:val="i"/>
          </m:rPr>
          <w:rPr>
            <w:rFonts w:ascii="Cambria Math" w:hAnsi="Cambria Math"/>
          </w:rPr>
          <m:t xml:space="preserve">N</m:t>
        </m:r>
      </m:oMath>
      <w:r>
        <w:t xml:space="preserve"> countries, each capable of producing compute services. The unit cost of producing one GPU-hour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The key cost driver is energy intensity, the electrical power a GPU draws during operation. Energy intensity is denoted by </w:t>
      </w:r>
      <m:oMath>
        <m:r>
          <m:rPr>
            <m:sty m:val="i"/>
          </m:rPr>
          <w:rPr>
            <w:rFonts w:ascii="Cambria Math" w:hAnsi="Cambria Math"/>
          </w:rPr>
          <m:t xml:space="preserve">γ</m:t>
        </m:r>
      </m:oMath>
      <w:r>
        <w:t xml:space="preserve">, measured in kilowatts (kW). The actual electricity consumed depends also on the </w:t>
      </w:r>
      <w:r>
        <w:rPr>
          <w:i/>
        </w:rPr>
        <w:t>power usage effectiveness</w:t>
      </w:r>
      <w:r>
        <w:t xml:space="preserve"> PUE(</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where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the peak summer temperature (°C) in country </w:t>
      </w:r>
      <m:oMath>
        <m:r>
          <m:rPr>
            <m:sty m:val="i"/>
          </m:rPr>
          <w:rPr>
            <w:rFonts w:ascii="Cambria Math" w:hAnsi="Cambria Math"/>
          </w:rPr>
          <m:t xml:space="preserve">j</m:t>
        </m:r>
      </m:oMath>
      <w:r>
        <w:t xml:space="preserve">. PUE is the dimensionless ratio of total facility energy to IT equipment energy; it ranges from 1.08 in cold climates to over 1.4 in hot ones (</w:t>
      </w:r>
      <w:bookmarkStart w:id="211" w:name="Flucker2013txt"/>
      <w:hyperlink w:anchor="Flucker2013" w:history="1">
        <w:r>
          <w:rPr>
            <w:color w:val="1F3864"/>
            <w:u w:val="single"/>
          </w:rPr>
          <w:t xml:space="preserve">Flucker, Tozer, and Whitehead 2013</w:t>
        </w:r>
      </w:hyperlink>
      <w:bookmarkEnd w:id="211"/>
      <w:r>
        <w:t xml:space="preserve">).</w:t>
      </w:r>
      <w:r>
        <w:rPr>
          <w:rStyle w:val="FootnoteReference"/>
        </w:rPr>
        <w:footnoteReference w:id="7"/>
      </w:r>
      <w:r>
        <w:t xml:space="preserve"> PUE is modeled as: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w:p>
        </w:tc>
        <w:tc>
          <w:tcPr>
            <w:tcW w:w="1400" w:type="dxa"/>
            <w:vAlign w:val="center"/>
          </w:tcPr>
          <w:p>
            <w:pPr>
              <w:jc w:val="right"/>
              <w:spacing w:before="60" w:after="60"/>
            </w:pPr>
            <w:r>
              <w:t>(1)</w:t>
            </w:r>
          </w:p>
        </w:tc>
      </w:tr>
    </w:tbl>
    <w:p>
      <w:pPr>
        <w:spacing w:before="0" w:after="160"/>
        <w:ind w:firstLine="0"/>
        <w:jc w:val="both"/>
      </w:pPr>
      <w:r>
        <w:t xml:space="preserve">where </w:t>
      </w:r>
      <m:oMath>
        <m:r>
          <m:rPr>
            <m:sty m:val="i"/>
          </m:rPr>
          <w:rPr>
            <w:rFonts w:ascii="Cambria Math" w:hAnsi="Cambria Math"/>
          </w:rPr>
          <m:t xml:space="preserve">φ</m:t>
        </m:r>
      </m:oMath>
      <w:r>
        <w:t xml:space="preserve"> is the baseline PUE in cold climates, </w:t>
      </w:r>
      <m:oMath>
        <m:r>
          <m:rPr>
            <m:sty m:val="i"/>
          </m:rPr>
          <w:rPr>
            <w:rFonts w:ascii="Cambria Math" w:hAnsi="Cambria Math"/>
          </w:rPr>
          <m:t xml:space="preserve">δ</m:t>
        </m:r>
      </m:oMath>
      <w:r>
        <w:t xml:space="preserve"> is the PUE sensitivity per °C above the reference, and </w:t>
      </w:r>
      <m:oMath>
        <m:bar>
          <m:barPr>
            <m:pos m:val="top"/>
          </m:barPr>
          <m:e>
            <m:r>
              <m:rPr>
                <m:sty m:val="i"/>
              </m:rPr>
              <w:rPr>
                <w:rFonts w:ascii="Cambria Math" w:hAnsi="Cambria Math"/>
              </w:rPr>
              <m:t xml:space="preserve">θ</m:t>
            </m:r>
          </m:e>
        </m:bar>
      </m:oMath>
      <w:r>
        <w:t xml:space="preserve"> is the reference temperature. These parameters are calibrated in Section 7.</w:t>
      </w:r>
      <w:r>
        <w:rPr>
          <w:rStyle w:val="FootnoteReference"/>
        </w:rPr>
        <w:footnoteReference w:id="8"/>
      </w:r>
    </w:p>
    <w:p>
      <w:pPr>
        <w:spacing w:before="0" w:after="160"/>
        <w:ind w:firstLine="0"/>
        <w:jc w:val="both"/>
      </w:pPr>
      <w:r>
        <w:t xml:space="preserve">Hardware costs are captured by </w:t>
      </w:r>
      <m:oMath>
        <m:r>
          <m:rPr>
            <m:sty m:val="i"/>
          </m:rPr>
          <w:rPr>
            <w:rFonts w:ascii="Cambria Math" w:hAnsi="Cambria Math"/>
          </w:rPr>
          <m:t xml:space="preserve">ρ</m:t>
        </m:r>
      </m:oMath>
      <w:r>
        <w:t xml:space="preserve">, the amortized cost of one GPU-hour: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rPr>
          <w:rStyle w:val="FootnoteReference"/>
        </w:rPr>
        <w:footnoteReference w:id="6"/>
      </w:r>
      <w:r>
        <w:t xml:space="preserve">, where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is the purchase price, </w:t>
      </w:r>
      <m:oMath>
        <m:r>
          <m:rPr>
            <m:sty m:val="i"/>
          </m:rPr>
          <w:rPr>
            <w:rFonts w:ascii="Cambria Math" w:hAnsi="Cambria Math"/>
          </w:rPr>
          <m:t xml:space="preserve">L</m:t>
        </m:r>
      </m:oMath>
      <w:r>
        <w:t xml:space="preserve"> the lifetime in years, </w:t>
      </w:r>
      <m:oMath>
        <m:r>
          <m:rPr>
            <m:sty m:val="i"/>
          </m:rPr>
          <w:rPr>
            <w:rFonts w:ascii="Cambria Math" w:hAnsi="Cambria Math"/>
          </w:rPr>
          <m:t xml:space="preserve">H</m:t>
        </m:r>
      </m:oMath>
      <w:r>
        <w:t xml:space="preserve"> = 8,766 hours per year, and </w:t>
      </w:r>
      <m:oMath>
        <m:r>
          <m:rPr>
            <m:sty m:val="i"/>
          </m:rPr>
          <w:rPr>
            <w:rFonts w:ascii="Cambria Math" w:hAnsi="Cambria Math"/>
          </w:rPr>
          <m:t xml:space="preserve">β</m:t>
        </m:r>
      </m:oMath>
      <w:r>
        <w:t xml:space="preserve"> the utilization rate. Construction costs enter through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the cost of building one kilowatt of data center IT capacity in country </w:t>
      </w:r>
      <m:oMath>
        <m:r>
          <m:rPr>
            <m:sty m:val="i"/>
          </m:rPr>
          <w:rPr>
            <w:rFonts w:ascii="Cambria Math" w:hAnsi="Cambria Math"/>
          </w:rPr>
          <m:t xml:space="preserve">j</m:t>
        </m:r>
      </m:oMath>
      <w:r>
        <w:t xml:space="preserve"> ($/kW), amortized over the facility lifetime </w:t>
      </w:r>
      <m:oMath>
        <m:r>
          <m:rPr>
            <m:sty m:val="i"/>
          </m:rPr>
          <w:rPr>
            <w:rFonts w:ascii="Cambria Math" w:hAnsi="Cambria Math"/>
          </w:rPr>
          <m:t xml:space="preserve">D</m:t>
        </m:r>
      </m:oMath>
      <w:r>
        <w:t>.</w:t>
      </w:r>
    </w:p>
    <w:p>
      <w:pPr>
        <w:spacing w:before="0" w:after="40"/>
        <w:ind w:firstLine="0"/>
        <w:jc w:val="both"/>
      </w:pPr>
      <w:r>
        <w:t xml:space="preserve">The total cost per GPU-hour in country </w:t>
      </w:r>
      <m:oMath>
        <m:r>
          <m:rPr>
            <m:sty m:val="i"/>
          </m:rPr>
          <w:rPr>
            <w:rFonts w:ascii="Cambria Math" w:hAnsi="Cambria Math"/>
          </w:rPr>
          <m:t xml:space="preserve">j</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r>
              <w:t>(2)</w:t>
            </w:r>
          </w:p>
        </w:tc>
      </w:tr>
    </w:tbl>
    <w:p>
      <w:pPr>
        <w:spacing w:before="0" w:after="160"/>
        <w:ind w:firstLine="0"/>
        <w:jc w:val="both"/>
      </w:pPr>
      <w:r>
        <w:t xml:space="preserve">The first term is the electricity cost: the PUE-adjusted power draw times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($/kWh). The second term is amortized hardware. The third is amortized construction. Since GPU prices, lifetimes, and utilization rates are set by global markets and engineering constraints, </w:t>
      </w:r>
      <m:oMath>
        <m:r>
          <m:rPr>
            <m:sty m:val="i"/>
          </m:rPr>
          <w:rPr>
            <w:rFonts w:ascii="Cambria Math" w:hAnsi="Cambria Math"/>
          </w:rPr>
          <m:t xml:space="preserve">ρ</m:t>
        </m:r>
      </m:oMath>
      <w:r>
        <w:t xml:space="preserve"> and its components (</w:t>
      </w:r>
      <m:oMath>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m:t>
        </m:r>
        <m:r>
          <m:rPr>
            <m:sty m:val="i"/>
          </m:rPr>
          <w:rPr>
            <w:rFonts w:ascii="Cambria Math" w:hAnsi="Cambria Math"/>
          </w:rPr>
          <m:t xml:space="preserve">L</m:t>
        </m:r>
        <m:r>
          <m:rPr>
            <m:sty m:val="p"/>
          </m:rPr>
          <w:rPr>
            <w:rFonts w:ascii="Cambria Math" w:hAnsi="Cambria Math"/>
          </w:rPr>
          <m:t xml:space="preserve">, </m:t>
        </m:r>
        <m:r>
          <m:rPr>
            <m:sty m:val="i"/>
          </m:rPr>
          <w:rPr>
            <w:rFonts w:ascii="Cambria Math" w:hAnsi="Cambria Math"/>
          </w:rPr>
          <m:t xml:space="preserve">β</m:t>
        </m:r>
      </m:oMath>
      <w:r>
        <w:t xml:space="preserve">) are common across countries. The main exception is countries subject to U.S. export controls on advanced GPUs (e.g., China, Russia, Iran), where grey-market procurement raises the effective </w:t>
      </w:r>
      <m:oMath>
        <m:r>
          <m:rPr>
            <m:sty m:val="i"/>
          </m:rPr>
          <w:rPr>
            <w:rFonts w:ascii="Cambria Math" w:hAnsi="Cambria Math"/>
          </w:rPr>
          <m:t xml:space="preserve">ρ</m:t>
        </m:r>
      </m:oMath>
      <w:r>
        <w:t xml:space="preserve">; this is discussed in Section 7.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primarily by electricity prices, climate (through PUE), and construction costs.</w:t>
      </w:r>
      <w:r>
        <w:rPr>
          <w:rStyle w:val="FootnoteReference"/>
        </w:rPr>
        <w:footnoteReference w:id="9"/>
      </w:r>
    </w:p>
    <w:p>
      <w:pPr>
        <w:pStyle w:val="Heading2"/>
      </w:pPr>
      <w:r>
        <w:rPr>
          <w:rFonts w:ascii="Times New Roman" w:hAnsi="Times New Roman"/>
          <w:i/>
          <w:color w:val="2F5496"/>
        </w:rPr>
        <w:t>3.2 Trade Costs</w:t>
      </w:r>
    </w:p>
    <w:p>
      <w:pPr>
        <w:spacing w:before="0" w:after="160"/>
        <w:ind w:firstLine="0"/>
        <w:jc w:val="both"/>
      </w:pPr>
      <w:r>
        <w:t xml:space="preserve">Following the trade-in-tasks framework of </w:t>
      </w:r>
      <w:bookmarkStart w:id="212" w:name="Grossman2008txt"/>
      <w:hyperlink w:anchor="Grossman2008" w:history="1">
        <w:r>
          <w:rPr>
            <w:color w:val="1F3864"/>
            <w:u w:val="single"/>
          </w:rPr>
          <w:t xml:space="preserve">Grossman and Rossi-Hansberg (2008)</w:t>
        </w:r>
      </w:hyperlink>
      <w:bookmarkEnd w:id="212"/>
      <w:r>
        <w:t xml:space="preserve">, countries produce and trade two types of compute services that differ in their offshoring costs. </w:t>
      </w:r>
      <w:r>
        <w:rPr>
          <w:i/>
        </w:rPr>
        <w:t>Training services</w:t>
      </w:r>
      <w:r>
        <w:t xml:space="preserve"> encompass batch workloads: model training, fine-tuning, and large-scale data processing. A frontier model training run typically takes weeks to months on thousands of GPUs. The client ships its data to a data center; the computation executes locally, and the output is returned. Since neither input nor output is time-sensitive, network latency plays no role. </w:t>
      </w:r>
      <w:r>
        <w:rPr>
          <w:i/>
        </w:rPr>
        <w:t>Inference services</w:t>
      </w:r>
      <w:r>
        <w:t xml:space="preserve"> encompass real-time workloads: chatbot responses, autonomous decisions, and interactive agents. Each query must travel to the server and back within milliseconds, so the service degrades with delivery delay.</w:t>
      </w:r>
    </w:p>
    <w:p>
      <w:pPr>
        <w:spacing w:before="0" w:after="160"/>
        <w:ind w:firstLine="0"/>
        <w:jc w:val="both"/>
      </w:pP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server country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and back, measured in milliseconds (ms). Within a country, latency is typically 5–10 ms; across continents, it can exceed 150 ms. For training, the workload ships to the producer, so effective latency is zero.</w:t>
      </w:r>
    </w:p>
    <w:p>
      <w:pPr>
        <w:spacing w:before="0" w:after="160"/>
        <w:ind w:firstLine="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producer,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producer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p>
        </w:tc>
        <w:tc>
          <w:tcPr>
            <w:tcW w:w="1400" w:type="dxa"/>
            <w:vAlign w:val="center"/>
          </w:tcPr>
          <w:p>
            <w:pPr>
              <w:jc w:val="right"/>
              <w:spacing w:before="60" w:after="60"/>
            </w:pPr>
            <w:r>
              <w:t>(3)</w:t>
            </w:r>
          </w:p>
        </w:tc>
      </w:tr>
    </w:tbl>
    <w:p>
      <w:pPr>
        <w:spacing w:before="0" w:after="160"/>
        <w:ind w:firstLine="0"/>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(foreign sourcing)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(domestic);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has zero effective latency)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degrades with latency). The parameter </w:t>
      </w:r>
      <m:oMath>
        <m:r>
          <m:rPr>
            <m:sty m:val="i"/>
          </m:rPr>
          <w:rPr>
            <w:rFonts w:ascii="Cambria Math" w:hAnsi="Cambria Math"/>
          </w:rPr>
          <m:t xml:space="preserve">τ</m:t>
        </m:r>
      </m:oMath>
      <w:r>
        <w:t xml:space="preserve"> measures the rate of quality degradation per millisecond of round-trip latency. This iceberg formulation parallels </w:t>
      </w:r>
      <w:bookmarkStart w:id="213" w:name="Hummels2013txt"/>
      <w:hyperlink w:anchor="Hummels2013" w:history="1">
        <w:r>
          <w:rPr>
            <w:color w:val="1F3864"/>
            <w:u w:val="single"/>
          </w:rPr>
          <w:t xml:space="preserve">Hummels and Schaur (2013)</w:t>
        </w:r>
      </w:hyperlink>
      <w:bookmarkEnd w:id="213"/>
      <w:r>
        <w:t xml:space="preserve">, who estimate that each day of shipping time is equivalent to a tariff; here, milliseconds replace days and network latency replaces shipping time.</w:t>
      </w:r>
    </w:p>
    <w:p>
      <w:pPr>
        <w:spacing w:before="0" w:after="160"/>
        <w:ind w:firstLine="0"/>
        <w:jc w:val="both"/>
      </w:pPr>
      <w:r>
        <w:t xml:space="preserve">For training, equation (3) simplifies to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the delivered cost depends only on the production cost and whether the source is foreign. For inference, the full equation applies. In practice, inference also faces a hard latency ceiling: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This is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 Training concentrates at the globally cheapest FLOP source regardless of distance, while inference disperses toward demand centers bounded by latency.</w:t>
      </w:r>
    </w:p>
    <w:p>
      <w:pPr>
        <w:pStyle w:val="Heading1"/>
      </w:pPr>
      <w:r>
        <w:rPr>
          <w:rFonts w:ascii="Times New Roman" w:hAnsi="Times New Roman"/>
          <w:color w:val="2F5496"/>
        </w:rPr>
        <w:t>4. Comparative Advantage Results</w:t>
      </w:r>
    </w:p>
    <w:p>
      <w:pPr>
        <w:spacing w:before="0" w:after="160"/>
        <w:ind w:firstLine="0"/>
        <w:jc w:val="both"/>
      </w:pPr>
      <w:r>
        <w:t xml:space="preserve">This section characterizes the optimal sourcing decision for a country that consumes compute services. The analysis is structured around two types of countries: </w:t>
      </w:r>
      <w:r>
        <w:rPr>
          <w:i/>
        </w:rPr>
        <w:t>importers</w:t>
      </w:r>
      <w:r>
        <w:t xml:space="preserve"> (countries that purchase FLOPs from abroad) and </w:t>
      </w:r>
      <w:r>
        <w:rPr>
          <w:i/>
        </w:rPr>
        <w:t>exporters</w:t>
      </w:r>
      <w:r>
        <w:t xml:space="preserve"> (countries that produce FLOPs for foreign consumption).</w:t>
      </w:r>
    </w:p>
    <w:p>
      <w:pPr>
        <w:spacing w:before="0" w:after="40"/>
        <w:ind w:firstLine="0"/>
        <w:jc w:val="both"/>
      </w:pPr>
      <w:r>
        <w:t xml:space="preserve">The buyer’s optimal sourcing rule follows directly from the cost structure. 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demand country </w:t>
      </w:r>
      <m:oMath>
        <m:r>
          <m:rPr>
            <m:sty m:val="i"/>
          </m:rPr>
          <w:rPr>
            <w:rFonts w:ascii="Cambria Math" w:hAnsi="Cambria Math"/>
          </w:rPr>
          <m:t xml:space="preserve">k</m:t>
        </m:r>
      </m:oMath>
      <w:r>
        <w:t xml:space="preserve"> chooses the source </w:t>
      </w: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oMath>
      <w:r>
        <w:t xml:space="preserv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r>
              <w:t>(4)</w:t>
            </w:r>
          </w:p>
        </w:tc>
      </w:tr>
    </w:tbl>
    <w:p>
      <w:pPr>
        <w:spacing w:before="0" w:after="160"/>
        <w:ind w:firstLine="0"/>
        <w:jc w:val="both"/>
      </w:pPr>
      <w:r>
        <w:rPr>
          <w:rFonts w:ascii="Times New Roman" w:hAnsi="Times New Roman"/>
          <w:b w:val="0"/>
          <w:i/>
          <w:sz w:val="24"/>
        </w:rPr>
        <w:t xml:space="preserve">Training.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buyer’s problem reduces to </w:t>
      </w:r>
      <m:oMath>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r>
        <w:t xml:space="preserve"> = </w:t>
      </w:r>
      <m:oMath>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Country </w:t>
      </w:r>
      <m:oMath>
        <m:r>
          <m:rPr>
            <m:sty m:val="i"/>
          </m:rPr>
          <w:rPr>
            <w:rFonts w:ascii="Cambria Math" w:hAnsi="Cambria Math"/>
          </w:rPr>
          <m:t xml:space="preserve">k</m:t>
        </m:r>
      </m:oMath>
      <w:r>
        <w:t xml:space="preserve"> sources training domestically if and only if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j≠k</m:t>
            </m:r>
          </m:sub>
        </m:sSub>
        <m:r>
          <m:rPr>
            <m:sty m:val="p"/>
          </m:rPr>
          <w:rPr>
            <w:rFonts w:ascii="Cambria Math" w:hAnsi="Cambria Math"/>
          </w:rPr>
          <m:t xml:space="preserve">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Without the sovereignty premium, all countries import training from the single cheapest global producer. With a positive </w:t>
      </w:r>
      <m:oMath>
        <m:r>
          <m:rPr>
            <m:sty m:val="i"/>
          </m:rPr>
          <w:rPr>
            <w:rFonts w:ascii="Cambria Math" w:hAnsi="Cambria Math"/>
          </w:rPr>
          <m:t xml:space="preserve">λ</m:t>
        </m:r>
      </m:oMath>
      <w:r>
        <w:t>, countries whose domestic cost falls within the sovereignty band produce domestically.</w:t>
      </w:r>
    </w:p>
    <w:p>
      <w:pPr>
        <w:spacing w:before="0" w:after="160"/>
        <w:ind w:firstLine="0"/>
        <w:jc w:val="both"/>
      </w:pPr>
      <w:r>
        <w:t xml:space="preserve">This condition yields a country-specific switching threshold. Country </w:t>
      </w:r>
      <m:oMath>
        <m:r>
          <m:rPr>
            <m:sty m:val="i"/>
          </m:rPr>
          <w:rPr>
            <w:rFonts w:ascii="Cambria Math" w:hAnsi="Cambria Math"/>
          </w:rPr>
          <m:t xml:space="preserve">k</m:t>
        </m:r>
      </m:oMath>
      <w:r>
        <w:t xml:space="preserve"> sources training domestically if and only if </w:t>
      </w:r>
      <m:oMath>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where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f>
          <m:fPr/>
          <m:num>
            <m:sSub>
              <m:sSubPr/>
              <m:e>
                <m:r>
                  <m:rPr>
                    <m:sty m:val="i"/>
                  </m:rPr>
                  <w:rPr>
                    <w:rFonts w:ascii="Cambria Math" w:hAnsi="Cambria Math"/>
                  </w:rPr>
                  <m:t xml:space="preserve">c</m:t>
                </m:r>
              </m:e>
              <m:sub>
                <m:r>
                  <m:rPr>
                    <m:sty m:val="i"/>
                  </m:rPr>
                  <w:rPr>
                    <w:rFonts w:ascii="Cambria Math" w:hAnsi="Cambria Math"/>
                  </w:rPr>
                  <m:t xml:space="preserve">k</m:t>
                </m:r>
              </m:sub>
            </m:sSub>
          </m:num>
          <m:den>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j≠k</m:t>
                </m:r>
              </m:sub>
            </m:sSub>
            <m:r>
              <m:rPr>
                <m:sty m:val="p"/>
              </m:rPr>
              <w:rPr>
                <w:rFonts w:ascii="Cambria Math" w:hAnsi="Cambria Math"/>
              </w:rPr>
              <m:t xml:space="preserve"> </m:t>
            </m:r>
            <m:sSub>
              <m:sSubPr/>
              <m:e>
                <m:r>
                  <m:rPr>
                    <m:sty m:val="i"/>
                  </m:rPr>
                  <w:rPr>
                    <w:rFonts w:ascii="Cambria Math" w:hAnsi="Cambria Math"/>
                  </w:rPr>
                  <m:t xml:space="preserve">c</m:t>
                </m:r>
              </m:e>
              <m:sub>
                <m:r>
                  <m:rPr>
                    <m:sty m:val="i"/>
                  </m:rPr>
                  <w:rPr>
                    <w:rFonts w:ascii="Cambria Math" w:hAnsi="Cambria Math"/>
                  </w:rPr>
                  <m:t xml:space="preserve">j</m:t>
                </m:r>
              </m:sub>
            </m:sSub>
          </m:den>
        </m:f>
        <m:r>
          <m:rPr>
            <m:sty m:val="p"/>
          </m:rPr>
          <w:rPr>
            <w:rFonts w:ascii="Cambria Math" w:hAnsi="Cambria Math"/>
          </w:rPr>
          <m:t xml:space="preserve"> − 1</m:t>
        </m:r>
      </m:oMath>
      <w:r>
        <w:t>.</w:t>
      </w:r>
    </w:p>
    <w:p>
      <w:pPr>
        <w:spacing w:before="0" w:after="160"/>
        <w:ind w:firstLine="0"/>
        <w:jc w:val="both"/>
      </w:pPr>
      <w:r>
        <w:rPr>
          <w:rFonts w:ascii="Times New Roman" w:hAnsi="Times New Roman"/>
          <w:b w:val="0"/>
          <w:i/>
          <w:sz w:val="24"/>
        </w:rPr>
        <w:t xml:space="preserve">Inference.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the buyer weighs both cost and latency: </w:t>
      </w:r>
      <m:oMath>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r>
        <w:t xml:space="preserve">. A country with low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but high latency to demand center </w:t>
      </w:r>
      <m:oMath>
        <m:r>
          <m:rPr>
            <m:sty m:val="i"/>
          </m:rPr>
          <w:rPr>
            <w:rFonts w:ascii="Cambria Math" w:hAnsi="Cambria Math"/>
          </w:rPr>
          <m:t xml:space="preserve">k</m:t>
        </m:r>
      </m:oMath>
      <w:r>
        <w:t xml:space="preserve"> may be uncompetitive for inference even if it dominates in training. This creates regional inference hubs: countries that combine moderate costs with geographic proximity to major markets.</w:t>
      </w:r>
    </w:p>
    <w:p>
      <w:pPr>
        <w:spacing w:before="0" w:after="160"/>
        <w:ind w:firstLine="0"/>
        <w:jc w:val="both"/>
      </w:pPr>
      <w:r>
        <w:rPr>
          <w:b/>
        </w:rPr>
        <w:t xml:space="preserve">Country Taxonomy. </w:t>
      </w:r>
      <w:r>
        <w:t>The model generates a natural classification of countries based on their cost position and geographic proximity to demand centers:</w:t>
      </w:r>
    </w:p>
    <w:p>
      <w:pPr>
        <w:spacing w:before="0" w:after="160"/>
        <w:ind w:firstLine="0"/>
        <w:jc w:val="both"/>
      </w:pPr>
      <w:r>
        <w:t xml:space="preserve">Equation (3) generates four possible sourcing regimes for each buyer </w:t>
      </w:r>
      <m:oMath>
        <m:r>
          <m:rPr>
            <m:sty m:val="i"/>
          </m:rPr>
          <w:rPr>
            <w:rFonts w:ascii="Cambria Math" w:hAnsi="Cambria Math"/>
          </w:rPr>
          <m:t xml:space="preserve">k</m:t>
        </m:r>
      </m:oMath>
      <w:r>
        <w:t>, depending on whether training and inference are sourced domestically or imported:</w:t>
      </w:r>
    </w:p>
    <w:p>
      <w:pPr>
        <w:spacing w:before="0" w:after="160"/>
        <w:ind w:firstLine="0"/>
        <w:jc w:val="both"/>
      </w:pPr>
      <w:r>
        <w:rPr>
          <w:i/>
        </w:rPr>
        <w:t xml:space="preserve">(i) Full import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 xml:space="preserve">Countries with high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that import both training and inference from abroad. These countries have no cost advantage and rely entirely on foreign compute. Examples: Ireland, Croatia, Greenland.</w:t>
      </w:r>
    </w:p>
    <w:p>
      <w:pPr>
        <w:spacing w:before="0" w:after="160"/>
        <w:ind w:firstLine="0"/>
        <w:jc w:val="both"/>
      </w:pPr>
      <w:r>
        <w:rPr>
          <w:i/>
        </w:rPr>
        <w:t xml:space="preserve">(ii) Import training, domestic inference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The most common pure-cost regime: the country cannot compete on global training costs but its domestic latency advantage makes local inference cheaper than importing. Examples: Norway, Canada, Brazil, Australia.</w:t>
      </w:r>
    </w:p>
    <w:p>
      <w:pPr>
        <w:spacing w:before="0" w:after="160"/>
        <w:ind w:firstLine="0"/>
        <w:jc w:val="both"/>
      </w:pPr>
      <w:r>
        <w:rPr>
          <w:i/>
        </w:rPr>
        <w:t xml:space="preserve">(iii) Full domestic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 xml:space="preserve">Under pure cost minimization, only the globally cheapest producer (Iran) falls in this category. With a sovereignty premium </w:t>
      </w:r>
      <m:oMath>
        <m:r>
          <m:rPr>
            <m:sty m:val="i"/>
          </m:rPr>
          <w:rPr>
            <w:rFonts w:ascii="Cambria Math" w:hAnsi="Cambria Math"/>
          </w:rPr>
          <m:t xml:space="preserve">λ</m:t>
        </m:r>
        <m:r>
          <m:rPr>
            <m:sty m:val="p"/>
          </m:rPr>
          <w:rPr>
            <w:rFonts w:ascii="Cambria Math" w:hAnsi="Cambria Math"/>
          </w:rPr>
          <m:t xml:space="preserve"> &gt; 0</m:t>
        </m:r>
      </m:oMath>
      <w:r>
        <w:t xml:space="preserve">, this becomes the dominant regime: countries with high production costs still produce domestically because the sovereignty markup makes imports more expensive. For instance, with </w:t>
      </w:r>
      <m:oMath>
        <m:r>
          <m:rPr>
            <m:sty m:val="i"/>
          </m:rPr>
          <w:rPr>
            <w:rFonts w:ascii="Cambria Math" w:hAnsi="Cambria Math"/>
          </w:rPr>
          <m:t xml:space="preserve">λ</m:t>
        </m:r>
        <m:r>
          <m:rPr>
            <m:sty m:val="p"/>
          </m:rPr>
          <w:rPr>
            <w:rFonts w:ascii="Cambria Math" w:hAnsi="Cambria Math"/>
          </w:rPr>
          <m:t xml:space="preserve"> = 10%</m:t>
        </m:r>
      </m:oMath>
      <w:r>
        <w:t>, countries like Japan ($1.25/hr) and Germany ($1.24/hr) produce both services domestically, even though their costs far exceed those of the cheapest producers.</w:t>
      </w:r>
    </w:p>
    <w:p>
      <w:pPr>
        <w:spacing w:before="0" w:after="160"/>
        <w:ind w:firstLine="0"/>
        <w:jc w:val="both"/>
      </w:pPr>
      <w:r>
        <w:rPr>
          <w:i/>
        </w:rPr>
        <w:t xml:space="preserve">(iv) Domestic training, import inference </w:t>
      </w:r>
      <m:oMath>
        <m:r>
          <m:rPr>
            <m:sty m:val="p"/>
          </m:rPr>
          <w:rPr>
            <w:rFonts w:ascii="Cambria Math" w:hAnsi="Cambria Math"/>
          </w:rPr>
          <m:t xml:space="preserve">(</m:t>
        </m:r>
        <m:sSubSup>
          <m:sSubSupPr/>
          <m:e>
            <m:r>
              <m:rPr>
                <m:sty m:val="i"/>
              </m:rPr>
              <w:rPr>
                <w:rFonts w:ascii="Cambria Math" w:hAnsi="Cambria Math"/>
              </w:rPr>
              <m:t xml:space="preserve">j</m:t>
            </m:r>
          </m:e>
          <m:sub>
            <m:r>
              <m:rPr>
                <m:sty m:val="i"/>
              </m:rPr>
              <w:rPr>
                <w:rFonts w:ascii="Cambria Math" w:hAnsi="Cambria Math"/>
              </w:rPr>
              <m:t xml:space="preserve">T</m:t>
            </m:r>
          </m:sub>
          <m:sup>
            <m:r>
              <m:rPr>
                <m:sty m:val="i"/>
              </m:rPr>
              <w:rPr>
                <w:rFonts w:ascii="Cambria Math" w:hAnsi="Cambria Math"/>
              </w:rPr>
              <m:t xml:space="preserve">*</m:t>
            </m:r>
          </m:sup>
        </m:sSubSup>
        <m:r>
          <m:rPr>
            <m:sty m:val="p"/>
          </m:rPr>
          <w:rPr>
            <w:rFonts w:ascii="Cambria Math" w:hAnsi="Cambria Math"/>
          </w:rPr>
          <m:t xml:space="preserve"> = k, </m:t>
        </m:r>
        <m:sSubSup>
          <m:sSubSupPr/>
          <m:e>
            <m:r>
              <m:rPr>
                <m:sty m:val="i"/>
              </m:rPr>
              <w:rPr>
                <w:rFonts w:ascii="Cambria Math" w:hAnsi="Cambria Math"/>
              </w:rPr>
              <m:t xml:space="preserve">j</m:t>
            </m:r>
          </m:e>
          <m:sub>
            <m:r>
              <m:rPr>
                <m:sty m:val="i"/>
              </m:rPr>
              <w:rPr>
                <w:rFonts w:ascii="Cambria Math" w:hAnsi="Cambria Math"/>
              </w:rPr>
              <m:t xml:space="preserve">I</m:t>
            </m:r>
          </m:sub>
          <m:sup>
            <m:r>
              <m:rPr>
                <m:sty m:val="i"/>
              </m:rPr>
              <w:rPr>
                <w:rFonts w:ascii="Cambria Math" w:hAnsi="Cambria Math"/>
              </w:rPr>
              <m:t xml:space="preserve">*</m:t>
            </m:r>
          </m:sup>
        </m:sSubSup>
        <m:r>
          <m:rPr>
            <m:sty m:val="p"/>
          </m:rPr>
          <w:rPr>
            <w:rFonts w:ascii="Cambria Math" w:hAnsi="Cambria Math"/>
          </w:rPr>
          <m:t xml:space="preserve"> ≠ k)</m:t>
        </m:r>
      </m:oMath>
      <w:r>
        <w:t xml:space="preserve">. </w:t>
      </w:r>
      <w:r>
        <w:t>Theoretically possible if a country is the cheapest globally (optimal for zero-latency training), but sufficiently remote that a nearby country offers cheaper inference. Empirically, this regime is empty: the cheapest producer’s cost advantage extends to domestic inference as well.</w:t>
      </w:r>
    </w:p>
    <w:p>
      <w:pPr>
        <w:spacing w:before="0" w:after="160"/>
        <w:ind w:firstLine="0"/>
        <w:jc w:val="both"/>
      </w:pPr>
      <w:r>
        <w:t xml:space="preserve">From the supply side, two patterns of specialization emerge. </w:t>
      </w:r>
      <w:r>
        <w:rPr>
          <w:i/>
        </w:rPr>
        <w:t xml:space="preserve">Training exporters </w:t>
      </w:r>
      <w:r>
        <w:t xml:space="preserve">are countries with the lowest global costs, which meet training demand worldwide because training has zero effective latency cost. </w:t>
      </w:r>
      <w:r>
        <w:rPr>
          <w:i/>
        </w:rPr>
        <w:t xml:space="preserve">Regional inference hubs </w:t>
      </w:r>
      <w:r>
        <w:t>are countries with moderate costs and low latency to major demand centers that export inference to nearby high-cost countries. Their competitive radius is bounded by latency. Examples: Kosovo (Southeastern Europe), Finland (Baltics), Algeria (Mediterranean).</w:t>
      </w:r>
    </w:p>
    <w:p>
      <w:pPr>
        <w:spacing w:before="0" w:after="160"/>
        <w:ind w:firstLine="0"/>
        <w:jc w:val="both"/>
      </w:pPr>
      <w:r>
        <w:t>Note that the production cost per GPU-hour is the same regardless of whether the GPU is used for training or inference: both services use the same hardware. The cost difference arises entirely from the trade cost. Latency affects inference through two channels. First, it degrades user experience: every additional millisecond of round-trip delay makes chatbot responses feel sluggish, autonomous decisions arrive too late, and interactive applications stutter. Research on web-service performance shows that even moderate latency (100–200 ms) measurably reduces user engagement, conversion rates, and willingness to pay. Beyond a threshold (200–300 ms for interactive applications), the service becomes effectively unusable—users abandon it regardless of price. Second, the iceberg formulation in equation (3) translates this degradation into a cost: the buyer must purchase more compute to deliver the same effective quality of service over a longer link, so distant inference is more expensive per unit of usable output. The two channels reinforce each other: latency simultaneously raises the delivered cost and shrinks the market that will bear that cost.</w:t>
      </w:r>
    </w:p>
    <w:p>
      <w:pPr>
        <w:spacing w:before="0" w:after="160"/>
        <w:ind w:firstLine="0"/>
        <w:jc w:val="both"/>
      </w:pPr>
      <w:r>
        <w:t xml:space="preserve">The cost structure also implies that every training exporter also exports inference to at least its own geographic neighborhood; the set of training exporters is a weak subset of inference exporters.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and for inference to nearby countries this cost advantage dominates the latency markup, so the same country wins the inference competition for proximate demand centers. This explains why regime (iv), domestic training with imported inference, is empirically empty and predicts that training exporters hold asymmetric market power: they compete globally for training and regionally for inference.</w:t>
      </w:r>
    </w:p>
    <w:p>
      <w:pPr>
        <w:spacing w:before="0" w:after="160"/>
        <w:ind w:firstLine="0"/>
        <w:jc w:val="both"/>
      </w:pPr>
      <w:r>
        <w:t xml:space="preserve">A related implication concerns market concentration. The Herfindahl-Hirschman Index (HHI; </w:t>
      </w:r>
      <w:bookmarkStart w:id="214" w:name="DOJFTC2010txt"/>
      <w:hyperlink w:anchor="DOJFTC2010" w:history="1">
        <w:r>
          <w:rPr>
            <w:color w:val="1F3864"/>
            <w:u w:val="single"/>
          </w:rPr>
          <w:t xml:space="preserve">U.S. DOJ and FTC 2010</w:t>
        </w:r>
      </w:hyperlink>
      <w:bookmarkEnd w:id="214"/>
      <w:r>
        <w:t xml:space="preserve">) measures supply-side concentration by summing squared market shares across producers; it ranges from 0 (perfect competition) to 1 (monopoly). Let </w:t>
      </w:r>
      <m:oMath>
        <m:sSub>
          <m:sSubPr/>
          <m:e>
            <m:r>
              <m:rPr>
                <m:sty m:val="i"/>
              </m:rPr>
              <w:rPr>
                <w:rFonts w:ascii="Cambria Math" w:hAnsi="Cambria Math"/>
              </w:rPr>
              <m:t xml:space="preserve">HHI</m:t>
            </m:r>
          </m:e>
          <m:sub>
            <m:r>
              <m:rPr>
                <m:sty m:val="i"/>
              </m:rPr>
              <w:rPr>
                <w:rFonts w:ascii="Cambria Math" w:hAnsi="Cambria Math"/>
              </w:rPr>
              <m:t xml:space="preserve">s</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(demand share served by j)</m:t>
                </m:r>
              </m:e>
              <m:sup>
                <m:r>
                  <m:rPr>
                    <m:sty m:val="p"/>
                  </m:rPr>
                  <w:rPr>
                    <w:rFonts w:ascii="Cambria Math" w:hAnsi="Cambria Math"/>
                  </w:rPr>
                  <m:t xml:space="preserve">2</m:t>
                </m:r>
              </m:sup>
            </m:sSup>
          </m:e>
        </m:nary>
      </m:oMath>
      <w:r>
        <w:t xml:space="preserve"> for service </w:t>
      </w:r>
      <m:oMath>
        <m:r>
          <m:rPr>
            <m:sty m:val="i"/>
          </m:rPr>
          <w:rPr>
            <w:rFonts w:ascii="Cambria Math" w:hAnsi="Cambria Math"/>
          </w:rPr>
          <m:t xml:space="preserve">s</m:t>
        </m:r>
      </m:oMath>
      <w:r>
        <w:t xml:space="preserve">. Then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HHI</m:t>
            </m:r>
          </m:e>
          <m:sub>
            <m:r>
              <m:rPr>
                <m:sty m:val="i"/>
              </m:rPr>
              <w:rPr>
                <w:rFonts w:ascii="Cambria Math" w:hAnsi="Cambria Math"/>
              </w:rPr>
              <m:t xml:space="preserve">I</m:t>
            </m:r>
          </m:sub>
        </m:sSub>
      </m:oMath>
      <w:r>
        <w:t>: training has no geography dimension, so demand pools at the single cheapest producer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while inference has latency costs that segment the market into regional hubs, dispersing market share (</w:t>
      </w:r>
      <m:oMath>
        <m:sSub>
          <m:sSubPr/>
          <m:e>
            <m:r>
              <m:rPr>
                <m:sty m:val="i"/>
              </m:rPr>
              <w:rPr>
                <w:rFonts w:ascii="Cambria Math" w:hAnsi="Cambria Math"/>
              </w:rPr>
              <m:t xml:space="preserve">HHI</m:t>
            </m:r>
          </m:e>
          <m:sub>
            <m:r>
              <m:rPr>
                <m:sty m:val="i"/>
              </m:rPr>
              <w:rPr>
                <w:rFonts w:ascii="Cambria Math" w:hAnsi="Cambria Math"/>
              </w:rPr>
              <m:t xml:space="preserve">I</m:t>
            </m:r>
          </m:sub>
        </m:sSub>
        <m:r>
          <m:rPr>
            <m:sty m:val="p"/>
          </m:rPr>
          <w:rPr>
            <w:rFonts w:ascii="Cambria Math" w:hAnsi="Cambria Math"/>
          </w:rPr>
          <m:t xml:space="preserve"> &lt; 1</m:t>
        </m:r>
      </m:oMath>
      <w:r>
        <w:t>). In the calibration, the demand-weighted HHI for training is 1.00 (highly concentrated), versus 0.31 for inference (moderately concentrated).</w:t>
      </w:r>
    </w:p>
    <w:p>
      <w:pPr>
        <w:pStyle w:val="Heading1"/>
      </w:pPr>
      <w:r>
        <w:rPr>
          <w:rFonts w:ascii="Times New Roman" w:hAnsi="Times New Roman"/>
          <w:color w:val="2F5496"/>
        </w:rPr>
        <w:t>5. The Make-or-Buy Decision</w:t>
      </w:r>
    </w:p>
    <w:p>
      <w:pPr>
        <w:spacing w:before="0" w:after="160"/>
        <w:ind w:firstLine="0"/>
        <w:jc w:val="both"/>
      </w:pPr>
      <w:r>
        <w:t xml:space="preserve">A country that wishes to produce FLOPs domestically must first build a data center, incurring a country-specific fixed cost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This cost depends on local construction prices, land costs, and regulatory requirements, and is proportional to the construction cost parameter </w:t>
      </w:r>
      <m:oMath>
        <m:sSub>
          <m:sSubPr/>
          <m:e>
            <m:r>
              <m:rPr>
                <m:sty m:val="i"/>
              </m:rPr>
              <w:rPr>
                <w:rFonts w:ascii="Cambria Math" w:hAnsi="Cambria Math"/>
              </w:rPr>
              <m:t xml:space="preserve">p</m:t>
            </m:r>
          </m:e>
          <m:sub>
            <m:r>
              <m:rPr>
                <m:sty m:val="i"/>
              </m:rPr>
              <w:rPr>
                <w:rFonts w:ascii="Cambria Math" w:hAnsi="Cambria Math"/>
              </w:rPr>
              <m:t xml:space="preserve">L,j</m:t>
            </m:r>
          </m:sub>
        </m:sSub>
      </m:oMath>
      <w:r>
        <w:t>. The entry decision trades off the fixed cost against the expected operating margin.</w:t>
      </w:r>
    </w:p>
    <w:p>
      <w:pPr>
        <w:spacing w:before="0" w:after="40"/>
        <w:ind w:firstLine="0"/>
        <w:jc w:val="both"/>
      </w:pPr>
      <w:r>
        <w:t xml:space="preserve">The model is closed by specifying demand.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country </w:t>
      </w:r>
      <m:oMath>
        <m:r>
          <m:rPr>
            <m:sty m:val="i"/>
          </m:rPr>
          <w:rPr>
            <w:rFonts w:ascii="Cambria Math" w:hAnsi="Cambria Math"/>
          </w:rPr>
          <m:t xml:space="preserve">k</m:t>
        </m:r>
      </m:oMath>
      <w:r>
        <w:t xml:space="preserve">. Rather than relying on GDP as a proxy, the paper measures compute demand using the number of installed data center facilities (</w:t>
      </w:r>
      <w:bookmarkStart w:id="215" w:name="Cloudscene2025txt"/>
      <w:hyperlink w:anchor="Cloudscene2025" w:history="1">
        <w:r>
          <w:rPr>
            <w:color w:val="1F3864"/>
            <w:u w:val="single"/>
          </w:rPr>
          <w:t xml:space="preserve">Cloudscene 2025</w:t>
        </w:r>
      </w:hyperlink>
      <w:bookmarkEnd w:id="215"/>
      <w:r>
        <w:t xml:space="preserve">):</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p"/>
                    </m:rPr>
                    <w:rPr>
                      <w:rFonts w:ascii="Cambria Math" w:hAnsi="Cambria Math"/>
                    </w:rPr>
                    <m:t xml:space="preserve">DC</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p"/>
                        </m:rPr>
                        <w:rPr>
                          <w:rFonts w:ascii="Cambria Math" w:hAnsi="Cambria Math"/>
                        </w:rPr>
                        <m:t xml:space="preserve">DC</m:t>
                      </m:r>
                    </m:e>
                    <m:sub>
                      <m:r>
                        <m:rPr>
                          <m:sty m:val="i"/>
                        </m:rPr>
                        <w:rPr>
                          <w:rFonts w:ascii="Cambria Math" w:hAnsi="Cambria Math"/>
                        </w:rPr>
                        <m:t xml:space="preserve">k′</m:t>
                      </m:r>
                    </m:sub>
                  </m:sSub>
                </m:e>
              </m:nary>
            </m:oMath>
          </w:p>
        </w:tc>
        <w:tc>
          <w:tcPr>
            <w:tcW w:w="1400" w:type="dxa"/>
            <w:vAlign w:val="center"/>
          </w:tcPr>
          <w:p>
            <w:pPr>
              <w:jc w:val="right"/>
              <w:spacing w:before="60" w:after="60"/>
            </w:pPr>
            <w:r>
              <w:t>(5)</w:t>
            </w:r>
          </w:p>
        </w:tc>
      </w:tr>
    </w:tbl>
    <w:p>
      <w:pPr>
        <w:spacing w:before="0" w:after="160"/>
        <w:ind w:firstLine="0"/>
        <w:jc w:val="both"/>
      </w:pPr>
      <w:r>
        <w:t xml:space="preserve">where </w:t>
      </w:r>
      <m:oMath>
        <m:r>
          <m:rPr>
            <m:sty m:val="i"/>
          </m:rPr>
          <w:rPr>
            <w:rFonts w:ascii="Cambria Math" w:hAnsi="Cambria Math"/>
          </w:rPr>
          <m:t xml:space="preserve">Q</m:t>
        </m:r>
      </m:oMath>
      <w:r>
        <w:t xml:space="preserve"> is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facilities. Countries with more data centers have greater existing compute infrastructure, which proxies both direct compute demand and the broader digital economy. Since all results below depend only on demand </w:t>
      </w:r>
      <w:r>
        <w:rPr>
          <w:i/>
        </w:rPr>
        <w:t>shares</w:t>
      </w:r>
      <w:r>
        <w:t xml:space="preserve">, not on the absolute level </w:t>
      </w:r>
      <m:oMath>
        <m:r>
          <m:rPr>
            <m:sty m:val="i"/>
          </m:rPr>
          <w:rPr>
            <w:rFonts w:ascii="Cambria Math" w:hAnsi="Cambria Math"/>
          </w:rPr>
          <m:t xml:space="preserve">Q</m:t>
        </m:r>
      </m:oMath>
      <w:r>
        <w:t>, the calibration does not require an estimate of total global compute spending.</w:t>
      </w:r>
    </w:p>
    <w:p>
      <w:pPr>
        <w:spacing w:before="0" w:after="40"/>
        <w:ind w:firstLine="0"/>
        <w:jc w:val="both"/>
      </w:pPr>
      <w:r>
        <w:t xml:space="preserve">The entry decision has a natural characterization. Country </w:t>
      </w:r>
      <m:oMath>
        <m:r>
          <m:rPr>
            <m:sty m:val="i"/>
          </m:rPr>
          <w:rPr>
            <w:rFonts w:ascii="Cambria Math" w:hAnsi="Cambria Math"/>
          </w:rPr>
          <m:t xml:space="preserve">j</m:t>
        </m:r>
      </m:oMath>
      <w:r>
        <w:t xml:space="preserve"> enters the FLOP export market (builds a data center) if and only if:</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nary>
                <m:naryPr>
                  <m:chr m:val="∑"/>
                  <m:supHide m:val="1"/>
                </m:naryPr>
                <m:sub>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r>
                    <m:rPr>
                      <m:sty m:val="i"/>
                    </m:rPr>
                    <w:rPr>
                      <w:rFonts w:ascii="Cambria Math" w:hAnsi="Cambria Math"/>
                    </w:rPr>
                    <m:t xml:space="preserve">j</m:t>
                  </m:r>
                </m:sub>
                <m:sup/>
                <m:e>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e>
              </m:nary>
              <m:r>
                <m:rPr>
                  <m:sty m:val="p"/>
                </m:rPr>
                <w:rPr>
                  <w:rFonts w:ascii="Cambria Math" w:hAnsi="Cambria Math"/>
                </w:rPr>
                <m:t xml:space="preserve"> ≥ </m:t>
              </m:r>
              <m:sSub>
                <m:sSubPr/>
                <m:e>
                  <m:r>
                    <m:rPr>
                      <m:sty m:val="i"/>
                    </m:rPr>
                    <w:rPr>
                      <w:rFonts w:ascii="Cambria Math" w:hAnsi="Cambria Math"/>
                    </w:rPr>
                    <m:t xml:space="preserve">F</m:t>
                  </m:r>
                </m:e>
                <m:sub>
                  <m:r>
                    <m:rPr>
                      <m:sty m:val="i"/>
                    </m:rPr>
                    <w:rPr>
                      <w:rFonts w:ascii="Cambria Math" w:hAnsi="Cambria Math"/>
                    </w:rPr>
                    <m:t xml:space="preserve">j</m:t>
                  </m:r>
                </m:sub>
              </m:sSub>
            </m:oMath>
          </w:p>
        </w:tc>
        <w:tc>
          <w:tcPr>
            <w:tcW w:w="1400" w:type="dxa"/>
            <w:vAlign w:val="center"/>
          </w:tcPr>
          <w:p>
            <w:pPr>
              <w:jc w:val="right"/>
              <w:spacing w:before="60" w:after="60"/>
            </w:pPr>
            <w:r>
              <w:t>(6)</w:t>
            </w:r>
          </w:p>
        </w:tc>
      </w:tr>
    </w:tbl>
    <w:p>
      <w:pPr>
        <w:spacing w:before="0" w:after="160"/>
        <w:ind w:firstLine="0"/>
        <w:jc w:val="both"/>
      </w:pPr>
      <w:r>
        <w:t xml:space="preserve">where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the volume of compute demanded by country </w:t>
      </w:r>
      <m:oMath>
        <m:r>
          <m:rPr>
            <m:sty m:val="i"/>
          </m:rPr>
          <w:rPr>
            <w:rFonts w:ascii="Cambria Math" w:hAnsi="Cambria Math"/>
          </w:rPr>
          <m:t xml:space="preserve">k</m:t>
        </m:r>
      </m:oMath>
      <w:r>
        <w:t xml:space="preserve">, and the summation ranges over all demand centers </w:t>
      </w:r>
      <m:oMath>
        <m:r>
          <m:rPr>
            <m:sty m:val="i"/>
          </m:rPr>
          <w:rPr>
            <w:rFonts w:ascii="Cambria Math" w:hAnsi="Cambria Math"/>
          </w:rPr>
          <m:t xml:space="preserve">k</m:t>
        </m:r>
      </m:oMath>
      <w:r>
        <w:t xml:space="preserve"> for which </w:t>
      </w:r>
      <m:oMath>
        <m:r>
          <m:rPr>
            <m:sty m:val="i"/>
          </m:rPr>
          <w:rPr>
            <w:rFonts w:ascii="Cambria Math" w:hAnsi="Cambria Math"/>
          </w:rPr>
          <m:t xml:space="preserve">j</m:t>
        </m:r>
      </m:oMath>
      <w:r>
        <w:t xml:space="preserve"> is the optimal source per equation (4). Expected volume is determined by the global market, not by country </w:t>
      </w:r>
      <m:oMath>
        <m:r>
          <m:rPr>
            <m:sty m:val="i"/>
          </m:rPr>
          <w:rPr>
            <w:rFonts w:ascii="Cambria Math" w:hAnsi="Cambria Math"/>
          </w:rPr>
          <m:t xml:space="preserve">j</m:t>
        </m:r>
      </m:oMath>
      <w:r>
        <w:t xml:space="preserve">’s own size. A small country like Kyrgyzstan could, if it is the cheapest producer, attract training demand from the entire world. However, small cheap-energy countries may have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below the global average yet still fail the entry condition if an even cheaper country exists, because the cheapest producer captures all training volume. For inference, the competitive catchment area is limited by latency: a remote country, no matter how cheap, serves only a small geographic radius.</w:t>
      </w:r>
    </w:p>
    <w:p>
      <w:pPr>
        <w:spacing w:before="0" w:after="160"/>
        <w:ind w:firstLine="0"/>
        <w:jc w:val="both"/>
      </w:pPr>
      <w:r>
        <w:t xml:space="preserve">Construction costs vary substantially across countries. A data center in Norway costs more to build than one in Uzbekistan, even if Norway has cheaper electricity. The entry condition thus depends on both the operating margin (driven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and the fixed cost (driven by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As in the proximity-concentration tradeoff of </w:t>
      </w:r>
      <w:bookmarkStart w:id="236" w:name="Brainard1997txt"/>
      <w:hyperlink w:anchor="Brainard1997" w:history="1">
        <w:r>
          <w:rPr>
            <w:color w:val="1F3864"/>
            <w:u w:val="single"/>
          </w:rPr>
          <w:t xml:space="preserve">Brainard (1997)</w:t>
        </w:r>
      </w:hyperlink>
      <w:bookmarkEnd w:id="236"/>
      <w:r>
        <w:t xml:space="preserve"> and the heterogeneous-firm trade model of </w:t>
      </w:r>
      <w:bookmarkStart w:id="216" w:name="HMY2004txt"/>
      <w:hyperlink w:anchor="HMY2004" w:history="1">
        <w:r>
          <w:rPr>
            <w:color w:val="1F3864"/>
            <w:u w:val="single"/>
          </w:rPr>
          <w:t xml:space="preserve">Helpman, Melitz, and Yeaple (2004)</w:t>
        </w:r>
      </w:hyperlink>
      <w:bookmarkEnd w:id="216"/>
      <w:r>
        <w:t xml:space="preserve">, only sufficiently productive units, here countries with sufficiently low cost, find it worthwhile to enter.</w:t>
      </w:r>
    </w:p>
    <w:p>
      <w:pPr>
        <w:spacing w:before="0" w:after="160"/>
        <w:ind w:firstLine="0"/>
        <w:jc w:val="both"/>
      </w:pPr>
      <w:r>
        <w:t xml:space="preserve">The sovereignty premium </w:t>
      </w:r>
      <m:oMath>
        <m:r>
          <m:rPr>
            <m:sty m:val="i"/>
          </m:rPr>
          <w:rPr>
            <w:rFonts w:ascii="Cambria Math" w:hAnsi="Cambria Math"/>
          </w:rPr>
          <m:t xml:space="preserve">λ</m:t>
        </m:r>
      </m:oMath>
      <w:r>
        <w:t xml:space="preserve"> interacts with the entry decision in two ways. First, it shifts some import demand toward domestic production, reducing the volume available to foreign exporters. Second, it raises the effective price that domestic producers can charge, improving the margin for domestic entry. The combined effect is that the sovereignty premium expands the set of countries that find it profitable to build data centers.</w:t>
      </w:r>
    </w:p>
    <w:p>
      <w:pPr>
        <w:spacing w:before="0" w:after="160"/>
        <w:ind w:firstLine="0"/>
        <w:jc w:val="both"/>
      </w:pPr>
      <w:r>
        <w:rPr>
          <w:rFonts w:ascii="Times New Roman" w:hAnsi="Times New Roman"/>
          <w:b w:val="0"/>
          <w:i/>
          <w:sz w:val="24"/>
        </w:rPr>
        <w:t xml:space="preserve">Welfare cost of sovereignty. </w:t>
      </w:r>
      <w:r>
        <w:t xml:space="preserve">The sovereignty premium imposes a welfare cost by diverting demand from the cheapest global producer to more expensive domestic sources. The aggregate welfare cost is defined as the demand-weighted extra spending from sovereignty-induced domestic sourcing: </w:t>
      </w:r>
      <m:oMath>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min</m:t>
            </m:r>
            <m:sSub>
              <m:sSubPr/>
              <m:e>
                <m:r>
                  <m:rPr>
                    <m:sty m:val="i"/>
                  </m:rPr>
                  <w:rPr>
                    <w:rFonts w:ascii="Cambria Math" w:hAnsi="Cambria Math"/>
                  </w:rPr>
                  <m:t xml:space="preserve"> </m:t>
                </m:r>
              </m:e>
              <m:sub>
                <m:r>
                  <m:rPr>
                    <m:sty m:val="i"/>
                  </m:rPr>
                  <w:rPr>
                    <w:rFonts w:ascii="Cambria Math" w:hAnsi="Cambria Math"/>
                  </w:rPr>
                  <m:t xml:space="preserve">j</m:t>
                </m:r>
              </m:sub>
            </m:sSub>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e>
        </m:nary>
      </m:oMath>
      <w:r>
        <w:t>, summed over countries that switch to domestic production. In the calibration (Section 7), this cost amounts to 10.1% of demand-weighted average spending.</w:t>
      </w:r>
    </w:p>
    <w:p>
      <w:pPr>
        <w:spacing w:before="0" w:after="160"/>
        <w:ind w:firstLine="0"/>
        <w:jc w:val="both"/>
      </w:pPr>
      <w:r>
        <w:t>The model in Sections 3–5 yields predictions about which countries produce FLOPs and which import them, conditional on observable parameters: electricity prices, temperatures, construction costs, and bilateral latencies. The model is now calibrated using data for 86 countries. Section 6 describes the data sources, and Section 7 presents the calibration results and discusses the implied sourcing patterns for major demand centers.</w:t>
      </w:r>
    </w:p>
    <w:p>
      <w:pPr>
        <w:pStyle w:val="Heading1"/>
      </w:pPr>
      <w:r>
        <w:rPr>
          <w:rFonts w:ascii="Times New Roman" w:hAnsi="Times New Roman"/>
          <w:color w:val="2F5496"/>
        </w:rPr>
        <w:t>6. Data</w:t>
      </w:r>
    </w:p>
    <w:p>
      <w:pPr>
        <w:spacing w:before="0" w:after="160"/>
        <w:ind w:firstLine="0"/>
        <w:jc w:val="both"/>
      </w:pPr>
      <w:r>
        <w:t xml:space="preserve">Calibrating the model requires data on each component of equations (2) and (3): electricity prices, temperatures, construction costs, and bilateral latencies. </w:t>
      </w:r>
      <w:r>
        <w:rPr>
          <w:i/>
        </w:rPr>
        <w:t xml:space="preserve">Electricity prices. </w:t>
      </w:r>
      <w:r>
        <w:t xml:space="preserve">For European countries, the paper uses Eurostat industrial electricity prices in the 20,000–69,999 MWh consumption band (nrg_pc_205), which corresponds to large industrial consumers (</w:t>
      </w:r>
      <w:bookmarkStart w:id="237" w:name="Eurostat2025txt"/>
      <w:hyperlink w:anchor="Eurostat2025" w:history="1">
        <w:r>
          <w:rPr>
            <w:color w:val="1F3864"/>
            <w:u w:val="single"/>
          </w:rPr>
          <w:t xml:space="preserve">Eurostat 2025</w:t>
        </w:r>
      </w:hyperlink>
      <w:bookmarkEnd w:id="237"/>
      <w:r>
        <w:t xml:space="preserve">). For non-European countries, the paper uses national regulator tariff sheets and secondary sources: U.S. Energy Information Administration (</w:t>
      </w:r>
      <w:bookmarkStart w:id="242" w:name="EIA2025txt"/>
      <w:hyperlink w:anchor="EIA2025" w:history="1">
        <w:r>
          <w:rPr>
            <w:color w:val="1F3864"/>
            <w:u w:val="single"/>
          </w:rPr>
          <w:t xml:space="preserve">EIA 2025</w:t>
        </w:r>
      </w:hyperlink>
      <w:bookmarkEnd w:id="242"/>
      <w:r>
        <w:t xml:space="preserve">) for the United States; KEPCO for South Korea; national utility tariffs for Central Asian countries (Barki Tojik, AERA, Ministry of Energy of Uzbekistan); and </w:t>
      </w:r>
      <w:bookmarkStart w:id="217" w:name="GlobalPetrolPrices2025txt"/>
      <w:hyperlink w:anchor="GlobalPetrolPrices2025" w:history="1">
        <w:r>
          <w:rPr>
            <w:color w:val="1F3864"/>
            <w:u w:val="single"/>
          </w:rPr>
          <w:t xml:space="preserve">GlobalPetrolPrices (2025)</w:t>
        </w:r>
      </w:hyperlink>
      <w:bookmarkEnd w:id="217"/>
      <w:r>
        <w:t xml:space="preserve"> for remaining countries. All prices are converted to USD/kWh 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for each country is computed from ERA5 reanalysis data (</w:t>
      </w:r>
      <w:bookmarkStart w:id="218" w:name="Hersbach2020txt"/>
      <w:hyperlink w:anchor="Hersbach2020" w:history="1">
        <w:r>
          <w:rPr>
            <w:color w:val="1F3864"/>
            <w:u w:val="single"/>
          </w:rPr>
          <w:t xml:space="preserve">Hersbach et al. 2020</w:t>
        </w:r>
      </w:hyperlink>
      <w:bookmarkEnd w:id="218"/>
      <w:r>
        <w:t xml:space="preserve">) as the average monthly maximum in the three warmest months, aggregated across populated grid cells. </w:t>
      </w:r>
      <w:r>
        <w:t xml:space="preserve">Data center construction costs per watt of IT capacity are from the Turner &amp; Townsend Data Centre Construction Cost Index 2025, which reports actual costs ($/W) for 37 countries across 52 markets (</w:t>
      </w:r>
      <w:bookmarkStart w:id="219" w:name="TurnerTownsend2025txt"/>
      <w:hyperlink w:anchor="TurnerTownsend2025" w:history="1">
        <w:r>
          <w:rPr>
            <w:color w:val="1F3864"/>
            <w:u w:val="single"/>
          </w:rPr>
          <w:t xml:space="preserve">Turner &amp; Townsend 2025</w:t>
        </w:r>
      </w:hyperlink>
      <w:bookmarkEnd w:id="219"/>
      <w:r>
        <w:t xml:space="preserve">). For the remaining countries, construction costs are predicted using a log-linear regression: ln($/W) = </w:t>
      </w:r>
      <m:oMath>
        <m:r>
          <m:rPr>
            <m:sty m:val="i"/>
          </m:rPr>
          <w:rPr>
            <w:rFonts w:ascii="Cambria Math" w:hAnsi="Cambria Math"/>
          </w:rPr>
          <m:t xml:space="preserve">a</m:t>
        </m:r>
        <m:r>
          <m:rPr>
            <m:sty m:val="p"/>
          </m:rPr>
          <w:rPr>
            <w:rFonts w:ascii="Cambria Math" w:hAnsi="Cambria Math"/>
          </w:rPr>
          <m:t xml:space="preserve"> + </m:t>
        </m:r>
        <m:sSub>
          <m:sSubPr/>
          <m:e>
            <m:r>
              <m:rPr>
                <m:sty m:val="i"/>
              </m:rPr>
              <w:rPr>
                <w:rFonts w:ascii="Cambria Math" w:hAnsi="Cambria Math"/>
              </w:rPr>
              <m:t xml:space="preserve">b</m:t>
            </m:r>
          </m:e>
          <m:sub>
            <m:r>
              <m:rPr>
                <m:sty m:val="i"/>
              </m:rPr>
              <w:rPr>
                <w:rFonts w:ascii="Cambria Math" w:hAnsi="Cambria Math"/>
              </w:rPr>
              <m:t xml:space="preserve">1</m:t>
            </m:r>
          </m:sub>
        </m:sSub>
        <m:r>
          <m:rPr>
            <m:sty m:val="p"/>
          </m:rPr>
          <w:rPr>
            <w:rFonts w:ascii="Cambria Math" w:hAnsi="Cambria Math"/>
          </w:rPr>
          <m:t xml:space="preserve"> · ln(GDP per capita)</m:t>
        </m:r>
      </m:oMath>
      <w:r>
        <w:t xml:space="preserve"> (</w:t>
      </w:r>
      <m:oMath>
        <m:sSup>
          <m:sSupPr/>
          <m:e>
            <m:r>
              <m:rPr>
                <m:sty m:val="i"/>
              </m:rPr>
              <w:rPr>
                <w:rFonts w:ascii="Cambria Math" w:hAnsi="Cambria Math"/>
              </w:rPr>
              <m:t xml:space="preserve">R</m:t>
            </m:r>
          </m:e>
          <m:sup>
            <m:r>
              <m:rPr>
                <m:sty m:val="i"/>
              </m:rPr>
              <w:rPr>
                <w:rFonts w:ascii="Cambria Math" w:hAnsi="Cambria Math"/>
              </w:rPr>
              <m:t xml:space="preserve">2</m:t>
            </m:r>
          </m:sup>
        </m:sSup>
        <m:r>
          <m:rPr>
            <m:sty m:val="p"/>
          </m:rPr>
          <w:rPr>
            <w:rFonts w:ascii="Cambria Math" w:hAnsi="Cambria Math"/>
          </w:rPr>
          <m:t xml:space="preserve"> = 0.43</m:t>
        </m:r>
      </m:oMath>
      <w:r>
        <w:t>). The low explanatory power reflects the fact that construction costs depend on factors beyond income levels, such as labor markets, building codes, and imported-materials logistics, that GDP per capita captures imperfectly. Resource-rich Gulf states, for instance, may have lower construction costs than their GDP would predict due to imported labor and streamlined permitting. Since construction is only 3–6% of total FLOP costs, imputation error matters less than it might seem: 95% prediction intervals for imputed countries span about ±$3.50/W, which translates to ±$0.02/hr in total cost (1.5–2% of the mean). Costs are amortized over 15 years. In equation (2), construction costs are expressed per kilowatt ($/kW); the raw data in $/W is converted by multiplying by 1,000.</w:t>
      </w:r>
      <w:r>
        <w:rPr>
          <w:rStyle w:val="FootnoteReference"/>
        </w:rPr>
        <w:footnoteReference w:id="10"/>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20" w:name="WonderNetwork2024txt"/>
      <w:hyperlink w:anchor="WonderNetwork2024" w:history="1">
        <w:r>
          <w:rPr>
            <w:color w:val="1F3864"/>
            <w:u w:val="single"/>
          </w:rPr>
          <w:t xml:space="preserve">WonderNetwork 2024</w:t>
        </w:r>
      </w:hyperlink>
      <w:bookmarkEnd w:id="220"/>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 xml:space="preserve">The calibration uses the NVIDIA H100 SXM GPU as the reference hardware platform: list price $25,000, thermal design power 700W, economic lifetime 3 years, utilization rate 90% (</w:t>
      </w:r>
      <w:bookmarkStart w:id="221" w:name="NVIDIA2024txt"/>
      <w:hyperlink w:anchor="NVIDIA2024" w:history="1">
        <w:r>
          <w:rPr>
            <w:color w:val="1F3864"/>
            <w:u w:val="single"/>
          </w:rPr>
          <w:t xml:space="preserve">NVIDIA 2024</w:t>
        </w:r>
      </w:hyperlink>
      <w:bookmarkEnd w:id="221"/>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$1.056</m:t>
        </m:r>
      </m:oMath>
      <w:r>
        <w:t>/hr. GPU prices are assumed uniform across countries; in practice, export controls raise effective prices for some countries (see Section 7).</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a latency difference of 100 ms (roughly the intercontinental round-trip between Europe and East Asia) imposes an 8% cost penalty, consistent with industry evidence that web-service revenue declines by approximately 1% per 100 ms of additional latency.</w:t>
      </w:r>
      <w:r>
        <w:rPr>
          <w:rStyle w:val="FootnoteReference"/>
        </w:rPr>
        <w:footnoteReference w:id="13"/>
      </w:r>
      <w:r>
        <w:t xml:space="preserve"> The sovereignty premium is </w:t>
      </w:r>
      <m:oMath>
        <m:r>
          <m:rPr>
            <m:sty m:val="i"/>
          </m:rPr>
          <w:rPr>
            <w:rFonts w:ascii="Cambria Math" w:hAnsi="Cambria Math"/>
          </w:rPr>
          <m:t xml:space="preserve">λ</m:t>
        </m:r>
        <m:r>
          <m:rPr>
            <m:sty m:val="p"/>
          </m:rPr>
          <w:rPr>
            <w:rFonts w:ascii="Cambria Math" w:hAnsi="Cambria Math"/>
          </w:rPr>
          <m:t xml:space="preserve"> = 10%</m:t>
        </m:r>
      </m:oMath>
      <w:r>
        <w:t>. Sensitivity to both parameters is explored in Section 7.</w:t>
      </w:r>
      <w:r>
        <w:rPr>
          <w:rStyle w:val="FootnoteReference"/>
        </w:rPr>
        <w:footnoteReference w:id="11"/>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the number of installed data center facilities (</w:t>
      </w:r>
      <w:bookmarkStart w:id="222" w:name="Cloudscene2025txt"/>
      <w:hyperlink w:anchor="Cloudscene2025" w:history="1">
        <w:r>
          <w:rPr>
            <w:color w:val="1F3864"/>
            <w:u w:val="single"/>
          </w:rPr>
          <w:t xml:space="preserve">Cloudscene 2025</w:t>
        </w:r>
      </w:hyperlink>
      <w:bookmarkEnd w:id="222"/>
      <w:r>
        <w:t xml:space="preserve">), as specified in equation (5). The five largest demand centers—United States of America (47%), Germany (5%), United Kingdom (4.5%), China (4%), and Canada (3%)—account for 63% of global demand. Data center counts reflect existing compute infrastructure better than GDP, since a country’s installed facilities capture its revealed demand for compute services. One limitation is that Western databases such as Cloudscene undercount facilities in China (449 listed versus over 8 million racks reported by China’s MIIT). </w:t>
      </w:r>
      <w:bookmarkStart w:id="238" w:name="IEA2025txt"/>
      <w:hyperlink w:anchor="IEA2025" w:history="1">
        <w:r>
          <w:rPr>
            <w:color w:val="1F3864"/>
            <w:u w:val="single"/>
          </w:rPr>
          <w:t xml:space="preserve">IEA (2025)</w:t>
        </w:r>
      </w:hyperlink>
      <w:bookmarkEnd w:id="238"/>
      <w:r>
        <w:t xml:space="preserve"> electricity consumption data suggest that Chinese data centers account for roughly 25% of global data center electricity, compared to 44% for the United States. </w:t>
      </w:r>
      <w:bookmarkStart w:id="103" w:name="TableA2txt"/>
      <w:hyperlink w:anchor="TableA2" w:history="1">
        <w:r>
          <w:rPr>
            <w:color w:val="1F3864"/>
            <w:u w:val="single"/>
          </w:rPr>
          <w:t xml:space="preserve">Table A2</w:t>
        </w:r>
      </w:hyperlink>
      <w:bookmarkEnd w:id="103"/>
      <w:r>
        <w:t xml:space="preserve"> in the Appendix reports the full data center counts.</w:t>
      </w:r>
    </w:p>
    <w:p>
      <w:pPr>
        <w:pStyle w:val="Heading1"/>
      </w:pPr>
      <w:r>
        <w:rPr>
          <w:rFonts w:ascii="Times New Roman" w:hAnsi="Times New Roman"/>
          <w:color w:val="2F5496"/>
        </w:rPr>
        <w:t>7. Calibration and Discussion</w:t>
      </w:r>
    </w:p>
    <w:p>
      <w:pPr>
        <w:spacing w:before="0" w:after="160"/>
        <w:ind w:firstLine="0"/>
        <w:jc w:val="both"/>
      </w:pPr>
      <w:r>
        <w:t xml:space="preserve">The model is calibrated for </w:t>
      </w:r>
      <m:oMath>
        <m:r>
          <m:rPr>
            <m:sty m:val="i"/>
          </m:rPr>
          <w:rPr>
            <w:rFonts w:ascii="Cambria Math" w:hAnsi="Cambria Math"/>
          </w:rPr>
          <m:t xml:space="preserve">N</m:t>
        </m:r>
        <m:r>
          <m:rPr>
            <m:sty m:val="p"/>
          </m:rPr>
          <w:rPr>
            <w:rFonts w:ascii="Cambria Math" w:hAnsi="Cambria Math"/>
          </w:rPr>
          <m:t xml:space="preserve"> = 86</m:t>
        </m:r>
      </m:oMath>
      <w:r>
        <w:t xml:space="preserve"> countries (30 in ECA, 56 non-ECA comparators). </w:t>
      </w:r>
      <w:r>
        <w:t xml:space="preserve">The unit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represents the total hourly cost of operating one GPU in country </w:t>
      </w:r>
      <m:oMath>
        <m:r>
          <m:rPr>
            <m:sty m:val="i"/>
          </m:rPr>
          <w:rPr>
            <w:rFonts w:ascii="Cambria Math" w:hAnsi="Cambria Math"/>
          </w:rPr>
          <m:t xml:space="preserve">j</m:t>
        </m:r>
      </m:oMath>
      <w:r>
        <w:t xml:space="preserve">, measured in dollars per GPU-hour ($/hr). It is the sum of the hourly electricity cost, the amortized hardware cost ($1.06/hr), and the amortized construction cost. The PUE parameters in equation (1) are calibrated as </w:t>
      </w:r>
      <m:oMath>
        <m:r>
          <m:rPr>
            <m:sty m:val="i"/>
          </m:rPr>
          <w:rPr>
            <w:rFonts w:ascii="Cambria Math" w:hAnsi="Cambria Math"/>
          </w:rPr>
          <m:t xml:space="preserve">φ</m:t>
        </m:r>
        <m:r>
          <m:rPr>
            <m:sty m:val="p"/>
          </m:rPr>
          <w:rPr>
            <w:rFonts w:ascii="Cambria Math" w:hAnsi="Cambria Math"/>
          </w:rPr>
          <m:t xml:space="preserve"> = 1.08</m:t>
        </m:r>
      </m:oMath>
      <w:r>
        <w:t xml:space="preserve"> (Scandinavian free-air cooling), </w:t>
      </w:r>
      <m:oMath>
        <m:r>
          <m:rPr>
            <m:sty m:val="i"/>
          </m:rPr>
          <w:rPr>
            <w:rFonts w:ascii="Cambria Math" w:hAnsi="Cambria Math"/>
          </w:rPr>
          <m:t xml:space="preserve">δ</m:t>
        </m:r>
        <m:r>
          <m:rPr>
            <m:sty m:val="p"/>
          </m:rPr>
          <w:rPr>
            <w:rFonts w:ascii="Cambria Math" w:hAnsi="Cambria Math"/>
          </w:rPr>
          <m:t xml:space="preserve"> = 0.015</m:t>
        </m:r>
      </m:oMath>
      <w:r>
        <w:t xml:space="preserve"> per °C, and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yielding PUE values from 1.08 (Iceland, Scandinavia) to 1.41 (UAE).</w:t>
      </w:r>
    </w:p>
    <w:p>
      <w:pPr>
        <w:spacing w:before="0" w:after="160"/>
        <w:ind w:firstLine="0"/>
        <w:jc w:val="both"/>
      </w:pPr>
      <w:r>
        <w:t xml:space="preserve">The regime column reports the optimal sourcing strategy for each country as a demand center, derived from the sourcing rule in equation (4) under pure cost minimization (without the sovereignty premium). </w:t>
      </w:r>
      <w:r>
        <w:rPr>
          <w:i/>
        </w:rPr>
        <w:t>Import</w:t>
      </w:r>
      <w:r>
        <w:t xml:space="preserve"> means the country imports both training and inference. </w:t>
      </w:r>
      <w:r>
        <w:rPr>
          <w:i/>
        </w:rPr>
        <w:t>Hybrid</w:t>
      </w:r>
      <w:r>
        <w:t xml:space="preserve"> means the country imports training from the cheapest global source but produces inference domestically or from a nearby hub. </w:t>
      </w:r>
      <w:r>
        <w:rPr>
          <w:i/>
        </w:rPr>
        <w:t>Domestic</w:t>
      </w:r>
      <w:r>
        <w:t xml:space="preserve"> means the country produces both services domestically because it has the lowest cost, including latency. </w:t>
      </w:r>
      <w:bookmarkStart w:id="100" w:name="TableA1txt"/>
      <w:hyperlink w:anchor="TableA1" w:history="1">
        <w:r>
          <w:rPr>
            <w:color w:val="1F3864"/>
            <w:u w:val="single"/>
          </w:rPr>
          <w:t xml:space="preserve">Table A1</w:t>
        </w:r>
      </w:hyperlink>
      <w:bookmarkEnd w:id="100"/>
      <w:r>
        <w:t xml:space="preserve"> in the Appendix reports the full results for all </w:t>
      </w:r>
      <m:oMath>
        <m:r>
          <m:rPr>
            <m:sty m:val="i"/>
          </m:rPr>
          <w:rPr>
            <w:rFonts w:ascii="Cambria Math" w:hAnsi="Cambria Math"/>
          </w:rPr>
          <m:t xml:space="preserve">N</m:t>
        </m:r>
        <m:r>
          <m:rPr>
            <m:sty m:val="p"/>
          </m:rPr>
          <w:rPr>
            <w:rFonts w:ascii="Cambria Math" w:hAnsi="Cambria Math"/>
          </w:rPr>
          <m:t xml:space="preserve"> = 86</m:t>
        </m:r>
      </m:oMath>
      <w:r>
        <w:t xml:space="preserve"> countries, sorted by total unit cost.</w:t>
      </w:r>
    </w:p>
    <w:p>
      <w:pPr>
        <w:spacing w:before="0" w:after="160"/>
        <w:ind w:firstLine="0"/>
        <w:jc w:val="both"/>
      </w:pPr>
      <w:r>
        <w:t>The cheapest FLOP producer globally is Iran ($1.10/hr), benefiting from heavily subsidized electricity at $0.005/kWh. Among ECA countries, the five cheapest are Turkmenistan ($1.11/hr, subsidized electricity), Kyrgyzstan ($1.13/hr, hydropower), Russia ($1.14/hr), Kosovo ($1.14/hr), and Ukraine ($1.15/hr). The Nordics benefit from low PUE (1.08–1.10). At the expensive end, Ireland ($1.28/hr) and Greenland ($1.32/hr) face high electricity prices. Construction costs account for 3–6% of total costs, ranging from $0.033/hr (China) to $0.078/hr (Japan, Singapore).</w:t>
      </w:r>
    </w:p>
    <w:p>
      <w:pPr>
        <w:spacing w:before="0" w:after="160"/>
        <w:ind w:firstLine="0"/>
        <w:jc w:val="both"/>
      </w:pPr>
      <w:r>
        <w:t xml:space="preserve">Under pure cost minimization (without sovereignty), 44 of 86 countries (51%) are in </w:t>
      </w:r>
      <w:r>
        <w:rPr>
          <w:i/>
        </w:rPr>
        <w:t>full import</w:t>
      </w:r>
      <w:r>
        <w:t xml:space="preserve">, 38 (44%) in </w:t>
      </w:r>
      <w:r>
        <w:rPr>
          <w:i/>
        </w:rPr>
        <w:t>hybrid</w:t>
      </w:r>
      <w:r>
        <w:t xml:space="preserve">, and 1 (1%) in </w:t>
      </w:r>
      <w:r>
        <w:rPr>
          <w:i/>
        </w:rPr>
        <w:t>domestic</w:t>
      </w:r>
      <w:r>
        <w:t xml:space="preserve">. Training concentrates entirely at the cheapest global producer. Inference organizes into regional hubs: Kosovo serves Southeastern Europe, Algeria the Mediterranean, Finland the Baltics, and Canada North America. A sovereignty premium </w:t>
      </w:r>
      <m:oMath>
        <m:r>
          <m:rPr>
            <m:sty m:val="i"/>
          </m:rPr>
          <w:rPr>
            <w:rFonts w:ascii="Cambria Math" w:hAnsi="Cambria Math"/>
          </w:rPr>
          <m:t xml:space="preserve">λ</m:t>
        </m:r>
        <m:r>
          <m:rPr>
            <m:sty m:val="p"/>
          </m:rPr>
          <w:rPr>
            <w:rFonts w:ascii="Cambria Math" w:hAnsi="Cambria Math"/>
          </w:rPr>
          <m:t xml:space="preserve"> = 10%</m:t>
        </m:r>
      </m:oMath>
      <w:r>
        <w:t xml:space="preserve"> shifts 55 countries (64%) to </w:t>
      </w:r>
      <w:r>
        <w:rPr>
          <w:i/>
        </w:rPr>
        <w:t>domestic</w:t>
      </w:r>
      <w:r>
        <w:t xml:space="preserve">, 27 (31%) to </w:t>
      </w:r>
      <w:r>
        <w:rPr>
          <w:i/>
        </w:rPr>
        <w:t>hybrid</w:t>
      </w:r>
      <w:r>
        <w:t xml:space="preserve">, and only 1 (1%) remain </w:t>
      </w:r>
      <w:r>
        <w:rPr>
          <w:i/>
        </w:rPr>
        <w:t>full import</w:t>
      </w:r>
      <w:r>
        <w:t>. The sovereignty premium is particularly powerful for inference: since the latency markup within Europe is moderate (10–40 ms, adding 1–3%), even a small domestic preference tips the decision away from importing.</w:t>
      </w:r>
    </w:p>
    <w:p>
      <w:pPr>
        <w:spacing w:before="0" w:after="160"/>
        <w:ind w:firstLine="0"/>
        <w:jc w:val="both"/>
      </w:pPr>
      <w:r>
        <w:t xml:space="preserve">In practice, </w:t>
      </w:r>
      <m:oMath>
        <m:r>
          <m:rPr>
            <m:sty m:val="i"/>
          </m:rPr>
          <w:rPr>
            <w:rFonts w:ascii="Cambria Math" w:hAnsi="Cambria Math"/>
          </w:rPr>
          <m:t xml:space="preserve">λ</m:t>
        </m:r>
      </m:oMath>
      <w:r>
        <w:t xml:space="preserve"> is bilateral and heterogeneous. Between allies with mutual data adequacy agreements (e.g., EU member states), the effective sovereignty premium may be near zero. Between geopolitical adversaries, it is effectively infinite: the United States would not source training from Iran regardless of cost, and current sanctions make such transactions illegal. The uniform </w:t>
      </w:r>
      <m:oMath>
        <m:r>
          <m:rPr>
            <m:sty m:val="i"/>
          </m:rPr>
          <w:rPr>
            <w:rFonts w:ascii="Cambria Math" w:hAnsi="Cambria Math"/>
          </w:rPr>
          <m:t xml:space="preserve">λ</m:t>
        </m:r>
        <m:r>
          <m:rPr>
            <m:sty m:val="p"/>
          </m:rPr>
          <w:rPr>
            <w:rFonts w:ascii="Cambria Math" w:hAnsi="Cambria Math"/>
          </w:rPr>
          <m:t xml:space="preserve"> = 10%</m:t>
        </m:r>
      </m:oMath>
      <w:r>
        <w:t xml:space="preserve"> should therefore be understood as an average over non-adversarial country pairs. Although Iran has the lowest production cost in the calibration, this reflects heavily subsidized electricity ($0.005/kWh) and is largely irrelevant for trade because international sanctions exclude it from most markets. In a model with bilateral </w:t>
      </w:r>
      <m:oMath>
        <m:sSub>
          <m:sSubPr/>
          <m:e>
            <m:r>
              <m:rPr>
                <m:sty m:val="i"/>
              </m:rPr>
              <w:rPr>
                <w:rFonts w:ascii="Cambria Math" w:hAnsi="Cambria Math"/>
              </w:rPr>
              <m:t xml:space="preserve">λ</m:t>
            </m:r>
          </m:e>
          <m:sub>
            <m:r>
              <m:rPr>
                <m:sty m:val="i"/>
              </m:rPr>
              <w:rPr>
                <w:rFonts w:ascii="Cambria Math" w:hAnsi="Cambria Math"/>
              </w:rPr>
              <m:t xml:space="preserve">jk</m:t>
            </m:r>
          </m:sub>
        </m:sSub>
      </m:oMath>
      <w:r>
        <w:t>, sanctioned countries would be excluded from serving most demand centers, and the effective cheapest suppliers become Turkmenistan ($1.11/hr) and Kyrgyzstan ($1.13/hr).</w:t>
      </w:r>
    </w:p>
    <w:p>
      <w:pPr>
        <w:spacing w:before="0" w:after="160"/>
        <w:ind w:firstLine="0"/>
        <w:jc w:val="both"/>
      </w:pPr>
      <w:r>
        <w:t xml:space="preserve">The country-specific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Section 4 varies widely across the calibration. Near-frontier countries switch to domestic production with minimal sovereignty premia: Kyrgyzstan requires only λ* = 2.0%, China 4.6%, and the United States 7.1%. High-cost countries require much larger premia: Germany needs λ* = 12.5% and Japan 13.4%. Countries with high λ* face large cost penalties from sovereignty-driven domestic sourcing.</w:t>
      </w:r>
    </w:p>
    <w:p>
      <w:pPr>
        <w:spacing w:before="0" w:after="160"/>
        <w:ind w:firstLine="0"/>
        <w:jc w:val="both"/>
      </w:pPr>
      <w:r>
        <w:rPr>
          <w:rFonts w:ascii="Times New Roman" w:hAnsi="Times New Roman"/>
          <w:b w:val="0"/>
          <w:i/>
          <w:sz w:val="24"/>
        </w:rPr>
        <w:t xml:space="preserve">Demand-weighted trade flows. </w:t>
      </w:r>
      <w:r>
        <w:t xml:space="preserve">Weighting the sourcing patterns by demand shares (equation 5), training concentrates at the single cheapest producer. Since Iran’s low electricity price ($0.005/kWh) reflects heavy subsidies and the country faces broad international sanctions, training flows are reported, excluding sanctioned producers: Turkmenistan ($1.11/hr) captures 99.9% of global training demand. </w:t>
      </w:r>
      <w:r>
        <w:t>Inference is far more dispersed: the top five inference suppliers are Canada (51%), Algeria (20%), Kyrgyzstan (4%), Australia (3%), Russia (2%), together serving 81% of global inference demand. The demand-weighted HHI for training is 1.00, versus 0.31 for inference, confirming that training is far more concentrated than inference.</w:t>
      </w:r>
    </w:p>
    <w:p>
      <w:pPr>
        <w:spacing w:before="0" w:after="160"/>
        <w:ind w:firstLine="0"/>
        <w:jc w:val="both"/>
      </w:pPr>
      <w:r>
        <w:t xml:space="preserve">That all training demand pools at one producer is an artifact of the model’s assumptions—homogeneous FLOPs, zero transport costs, and no capacity limits. In practice, training would be spread across suppliers by power-grid constraints (no single country can absorb unlimited demand), risk diversification (firms hedge against outages by splitting workloads), differences in regulatory and data-governance regimes, and long-term contracts. A simple bounded-capacity extension makes the point: if each country can supply at most a fixed share of global demand, proportional to its power generation capacity, buyers fill the cheapest supplier first, then spill over to the next cheapest, and so on. Training demand then spreads across the low-cost tier rather than collapsing to a single country,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falls sharply. Inference, already dispersed by latency, is less affected. The unconstrained formulation is kept for tractability. The cost rankings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HHI</m:t>
            </m:r>
          </m:e>
          <m:sub>
            <m:r>
              <m:rPr>
                <m:sty m:val="i"/>
              </m:rPr>
              <w:rPr>
                <w:rFonts w:ascii="Cambria Math" w:hAnsi="Cambria Math"/>
              </w:rPr>
              <m:t xml:space="preserve">I</m:t>
            </m:r>
          </m:sub>
        </m:sSub>
      </m:oMath>
      <w:r>
        <w:t xml:space="preserve"> survive under bounded capacity.</w:t>
      </w:r>
    </w:p>
    <w:p>
      <w:pPr>
        <w:spacing w:before="0" w:after="160"/>
        <w:ind w:firstLine="0"/>
        <w:jc w:val="both"/>
      </w:pPr>
      <w:r>
        <w:t>Among developing countries, Kyrgyzstan captures 4% of global inference demand by serving China and Kazakhstan—a striking result for a country with GDP under $15 billion. Algeria serves as the inference hub for Western Europe, accounting for 20% of global inference demand across 14 European countries, including Germany, France, the United Kingdom, and Italy. These patterns show how cheap-energy developing countries can earn export revenue from much larger economies.</w:t>
      </w:r>
    </w:p>
    <w:p>
      <w:pPr>
        <w:spacing w:before="0" w:after="160"/>
        <w:ind w:firstLine="0"/>
        <w:jc w:val="both"/>
      </w:pPr>
      <w:r>
        <w:t>Doubling the sovereignty premium to 20% shifts 29 additional countries to domestic training production, reducing the share of global training demand available to foreign producers from 17% to 0%. At 20%, nearly all countries produce training domestically, and the export market for training effectively disappears. Inference export revenue is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pure-cost optimum sources training from the cheapest available producer and inference from Canada ($1.19/hr), reflecting Canada’s combination of low cost and minimal cross-border latency. For major European demand centers, inference is sourced from Algeria at delivered costs of $1.18/hr for Germany, $1.18/hr for the United Kingdom, and $1.17/hr for France. Algeria’s subsidized electricity and moderate Mediterranean latency make it the European inference hub. For China, the cheapest inference source is Kyrgyzstan ($1.16/hr), a bordering country with hydropower-based electricity. Russia produces inference domestically even under pure cost minimization ($1.18/hr), as its low energy costs offset moderate latency. The Gulf states present another pattern: Saudi Arabia ($1.17/hr) and the UAE ($1.17/hr) also produce inference domestically, benefiting from subsidized energy and expanding data center capacity. These patterns illustrate the model’s core prediction: inference organizes around latency-bounded regional hubs, and each major market has a distinct optimal supplier determined by geography. With a sovereignty premium of 10%, the United States, China, Russia, and the Gulf states all shift to full domestic production, while Germany still imports training but produces inference domestically.</w:t>
      </w:r>
    </w:p>
    <w:p>
      <w:pPr>
        <w:spacing w:before="0" w:after="160"/>
        <w:ind w:firstLine="0"/>
        <w:jc w:val="both"/>
      </w:pPr>
      <w:r>
        <w:rPr>
          <w:rFonts w:ascii="Times New Roman" w:hAnsi="Times New Roman"/>
          <w:b w:val="0"/>
          <w:i/>
          <w:sz w:val="24"/>
        </w:rPr>
        <w:t xml:space="preserve">Governance and political economy. </w:t>
      </w:r>
      <w:r>
        <w:t xml:space="preserve">These cost rankings assume globally uniform hardware prices and abstract from institutional heterogeneity. In practice, GPU export controls raise effective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for Iran, Russia, and Belarus; grid reliability varies widely; the EU’s GDPR and AI Act create hard barriers for inference on personal data; and agglomeration economies (</w:t>
      </w:r>
      <w:bookmarkStart w:id="223" w:name="Krugman1991txt"/>
      <w:hyperlink w:anchor="Krugman1991" w:history="1">
        <w:r>
          <w:rPr>
            <w:color w:val="1F3864"/>
            <w:u w:val="single"/>
          </w:rPr>
          <w:t xml:space="preserve">Krugman 1991</w:t>
        </w:r>
      </w:hyperlink>
      <w:bookmarkEnd w:id="223"/>
      <w:r>
        <w:t xml:space="preserve">) favor established hubs despite higher costs. Data center investments are large, long-lived, and immobile, so the viability of a country as a compute exporter depends on institutional factors not captured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Several of the cheapest producers in the calibration (Iran, Turkmenistan, Uzbekistan) rank poorly on property rights and rule of law indices, and subsidized electricity prices may be politically fragile. The fixed entry cost </w:t>
      </w:r>
      <m:oMath>
        <m:sSub>
          <m:sSubPr/>
          <m:e>
            <m:r>
              <m:rPr>
                <m:sty m:val="i"/>
              </m:rPr>
              <w:rPr>
                <w:rFonts w:ascii="Cambria Math" w:hAnsi="Cambria Math"/>
              </w:rPr>
              <m:t xml:space="preserve">F</m:t>
            </m:r>
          </m:e>
          <m:sub>
            <m:r>
              <m:rPr>
                <m:sty m:val="i"/>
              </m:rPr>
              <w:rPr>
                <w:rFonts w:ascii="Cambria Math" w:hAnsi="Cambria Math"/>
              </w:rPr>
              <m:t xml:space="preserve">j</m:t>
            </m:r>
          </m:sub>
        </m:sSub>
      </m:oMath>
      <w:r>
        <w:t xml:space="preserve"> should therefore be interpreted as including an institutional premium required to attract foreign capital.</w:t>
      </w:r>
    </w:p>
    <w:p>
      <w:pPr>
        <w:spacing w:before="0" w:after="160"/>
        <w:ind w:firstLine="0"/>
        <w:jc w:val="both"/>
      </w:pPr>
      <w:r>
        <w:t xml:space="preserve">The EU’s GDPR and AI Act segment the compute market along regulatory lines, reinforcing the sovereignty premium </w:t>
      </w:r>
      <m:oMath>
        <m:r>
          <m:rPr>
            <m:sty m:val="i"/>
          </m:rPr>
          <w:rPr>
            <w:rFonts w:ascii="Cambria Math" w:hAnsi="Cambria Math"/>
          </w:rPr>
          <m:t xml:space="preserve">λ</m:t>
        </m:r>
      </m:oMath>
      <w:r>
        <w:t xml:space="preserve"> as a structural feature. U.S. export controls on advanced GPUs raise the effective hardware cost </w:t>
      </w:r>
      <m:oMath>
        <m:r>
          <m:rPr>
            <m:sty m:val="i"/>
          </m:rPr>
          <w:rPr>
            <w:rFonts w:ascii="Cambria Math" w:hAnsi="Cambria Math"/>
          </w:rPr>
          <m:t xml:space="preserve">ρ</m:t>
        </m:r>
      </m:oMath>
      <w:r>
        <w:t xml:space="preserve"> for sanctioned countries, potentially offsetting any electricity cost advantage and discouraging long-term investment. Grid reliability further narrows the set of viable exporters: countries with frequent outages face backup-generation costs that are not reflected in headline electricity prices; therefore, effective costs should be understood as reliability-adjusted. Taken together, these governance factors suggest that viable compute exporters are a strict subset of low-cost producers: 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pPr>
        <w:spacing w:before="0" w:after="160"/>
        <w:ind w:firstLine="0"/>
        <w:jc w:val="both"/>
      </w:pPr>
      <w:r>
        <w:t xml:space="preserve">A deeper issue concerns the sustainability of subsidized electricity prices at an export scale. Several of the cheapest producers in the calibration, including Iran ($0.005/kWh), Turkmenistan ($0.01/kWh), Egypt ($0.038/kWh), and the Gulf states (Qatar $0.036, Saudi Arabia $0.053, UAE $0.065), benefit from domestic energy subsidies that price electricity well below the long-run marginal cost (LRMC) of generation (</w:t>
      </w:r>
      <w:bookmarkStart w:id="224" w:name="IMF2025txt"/>
      <w:hyperlink w:anchor="IMF2025" w:history="1">
        <w:r>
          <w:rPr>
            <w:color w:val="1F3864"/>
            <w:u w:val="single"/>
          </w:rPr>
          <w:t xml:space="preserve">IMF 2025</w:t>
        </w:r>
      </w:hyperlink>
      <w:bookmarkEnd w:id="224"/>
      <w:r>
        <w:t xml:space="preserve">).</w:t>
      </w:r>
      <w:r>
        <w:rPr>
          <w:rStyle w:val="FootnoteReference"/>
        </w:rPr>
        <w:footnoteReference w:id="12"/>
      </w:r>
      <w:r>
        <w:t xml:space="preserve"> The implicit subsidy gap—the difference between the observed tariff and the LRMC at opportunity-cost fuel prices—ranges from $19 to $80/MWh across the 13 adjusted countries. For Iran, the gap is $80/MWh: a hypothetical 100 MW data center would receive roughly $70 million per year in implicit fiscal transfer. At a small scale, the facility pays the subsidized tariff and generates export revenue, employment, and tax receipts. At export scale, however, the fiscal arithmetic reverses: a country that becomes a major training hub would channel hundreds of megawatts of subsidized electricity into serving foreign demand, effectively transferring the subsidy to foreign AI companies. Governments would face a choice between raising electricity prices for data centers (eroding the cost advantage), maintaining subsidies at growing fiscal cost, or capping data center capacity.</w:t>
      </w:r>
    </w:p>
    <w:p>
      <w:pPr>
        <w:spacing w:before="0" w:after="160"/>
        <w:ind w:firstLine="0"/>
        <w:jc w:val="both"/>
      </w:pPr>
      <w:r>
        <w:t xml:space="preserve">This analysis highlights a distinction between two types of cheap electricity. The first type is subsidized fossil-fuel tariffs (Iran, Turkmenistan, the Gulf states, Algeria, Egypt, Nigeria, South Africa, and parts of Central Asia), where the cost advantage is fiscal rather than real: it reflects government transfers, not low-cost generation. The second type is genuine hydropower cost advantages (Kyrgyzstan, Canada, Ethiopia, Norway, Tajikistan), where low LRMC reflects physical endowments—abundant water resources and sunk dam infrastructure—rather than fiscal policy. Only the latter is sustainable at export scale, because the marginal cost of additional hydropower output remains low without fiscal support. The sustainable export frontier is defined not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but by the price at which electricity can be supplied without fiscal subsidy.</w:t>
      </w:r>
    </w:p>
    <w:p>
      <w:pPr>
        <w:spacing w:before="0" w:after="160"/>
        <w:ind w:firstLine="0"/>
        <w:jc w:val="both"/>
      </w:pPr>
      <w:r>
        <w:t xml:space="preserve">How sensitive are the rankings to subsidized electricity? In 13 countries where observed tariffs reflect explicit fossil-fuel subsidies, we replace the subsidized price with an estimated “cost-recovery” price: the LRMC of the dominant generation technology at opportunity-cost fuel prices (</w:t>
      </w:r>
      <w:bookmarkStart w:id="239" w:name="IMF2025txt"/>
      <w:hyperlink w:anchor="IMF2025" w:history="1">
        <w:r>
          <w:rPr>
            <w:color w:val="1F3864"/>
            <w:u w:val="single"/>
          </w:rPr>
          <w:t xml:space="preserve">IMF 2025</w:t>
        </w:r>
      </w:hyperlink>
      <w:bookmarkEnd w:id="239"/>
      <w:r>
        <w:t xml:space="preserve">; </w:t>
      </w:r>
      <w:bookmarkStart w:id="225" w:name="Lazard2025txt"/>
      <w:hyperlink w:anchor="Lazard2025" w:history="1">
        <w:r>
          <w:rPr>
            <w:color w:val="1F3864"/>
            <w:u w:val="single"/>
          </w:rPr>
          <w:t xml:space="preserve">Lazard 2025</w:t>
        </w:r>
      </w:hyperlink>
      <w:bookmarkEnd w:id="225"/>
      <w:r>
        <w:t xml:space="preserve">). For gas exporters (Iran, Turkmenistan, Algeria, Qatar), the cost-recovery price is the LRMC of combined-cycle gas generation at export-parity gas prices ($0.065–$0.100/kWh). For the Gulf states (Saudi Arabia, the UAE, and Qatar), we use the opportunity cost of domestic gas combustion versus exporting it as LNG. For coal-dependent producers (Kazakhstan, South Africa), we use the full Eskom-style cost-recovery tariff, including depreciation and maintenance. For Ethiopia, we use the IMF’s estimated hydro cost-recovery target ($0.050/kWh), which is above the current tariff but well below fossil-fuel LRMC. Adjustments range from $19/MWh to $80/MWh above observed tariffs. Countries whose low prices reflect genuine hydropower cost advantages (Kyrgyzstan, Canada, Norway, Tajikistan) are not adjusted.</w:t>
      </w:r>
    </w:p>
    <w:p>
      <w:pPr>
        <w:spacing w:before="0" w:after="160"/>
        <w:ind w:firstLine="0"/>
        <w:jc w:val="both"/>
      </w:pPr>
      <w:r>
        <w:t>Under cost-recovery prices, the five cheapest producers become Kyrgyzstan ($1.13/hr), Canada ($1.14/hr), Kosovo ($1.14/hr), Ethiopia ($1.14/hr), and Ukraine ($1.15/hr). Hydropower countries (Kyrgyzstan, Canada, Ethiopia) and cold-climate producers (Norway, Kosovo) rise; all Gulf and MENA producers fall. Iran drops from first to 23rd. Seven countries change trade regime under adjusted costs. Training still concentrates in a single cheapest producer (HHI = 1.0000), but that producer is now Kyrgyzstan rather than Iran. Inference hubs shift less (HHI = 0.3149) because they depend on latency geometry, which is unaffected by price adjustments. The model’s structure is unchanged: training still goes to the cheapest producer, inference still clusters in regional hubs, and the sovereignty premium still pushes countries toward domestic production. What changes is who sits at the top: hydropower replaces subsidized gas. Cheap electricity still confers comparative advantage in compute, but the advantage has to be real rather than fiscal.</w:t>
      </w:r>
    </w:p>
    <w:p>
      <w:pPr>
        <w:spacing w:before="0" w:after="160"/>
        <w:ind w:firstLine="0"/>
        <w:jc w:val="both"/>
      </w:pPr>
      <w:r>
        <w:rPr>
          <w:rFonts w:ascii="Times New Roman" w:hAnsi="Times New Roman"/>
          <w:b w:val="0"/>
          <w:i/>
          <w:sz w:val="24"/>
        </w:rPr>
        <w:t xml:space="preserve">Model extensions. </w:t>
      </w:r>
      <w:r>
        <w:t xml:space="preserve">The model can be extended in several directions. (i) bounded capacity per country, so that grid limits spread training across multiple low-cost producers as discussed above, (ii) stochastic disruptions (grid outages, political instability) that give buyers a reason to split workloads across providers, (iii) heterogeneous demand segmented by latency tolerance, (iv) endogenous electricity prices with upward-sloping supply curves, (v) carbon pricing that introduces a “green premium” for hydropower-rich countries, (vi) strategic interaction among oligopolistic providers, and (vii) governance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1"/>
      </w:pPr>
      <w:r>
        <w:rPr>
          <w:rFonts w:ascii="Times New Roman" w:hAnsi="Times New Roman"/>
          <w:color w:val="2F5496"/>
        </w:rPr>
        <w:t>8. Conclusion</w:t>
      </w:r>
    </w:p>
    <w:p>
      <w:pPr>
        <w:spacing w:before="0" w:after="160"/>
        <w:ind w:firstLine="0"/>
        <w:jc w:val="both"/>
      </w:pPr>
      <w:r>
        <w:t>This paper develops a trade model for computing services (FLOPs) in which countries produce and export computing capacity based on their electricity prices, climate, and construction costs. The paper distinguishes two service types, latency-insensitive training and latency-sensitive inference, and introduces a sovereignty premium to capture governments’ preference for domestic data processing. The paper derives buyers’ optimal sourcing decisions and producers’ entry conditions, and establishes three comparative static results: country-specific sovereignty thresholds, the nesting of training exporters within inference exporters, and greater concentration in training than in inference markets. The paper calibrates the model for 86 countries using data on electricity prices, temperatures, construction costs, bilateral latencies, and data-center-based demand shares.</w:t>
      </w:r>
    </w:p>
    <w:p>
      <w:pPr>
        <w:spacing w:before="0" w:after="160"/>
        <w:ind w:firstLine="0"/>
        <w:jc w:val="both"/>
      </w:pPr>
      <w:r>
        <w:t>Across 86 countries, cheap-energy peripheries serve as FLOP exporters for training, while inference organizes into regional hubs bounded by latency. The sovereignty premium rationalizes widespread domestic investment, shifting the majority of countries from import to domestic production, at a demand-weighted welfare cost of 10.1% of average compute spending. The model generates a country taxonomy (full importers, training exporters, inference hubs, and hybrid regimes) that maps onto observed investment patterns.</w:t>
      </w:r>
    </w:p>
    <w:p>
      <w:pPr>
        <w:spacing w:before="0" w:after="160"/>
        <w:ind w:firstLine="0"/>
        <w:jc w:val="both"/>
      </w:pPr>
      <w:r>
        <w:t>For developing countries, the results point to a new avenue for economic participation in the global economy. Countries like Kyrgyzstan, Uzbekistan, and Egypt, which rank among the cheapest FLOP producers in the calibration, could convert cheap electricity into a high-value digital export without building a domestic AI research ecosystem. FLOP exporting is the digital equivalent of resource-based industrialization, but with the advantage that the “resource” (electricity) is renewable and the product (compute) serves the fastest-growing sector of the world economy.</w:t>
      </w:r>
    </w:p>
    <w:p>
      <w:pPr>
        <w:spacing w:before="0" w:after="160"/>
        <w:ind w:firstLine="0"/>
        <w:jc w:val="both"/>
      </w:pPr>
      <w:r>
        <w:t>The policy implications are asymmetric. Restricting training imports raises costs without a proximity benefit, since training is latency-insensitive. Supporting domestic inference has a genuine latency rationale, but is less justified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pPr>
        <w:spacing w:before="0" w:after="0"/>
      </w:pPr>
      <w:r>
        <w:br w:type="page"/>
      </w:r>
    </w:p>
    <w:p>
      <w:pPr>
        <w:pStyle w:val="Heading1"/>
      </w:pPr>
      <w:r>
        <w:rPr>
          <w:rFonts w:ascii="Times New Roman" w:hAnsi="Times New Roman"/>
          <w:color w:val="2F5496"/>
        </w:rPr>
        <w:t>Appendix</w:t>
      </w:r>
    </w:p>
    <w:p>
      <w:pPr>
        <w:spacing w:before="0" w:after="60"/>
        <w:ind w:firstLine="0"/>
        <w:jc w:val="both"/>
      </w:pPr>
      <w:bookmarkStart w:id="101" w:name="TableA1"/>
      <w:hyperlink w:anchor="TableA1txt" w:history="1">
        <w:r>
          <w:rPr>
            <w:b/>
            <w:sz w:val="20"/>
            <w:color w:val="1F3864"/>
            <w:u w:val="single"/>
          </w:rPr>
          <w:t>Table A1</w:t>
        </w:r>
      </w:hyperlink>
      <w:bookmarkEnd w:id="101"/>
      <w:r>
        <w:rPr>
          <w:b/>
          <w:sz w:val="20"/>
        </w:rPr>
        <w:t>. Unit cost of FLOP production by country (H100 GPU-hour)</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550" w:type="dxa"/>
          </w:tcPr>
          <w:p>
            <w:pPr>
              <w:jc w:val="center"/>
              <w:spacing w:before="10" w:after="10"/>
            </w:pPr>
            <w:r/>
            <w:r>
              <w:rPr>
                <w:b/>
                <w:sz w:val="16"/>
              </w:rPr>
              <w:t>Rank</w:t>
            </w:r>
          </w:p>
        </w:tc>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900" w:type="dxa"/>
          </w:tcPr>
          <w:p>
            <w:pPr>
              <w:jc w:val="center"/>
              <w:spacing w:before="10" w:after="10"/>
            </w:pPr>
            <w:r/>
            <w:r>
              <w:rPr>
                <w:b/>
                <w:sz w:val="16"/>
              </w:rPr>
              <w:t>Total Cost</w:t>
              <w:br/>
              <w:t>($/hr)</w:t>
            </w:r>
          </w:p>
        </w:tc>
        <w:tc>
          <w:tcPr>
            <w:tcBorders>
              <w:top w:val="single" w:sz="4" w:space="0" w:color="auto"/>
              <w:bottom w:val="single" w:sz="4" w:space="0" w:color="auto"/>
            </w:tcBorders>
            <w:tcW w:w="900" w:type="dxa"/>
          </w:tcPr>
          <w:p>
            <w:pPr>
              <w:jc w:val="center"/>
              <w:spacing w:before="10" w:after="10"/>
            </w:pPr>
            <w:r/>
            <w:r>
              <w:rPr>
                <w:b/>
                <w:sz w:val="16"/>
              </w:rPr>
              <w:t>Electricity</w:t>
              <w:br/>
              <w:t>Cost ($/hr)</w:t>
            </w:r>
          </w:p>
        </w:tc>
        <w:tc>
          <w:tcPr>
            <w:tcBorders>
              <w:top w:val="single" w:sz="4" w:space="0" w:color="auto"/>
              <w:bottom w:val="single" w:sz="4" w:space="0" w:color="auto"/>
            </w:tcBorders>
            <w:tcW w:w="900" w:type="dxa"/>
          </w:tcPr>
          <w:p>
            <w:pPr>
              <w:jc w:val="center"/>
              <w:spacing w:before="10" w:after="10"/>
            </w:pPr>
            <w:r/>
            <w:r>
              <w:rPr>
                <w:b/>
                <w:sz w:val="16"/>
              </w:rPr>
              <w:t>Construction</w:t>
              <w:br/>
              <w:t>Cost ($/hr)</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850" w:type="dxa"/>
          </w:tcPr>
          <w:p>
            <w:pPr>
              <w:jc w:val="center"/>
              <w:spacing w:before="10" w:after="10"/>
            </w:pPr>
            <w:r/>
            <w:r>
              <w:rPr>
                <w:b/>
                <w:sz w:val="16"/>
              </w:rPr>
              <w:t>Elec. Price</w:t>
              <w:br/>
              <w:t>($/kWh)</w:t>
            </w:r>
          </w:p>
        </w:tc>
        <w:tc>
          <w:tcPr>
            <w:tcBorders>
              <w:top w:val="single" w:sz="4" w:space="0" w:color="auto"/>
              <w:bottom w:val="single" w:sz="4" w:space="0" w:color="auto"/>
            </w:tcBorders>
            <w:tcW w:w="750" w:type="dxa"/>
          </w:tcPr>
          <w:p>
            <w:pPr>
              <w:jc w:val="center"/>
              <w:spacing w:before="10" w:after="10"/>
            </w:pPr>
            <w:r/>
            <w:r>
              <w:rPr>
                <w:b/>
                <w:sz w:val="16"/>
              </w:rPr>
              <w:t>Cost-Recov.</w:t>
              <w:br/>
              <w:t>Price ($/kWh)</w:t>
            </w:r>
          </w:p>
        </w:tc>
        <w:tc>
          <w:tcPr>
            <w:tcBorders>
              <w:top w:val="single" w:sz="4" w:space="0" w:color="auto"/>
              <w:bottom w:val="single" w:sz="4" w:space="0" w:color="auto"/>
            </w:tcBorders>
            <w:tcW w:w="750" w:type="dxa"/>
          </w:tcPr>
          <w:p>
            <w:pPr>
              <w:jc w:val="center"/>
              <w:spacing w:before="10" w:after="10"/>
            </w:pPr>
            <w:r/>
            <w:r>
              <w:rPr>
                <w:b/>
                <w:sz w:val="16"/>
              </w:rPr>
              <w:t>Pure-Cost</w:t>
              <w:br/>
              <w:t>Regime</w:t>
            </w:r>
          </w:p>
        </w:tc>
      </w:tr>
      <w:tr>
        <w:tc>
          <w:tcPr>
            <w:tcW w:w="550" w:type="dxa"/>
          </w:tcPr>
          <w:p>
            <w:pPr>
              <w:spacing w:before="10" w:after="10"/>
            </w:pPr>
            <w:r/>
            <w:r>
              <w:rPr>
                <w:sz w:val="16"/>
              </w:rPr>
              <w:t>2(18)</w:t>
            </w:r>
          </w:p>
        </w:tc>
        <w:tc>
          <w:tcPr>
            <w:tcW w:w="1500" w:type="dxa"/>
          </w:tcPr>
          <w:p>
            <w:pPr>
              <w:spacing w:before="10" w:after="10"/>
            </w:pPr>
            <w:r/>
            <w:r>
              <w:rPr>
                <w:sz w:val="16"/>
              </w:rPr>
              <w:t>Turkmenistan</w:t>
            </w:r>
          </w:p>
        </w:tc>
        <w:tc>
          <w:tcPr>
            <w:tcW w:w="900" w:type="dxa"/>
          </w:tcPr>
          <w:p>
            <w:pPr>
              <w:jc w:val="right"/>
              <w:spacing w:before="10" w:after="10"/>
            </w:pPr>
            <w:r/>
            <w:r>
              <w:rPr>
                <w:sz w:val="16"/>
              </w:rPr>
              <w:t>$1.11</w:t>
            </w:r>
          </w:p>
        </w:tc>
        <w:tc>
          <w:tcPr>
            <w:tcW w:w="900" w:type="dxa"/>
          </w:tcPr>
          <w:p>
            <w:pPr>
              <w:jc w:val="right"/>
              <w:spacing w:before="10" w:after="10"/>
            </w:pPr>
            <w:r/>
            <w:r>
              <w:rPr>
                <w:sz w:val="16"/>
              </w:rPr>
              <w:t>$0.009</w:t>
            </w:r>
          </w:p>
        </w:tc>
        <w:tc>
          <w:tcPr>
            <w:tcW w:w="900" w:type="dxa"/>
          </w:tcPr>
          <w:p>
            <w:pPr>
              <w:jc w:val="right"/>
              <w:spacing w:before="10" w:after="10"/>
            </w:pPr>
            <w:r/>
            <w:r>
              <w:rPr>
                <w:sz w:val="16"/>
              </w:rPr>
              <w:t>$0.048</w:t>
            </w:r>
          </w:p>
        </w:tc>
        <w:tc>
          <w:tcPr>
            <w:tcW w:w="500" w:type="dxa"/>
          </w:tcPr>
          <w:p>
            <w:pPr>
              <w:jc w:val="right"/>
              <w:spacing w:before="10" w:after="10"/>
            </w:pPr>
            <w:r/>
            <w:r>
              <w:rPr>
                <w:sz w:val="16"/>
              </w:rPr>
              <w:t>1.34</w:t>
            </w:r>
          </w:p>
        </w:tc>
        <w:tc>
          <w:tcPr>
            <w:tcW w:w="850" w:type="dxa"/>
          </w:tcPr>
          <w:p>
            <w:pPr>
              <w:jc w:val="right"/>
              <w:spacing w:before="10" w:after="10"/>
            </w:pPr>
            <w:r/>
            <w:r>
              <w:rPr>
                <w:sz w:val="16"/>
              </w:rPr>
              <w:t>$0.010</w:t>
            </w:r>
          </w:p>
        </w:tc>
        <w:tc>
          <w:tcPr>
            <w:tcW w:w="750" w:type="dxa"/>
          </w:tcPr>
          <w:p>
            <w:pPr>
              <w:jc w:val="right"/>
              <w:spacing w:before="10" w:after="10"/>
            </w:pPr>
            <w:r/>
            <w:r>
              <w:rPr>
                <w:sz w:val="16"/>
              </w:rPr>
              <w:t>$0.070</w:t>
            </w:r>
          </w:p>
        </w:tc>
        <w:tc>
          <w:tcPr>
            <w:tcW w:w="750" w:type="dxa"/>
          </w:tcPr>
          <w:p>
            <w:pPr>
              <w:spacing w:before="10" w:after="10"/>
            </w:pPr>
            <w:r/>
            <w:r>
              <w:rPr>
                <w:sz w:val="16"/>
              </w:rPr>
              <w:t>hybrid</w:t>
            </w:r>
          </w:p>
        </w:tc>
      </w:tr>
      <w:tr>
        <w:tc>
          <w:tcPr>
            <w:tcW w:w="550" w:type="dxa"/>
          </w:tcPr>
          <w:p>
            <w:pPr>
              <w:spacing w:before="10" w:after="10"/>
            </w:pPr>
            <w:r/>
            <w:r>
              <w:rPr>
                <w:sz w:val="16"/>
              </w:rPr>
              <w:t>3(1)</w:t>
            </w:r>
          </w:p>
        </w:tc>
        <w:tc>
          <w:tcPr>
            <w:tcW w:w="1500" w:type="dxa"/>
          </w:tcPr>
          <w:p>
            <w:pPr>
              <w:spacing w:before="10" w:after="10"/>
            </w:pPr>
            <w:r/>
            <w:r>
              <w:rPr>
                <w:sz w:val="16"/>
              </w:rPr>
              <w:t>Kyrgyzstan</w:t>
            </w:r>
          </w:p>
        </w:tc>
        <w:tc>
          <w:tcPr>
            <w:tcW w:w="900" w:type="dxa"/>
          </w:tcPr>
          <w:p>
            <w:pPr>
              <w:jc w:val="right"/>
              <w:spacing w:before="10" w:after="10"/>
            </w:pPr>
            <w:r/>
            <w:r>
              <w:rPr>
                <w:sz w:val="16"/>
              </w:rPr>
              <w:t>$1.13</w:t>
            </w:r>
          </w:p>
        </w:tc>
        <w:tc>
          <w:tcPr>
            <w:tcW w:w="900" w:type="dxa"/>
          </w:tcPr>
          <w:p>
            <w:pPr>
              <w:jc w:val="right"/>
              <w:spacing w:before="10" w:after="10"/>
            </w:pPr>
            <w:r/>
            <w:r>
              <w:rPr>
                <w:sz w:val="16"/>
              </w:rPr>
              <w:t>$0.029</w:t>
            </w:r>
          </w:p>
        </w:tc>
        <w:tc>
          <w:tcPr>
            <w:tcW w:w="900" w:type="dxa"/>
          </w:tcPr>
          <w:p>
            <w:pPr>
              <w:jc w:val="right"/>
              <w:spacing w:before="10" w:after="10"/>
            </w:pPr>
            <w:r/>
            <w:r>
              <w:rPr>
                <w:sz w:val="16"/>
              </w:rPr>
              <w:t>$0.040</w:t>
            </w:r>
          </w:p>
        </w:tc>
        <w:tc>
          <w:tcPr>
            <w:tcW w:w="500" w:type="dxa"/>
          </w:tcPr>
          <w:p>
            <w:pPr>
              <w:jc w:val="right"/>
              <w:spacing w:before="10" w:after="10"/>
            </w:pPr>
            <w:r/>
            <w:r>
              <w:rPr>
                <w:sz w:val="16"/>
              </w:rPr>
              <w:t>1.08</w:t>
            </w:r>
          </w:p>
        </w:tc>
        <w:tc>
          <w:tcPr>
            <w:tcW w:w="850" w:type="dxa"/>
          </w:tcPr>
          <w:p>
            <w:pPr>
              <w:jc w:val="right"/>
              <w:spacing w:before="10" w:after="10"/>
            </w:pPr>
            <w:r/>
            <w:r>
              <w:rPr>
                <w:sz w:val="16"/>
              </w:rPr>
              <w:t>$0.038</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8(11)</w:t>
            </w:r>
          </w:p>
        </w:tc>
        <w:tc>
          <w:tcPr>
            <w:tcW w:w="1500" w:type="dxa"/>
          </w:tcPr>
          <w:p>
            <w:pPr>
              <w:spacing w:before="10" w:after="10"/>
            </w:pPr>
            <w:r/>
            <w:r>
              <w:rPr>
                <w:sz w:val="16"/>
              </w:rPr>
              <w:t>Russia</w:t>
            </w:r>
          </w:p>
        </w:tc>
        <w:tc>
          <w:tcPr>
            <w:tcW w:w="900" w:type="dxa"/>
          </w:tcPr>
          <w:p>
            <w:pPr>
              <w:jc w:val="right"/>
              <w:spacing w:before="10" w:after="10"/>
            </w:pPr>
            <w:r/>
            <w:r>
              <w:rPr>
                <w:sz w:val="16"/>
              </w:rPr>
              <w:t>$1.14</w:t>
            </w:r>
          </w:p>
        </w:tc>
        <w:tc>
          <w:tcPr>
            <w:tcW w:w="900" w:type="dxa"/>
          </w:tcPr>
          <w:p>
            <w:pPr>
              <w:jc w:val="right"/>
              <w:spacing w:before="10" w:after="10"/>
            </w:pPr>
            <w:r/>
            <w:r>
              <w:rPr>
                <w:sz w:val="16"/>
              </w:rPr>
              <w:t>$0.031</w:t>
            </w:r>
          </w:p>
        </w:tc>
        <w:tc>
          <w:tcPr>
            <w:tcW w:w="900" w:type="dxa"/>
          </w:tcPr>
          <w:p>
            <w:pPr>
              <w:jc w:val="right"/>
              <w:spacing w:before="10" w:after="10"/>
            </w:pPr>
            <w:r/>
            <w:r>
              <w:rPr>
                <w:sz w:val="16"/>
              </w:rPr>
              <w:t>$0.053</w:t>
            </w:r>
          </w:p>
        </w:tc>
        <w:tc>
          <w:tcPr>
            <w:tcW w:w="500" w:type="dxa"/>
          </w:tcPr>
          <w:p>
            <w:pPr>
              <w:jc w:val="right"/>
              <w:spacing w:before="10" w:after="10"/>
            </w:pPr>
            <w:r/>
            <w:r>
              <w:rPr>
                <w:sz w:val="16"/>
              </w:rPr>
              <w:t>1.11</w:t>
            </w:r>
          </w:p>
        </w:tc>
        <w:tc>
          <w:tcPr>
            <w:tcW w:w="850" w:type="dxa"/>
          </w:tcPr>
          <w:p>
            <w:pPr>
              <w:jc w:val="right"/>
              <w:spacing w:before="10" w:after="10"/>
            </w:pPr>
            <w:r/>
            <w:r>
              <w:rPr>
                <w:sz w:val="16"/>
              </w:rPr>
              <w:t>$0.040</w:t>
            </w:r>
          </w:p>
        </w:tc>
        <w:tc>
          <w:tcPr>
            <w:tcW w:w="750" w:type="dxa"/>
          </w:tcPr>
          <w:p>
            <w:pPr>
              <w:jc w:val="right"/>
              <w:spacing w:before="10" w:after="10"/>
            </w:pPr>
            <w:r/>
            <w:r>
              <w:rPr>
                <w:sz w:val="16"/>
              </w:rPr>
              <w:t>$0.065</w:t>
            </w:r>
          </w:p>
        </w:tc>
        <w:tc>
          <w:tcPr>
            <w:tcW w:w="750" w:type="dxa"/>
          </w:tcPr>
          <w:p>
            <w:pPr>
              <w:spacing w:before="10" w:after="10"/>
            </w:pPr>
            <w:r/>
            <w:r>
              <w:rPr>
                <w:sz w:val="16"/>
              </w:rPr>
              <w:t>hybrid</w:t>
            </w:r>
          </w:p>
        </w:tc>
      </w:tr>
      <w:tr>
        <w:tc>
          <w:tcPr>
            <w:tcW w:w="550" w:type="dxa"/>
          </w:tcPr>
          <w:p>
            <w:pPr>
              <w:spacing w:before="10" w:after="10"/>
            </w:pPr>
            <w:r/>
            <w:r>
              <w:rPr>
                <w:sz w:val="16"/>
              </w:rPr>
              <w:t>9(3)</w:t>
            </w:r>
          </w:p>
        </w:tc>
        <w:tc>
          <w:tcPr>
            <w:tcW w:w="1500" w:type="dxa"/>
          </w:tcPr>
          <w:p>
            <w:pPr>
              <w:spacing w:before="10" w:after="10"/>
            </w:pPr>
            <w:r/>
            <w:r>
              <w:rPr>
                <w:sz w:val="16"/>
              </w:rPr>
              <w:t>Kosovo</w:t>
            </w:r>
          </w:p>
        </w:tc>
        <w:tc>
          <w:tcPr>
            <w:tcW w:w="900" w:type="dxa"/>
          </w:tcPr>
          <w:p>
            <w:pPr>
              <w:jc w:val="right"/>
              <w:spacing w:before="10" w:after="10"/>
            </w:pPr>
            <w:r/>
            <w:r>
              <w:rPr>
                <w:sz w:val="16"/>
              </w:rPr>
              <w:t>$1.14</w:t>
            </w:r>
          </w:p>
        </w:tc>
        <w:tc>
          <w:tcPr>
            <w:tcW w:w="900" w:type="dxa"/>
          </w:tcPr>
          <w:p>
            <w:pPr>
              <w:jc w:val="right"/>
              <w:spacing w:before="10" w:after="10"/>
            </w:pPr>
            <w:r/>
            <w:r>
              <w:rPr>
                <w:sz w:val="16"/>
              </w:rPr>
              <w:t>$0.038</w:t>
            </w:r>
          </w:p>
        </w:tc>
        <w:tc>
          <w:tcPr>
            <w:tcW w:w="900" w:type="dxa"/>
          </w:tcPr>
          <w:p>
            <w:pPr>
              <w:jc w:val="right"/>
              <w:spacing w:before="10" w:after="10"/>
            </w:pPr>
            <w:r/>
            <w:r>
              <w:rPr>
                <w:sz w:val="16"/>
              </w:rPr>
              <w:t>$0.047</w:t>
            </w:r>
          </w:p>
        </w:tc>
        <w:tc>
          <w:tcPr>
            <w:tcW w:w="500" w:type="dxa"/>
          </w:tcPr>
          <w:p>
            <w:pPr>
              <w:jc w:val="right"/>
              <w:spacing w:before="10" w:after="10"/>
            </w:pPr>
            <w:r/>
            <w:r>
              <w:rPr>
                <w:sz w:val="16"/>
              </w:rPr>
              <w:t>1.17</w:t>
            </w:r>
          </w:p>
        </w:tc>
        <w:tc>
          <w:tcPr>
            <w:tcW w:w="850" w:type="dxa"/>
          </w:tcPr>
          <w:p>
            <w:pPr>
              <w:jc w:val="right"/>
              <w:spacing w:before="10" w:after="10"/>
            </w:pPr>
            <w:r/>
            <w:r>
              <w:rPr>
                <w:sz w:val="16"/>
              </w:rPr>
              <w:t>$0.047</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11(5)</w:t>
            </w:r>
          </w:p>
        </w:tc>
        <w:tc>
          <w:tcPr>
            <w:tcW w:w="1500" w:type="dxa"/>
          </w:tcPr>
          <w:p>
            <w:pPr>
              <w:spacing w:before="10" w:after="10"/>
            </w:pPr>
            <w:r/>
            <w:r>
              <w:rPr>
                <w:sz w:val="16"/>
              </w:rPr>
              <w:t>Ukraine</w:t>
            </w:r>
          </w:p>
        </w:tc>
        <w:tc>
          <w:tcPr>
            <w:tcW w:w="900" w:type="dxa"/>
          </w:tcPr>
          <w:p>
            <w:pPr>
              <w:jc w:val="right"/>
              <w:spacing w:before="10" w:after="10"/>
            </w:pPr>
            <w:r/>
            <w:r>
              <w:rPr>
                <w:sz w:val="16"/>
              </w:rPr>
              <w:t>$1.15</w:t>
            </w:r>
          </w:p>
        </w:tc>
        <w:tc>
          <w:tcPr>
            <w:tcW w:w="900" w:type="dxa"/>
          </w:tcPr>
          <w:p>
            <w:pPr>
              <w:jc w:val="right"/>
              <w:spacing w:before="10" w:after="10"/>
            </w:pPr>
            <w:r/>
            <w:r>
              <w:rPr>
                <w:sz w:val="16"/>
              </w:rPr>
              <w:t>$0.047</w:t>
            </w:r>
          </w:p>
        </w:tc>
        <w:tc>
          <w:tcPr>
            <w:tcW w:w="900" w:type="dxa"/>
          </w:tcPr>
          <w:p>
            <w:pPr>
              <w:jc w:val="right"/>
              <w:spacing w:before="10" w:after="10"/>
            </w:pPr>
            <w:r/>
            <w:r>
              <w:rPr>
                <w:sz w:val="16"/>
              </w:rPr>
              <w:t>$0.046</w:t>
            </w:r>
          </w:p>
        </w:tc>
        <w:tc>
          <w:tcPr>
            <w:tcW w:w="500" w:type="dxa"/>
          </w:tcPr>
          <w:p>
            <w:pPr>
              <w:jc w:val="right"/>
              <w:spacing w:before="10" w:after="10"/>
            </w:pPr>
            <w:r/>
            <w:r>
              <w:rPr>
                <w:sz w:val="16"/>
              </w:rPr>
              <w:t>1.19</w:t>
            </w:r>
          </w:p>
        </w:tc>
        <w:tc>
          <w:tcPr>
            <w:tcW w:w="850" w:type="dxa"/>
          </w:tcPr>
          <w:p>
            <w:pPr>
              <w:jc w:val="right"/>
              <w:spacing w:before="10" w:after="10"/>
            </w:pPr>
            <w:r/>
            <w:r>
              <w:rPr>
                <w:sz w:val="16"/>
              </w:rPr>
              <w:t>$0.057</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12(6)</w:t>
            </w:r>
          </w:p>
        </w:tc>
        <w:tc>
          <w:tcPr>
            <w:tcW w:w="1500" w:type="dxa"/>
          </w:tcPr>
          <w:p>
            <w:pPr>
              <w:spacing w:before="10" w:after="10"/>
            </w:pPr>
            <w:r/>
            <w:r>
              <w:rPr>
                <w:sz w:val="16"/>
              </w:rPr>
              <w:t>Tajikistan</w:t>
            </w:r>
          </w:p>
        </w:tc>
        <w:tc>
          <w:tcPr>
            <w:tcW w:w="900" w:type="dxa"/>
          </w:tcPr>
          <w:p>
            <w:pPr>
              <w:jc w:val="right"/>
              <w:spacing w:before="10" w:after="10"/>
            </w:pPr>
            <w:r/>
            <w:r>
              <w:rPr>
                <w:sz w:val="16"/>
              </w:rPr>
              <w:t>$1.15</w:t>
            </w:r>
          </w:p>
        </w:tc>
        <w:tc>
          <w:tcPr>
            <w:tcW w:w="900" w:type="dxa"/>
          </w:tcPr>
          <w:p>
            <w:pPr>
              <w:jc w:val="right"/>
              <w:spacing w:before="10" w:after="10"/>
            </w:pPr>
            <w:r/>
            <w:r>
              <w:rPr>
                <w:sz w:val="16"/>
              </w:rPr>
              <w:t>$0.057</w:t>
            </w:r>
          </w:p>
        </w:tc>
        <w:tc>
          <w:tcPr>
            <w:tcW w:w="900" w:type="dxa"/>
          </w:tcPr>
          <w:p>
            <w:pPr>
              <w:jc w:val="right"/>
              <w:spacing w:before="10" w:after="10"/>
            </w:pPr>
            <w:r/>
            <w:r>
              <w:rPr>
                <w:sz w:val="16"/>
              </w:rPr>
              <w:t>$0.037</w:t>
            </w:r>
          </w:p>
        </w:tc>
        <w:tc>
          <w:tcPr>
            <w:tcW w:w="500" w:type="dxa"/>
          </w:tcPr>
          <w:p>
            <w:pPr>
              <w:jc w:val="right"/>
              <w:spacing w:before="10" w:after="10"/>
            </w:pPr>
            <w:r/>
            <w:r>
              <w:rPr>
                <w:sz w:val="16"/>
              </w:rPr>
              <w:t>1.11</w:t>
            </w:r>
          </w:p>
        </w:tc>
        <w:tc>
          <w:tcPr>
            <w:tcW w:w="850" w:type="dxa"/>
          </w:tcPr>
          <w:p>
            <w:pPr>
              <w:jc w:val="right"/>
              <w:spacing w:before="10" w:after="10"/>
            </w:pPr>
            <w:r/>
            <w:r>
              <w:rPr>
                <w:sz w:val="16"/>
              </w:rPr>
              <w:t>$0.074</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14(7)</w:t>
            </w:r>
          </w:p>
        </w:tc>
        <w:tc>
          <w:tcPr>
            <w:tcW w:w="1500" w:type="dxa"/>
          </w:tcPr>
          <w:p>
            <w:pPr>
              <w:spacing w:before="10" w:after="10"/>
            </w:pPr>
            <w:r/>
            <w:r>
              <w:rPr>
                <w:sz w:val="16"/>
              </w:rPr>
              <w:t>Montenegro</w:t>
            </w:r>
          </w:p>
        </w:tc>
        <w:tc>
          <w:tcPr>
            <w:tcW w:w="900" w:type="dxa"/>
          </w:tcPr>
          <w:p>
            <w:pPr>
              <w:jc w:val="right"/>
              <w:spacing w:before="10" w:after="10"/>
            </w:pPr>
            <w:r/>
            <w:r>
              <w:rPr>
                <w:sz w:val="16"/>
              </w:rPr>
              <w:t>$1.15</w:t>
            </w:r>
          </w:p>
        </w:tc>
        <w:tc>
          <w:tcPr>
            <w:tcW w:w="900" w:type="dxa"/>
          </w:tcPr>
          <w:p>
            <w:pPr>
              <w:jc w:val="right"/>
              <w:spacing w:before="10" w:after="10"/>
            </w:pPr>
            <w:r/>
            <w:r>
              <w:rPr>
                <w:sz w:val="16"/>
              </w:rPr>
              <w:t>$0.042</w:t>
            </w:r>
          </w:p>
        </w:tc>
        <w:tc>
          <w:tcPr>
            <w:tcW w:w="900" w:type="dxa"/>
          </w:tcPr>
          <w:p>
            <w:pPr>
              <w:jc w:val="right"/>
              <w:spacing w:before="10" w:after="10"/>
            </w:pPr>
            <w:r/>
            <w:r>
              <w:rPr>
                <w:sz w:val="16"/>
              </w:rPr>
              <w:t>$0.054</w:t>
            </w:r>
          </w:p>
        </w:tc>
        <w:tc>
          <w:tcPr>
            <w:tcW w:w="500" w:type="dxa"/>
          </w:tcPr>
          <w:p>
            <w:pPr>
              <w:jc w:val="right"/>
              <w:spacing w:before="10" w:after="10"/>
            </w:pPr>
            <w:r/>
            <w:r>
              <w:rPr>
                <w:sz w:val="16"/>
              </w:rPr>
              <w:t>1.18</w:t>
            </w:r>
          </w:p>
        </w:tc>
        <w:tc>
          <w:tcPr>
            <w:tcW w:w="850" w:type="dxa"/>
          </w:tcPr>
          <w:p>
            <w:pPr>
              <w:jc w:val="right"/>
              <w:spacing w:before="10" w:after="10"/>
            </w:pPr>
            <w:r/>
            <w:r>
              <w:rPr>
                <w:sz w:val="16"/>
              </w:rPr>
              <w:t>$0.051</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18(10)</w:t>
            </w:r>
          </w:p>
        </w:tc>
        <w:tc>
          <w:tcPr>
            <w:tcW w:w="1500" w:type="dxa"/>
          </w:tcPr>
          <w:p>
            <w:pPr>
              <w:spacing w:before="10" w:after="10"/>
            </w:pPr>
            <w:r/>
            <w:r>
              <w:rPr>
                <w:sz w:val="16"/>
              </w:rPr>
              <w:t>Azerbaijan</w:t>
            </w:r>
          </w:p>
        </w:tc>
        <w:tc>
          <w:tcPr>
            <w:tcW w:w="900" w:type="dxa"/>
          </w:tcPr>
          <w:p>
            <w:pPr>
              <w:jc w:val="right"/>
              <w:spacing w:before="10" w:after="10"/>
            </w:pPr>
            <w:r/>
            <w:r>
              <w:rPr>
                <w:sz w:val="16"/>
              </w:rPr>
              <w:t>$1.16</w:t>
            </w:r>
          </w:p>
        </w:tc>
        <w:tc>
          <w:tcPr>
            <w:tcW w:w="900" w:type="dxa"/>
          </w:tcPr>
          <w:p>
            <w:pPr>
              <w:jc w:val="right"/>
              <w:spacing w:before="10" w:after="10"/>
            </w:pPr>
            <w:r/>
            <w:r>
              <w:rPr>
                <w:sz w:val="16"/>
              </w:rPr>
              <w:t>$0.053</w:t>
            </w:r>
          </w:p>
        </w:tc>
        <w:tc>
          <w:tcPr>
            <w:tcW w:w="900" w:type="dxa"/>
          </w:tcPr>
          <w:p>
            <w:pPr>
              <w:jc w:val="right"/>
              <w:spacing w:before="10" w:after="10"/>
            </w:pPr>
            <w:r/>
            <w:r>
              <w:rPr>
                <w:sz w:val="16"/>
              </w:rPr>
              <w:t>$0.049</w:t>
            </w:r>
          </w:p>
        </w:tc>
        <w:tc>
          <w:tcPr>
            <w:tcW w:w="500" w:type="dxa"/>
          </w:tcPr>
          <w:p>
            <w:pPr>
              <w:jc w:val="right"/>
              <w:spacing w:before="10" w:after="10"/>
            </w:pPr>
            <w:r/>
            <w:r>
              <w:rPr>
                <w:sz w:val="16"/>
              </w:rPr>
              <w:t>1.22</w:t>
            </w:r>
          </w:p>
        </w:tc>
        <w:tc>
          <w:tcPr>
            <w:tcW w:w="850" w:type="dxa"/>
          </w:tcPr>
          <w:p>
            <w:pPr>
              <w:jc w:val="right"/>
              <w:spacing w:before="10" w:after="10"/>
            </w:pPr>
            <w:r/>
            <w:r>
              <w:rPr>
                <w:sz w:val="16"/>
              </w:rPr>
              <w:t>$0.062</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21(25)</w:t>
            </w:r>
          </w:p>
        </w:tc>
        <w:tc>
          <w:tcPr>
            <w:tcW w:w="1500" w:type="dxa"/>
          </w:tcPr>
          <w:p>
            <w:pPr>
              <w:spacing w:before="10" w:after="10"/>
            </w:pPr>
            <w:r/>
            <w:r>
              <w:rPr>
                <w:sz w:val="16"/>
              </w:rPr>
              <w:t>Uzbekistan</w:t>
            </w:r>
          </w:p>
        </w:tc>
        <w:tc>
          <w:tcPr>
            <w:tcW w:w="900" w:type="dxa"/>
          </w:tcPr>
          <w:p>
            <w:pPr>
              <w:jc w:val="right"/>
              <w:spacing w:before="10" w:after="10"/>
            </w:pPr>
            <w:r/>
            <w:r>
              <w:rPr>
                <w:sz w:val="16"/>
              </w:rPr>
              <w:t>$1.16</w:t>
            </w:r>
          </w:p>
        </w:tc>
        <w:tc>
          <w:tcPr>
            <w:tcW w:w="900" w:type="dxa"/>
          </w:tcPr>
          <w:p>
            <w:pPr>
              <w:jc w:val="right"/>
              <w:spacing w:before="10" w:after="10"/>
            </w:pPr>
            <w:r/>
            <w:r>
              <w:rPr>
                <w:sz w:val="16"/>
              </w:rPr>
              <w:t>$0.065</w:t>
            </w:r>
          </w:p>
        </w:tc>
        <w:tc>
          <w:tcPr>
            <w:tcW w:w="900" w:type="dxa"/>
          </w:tcPr>
          <w:p>
            <w:pPr>
              <w:jc w:val="right"/>
              <w:spacing w:before="10" w:after="10"/>
            </w:pPr>
            <w:r/>
            <w:r>
              <w:rPr>
                <w:sz w:val="16"/>
              </w:rPr>
              <w:t>$0.042</w:t>
            </w:r>
          </w:p>
        </w:tc>
        <w:tc>
          <w:tcPr>
            <w:tcW w:w="500" w:type="dxa"/>
          </w:tcPr>
          <w:p>
            <w:pPr>
              <w:jc w:val="right"/>
              <w:spacing w:before="10" w:after="10"/>
            </w:pPr>
            <w:r/>
            <w:r>
              <w:rPr>
                <w:sz w:val="16"/>
              </w:rPr>
              <w:t>1.30</w:t>
            </w:r>
          </w:p>
        </w:tc>
        <w:tc>
          <w:tcPr>
            <w:tcW w:w="850" w:type="dxa"/>
          </w:tcPr>
          <w:p>
            <w:pPr>
              <w:jc w:val="right"/>
              <w:spacing w:before="10" w:after="10"/>
            </w:pPr>
            <w:r/>
            <w:r>
              <w:rPr>
                <w:sz w:val="16"/>
              </w:rPr>
              <w:t>$0.071</w:t>
            </w:r>
          </w:p>
        </w:tc>
        <w:tc>
          <w:tcPr>
            <w:tcW w:w="750" w:type="dxa"/>
          </w:tcPr>
          <w:p>
            <w:pPr>
              <w:jc w:val="right"/>
              <w:spacing w:before="10" w:after="10"/>
            </w:pPr>
            <w:r/>
            <w:r>
              <w:rPr>
                <w:sz w:val="16"/>
              </w:rPr>
              <w:t>$0.090</w:t>
            </w:r>
          </w:p>
        </w:tc>
        <w:tc>
          <w:tcPr>
            <w:tcW w:w="750" w:type="dxa"/>
          </w:tcPr>
          <w:p>
            <w:pPr>
              <w:spacing w:before="10" w:after="10"/>
            </w:pPr>
            <w:r/>
            <w:r>
              <w:rPr>
                <w:sz w:val="16"/>
              </w:rPr>
              <w:t>import</w:t>
            </w:r>
          </w:p>
        </w:tc>
      </w:tr>
      <w:tr>
        <w:tc>
          <w:tcPr>
            <w:tcW w:w="550" w:type="dxa"/>
          </w:tcPr>
          <w:p>
            <w:pPr>
              <w:spacing w:before="10" w:after="10"/>
            </w:pPr>
            <w:r/>
            <w:r>
              <w:rPr>
                <w:sz w:val="16"/>
              </w:rPr>
              <w:t>23(27)</w:t>
            </w:r>
          </w:p>
        </w:tc>
        <w:tc>
          <w:tcPr>
            <w:tcW w:w="1500" w:type="dxa"/>
          </w:tcPr>
          <w:p>
            <w:pPr>
              <w:spacing w:before="10" w:after="10"/>
            </w:pPr>
            <w:r/>
            <w:r>
              <w:rPr>
                <w:sz w:val="16"/>
              </w:rPr>
              <w:t>Kazakhstan</w:t>
            </w:r>
          </w:p>
        </w:tc>
        <w:tc>
          <w:tcPr>
            <w:tcW w:w="900" w:type="dxa"/>
          </w:tcPr>
          <w:p>
            <w:pPr>
              <w:jc w:val="right"/>
              <w:spacing w:before="10" w:after="10"/>
            </w:pPr>
            <w:r/>
            <w:r>
              <w:rPr>
                <w:sz w:val="16"/>
              </w:rPr>
              <w:t>$1.17</w:t>
            </w:r>
          </w:p>
        </w:tc>
        <w:tc>
          <w:tcPr>
            <w:tcW w:w="900" w:type="dxa"/>
          </w:tcPr>
          <w:p>
            <w:pPr>
              <w:jc w:val="right"/>
              <w:spacing w:before="10" w:after="10"/>
            </w:pPr>
            <w:r/>
            <w:r>
              <w:rPr>
                <w:sz w:val="16"/>
              </w:rPr>
              <w:t>$0.057</w:t>
            </w:r>
          </w:p>
        </w:tc>
        <w:tc>
          <w:tcPr>
            <w:tcW w:w="900" w:type="dxa"/>
          </w:tcPr>
          <w:p>
            <w:pPr>
              <w:jc w:val="right"/>
              <w:spacing w:before="10" w:after="10"/>
            </w:pPr>
            <w:r/>
            <w:r>
              <w:rPr>
                <w:sz w:val="16"/>
              </w:rPr>
              <w:t>$0.053</w:t>
            </w:r>
          </w:p>
        </w:tc>
        <w:tc>
          <w:tcPr>
            <w:tcW w:w="500" w:type="dxa"/>
          </w:tcPr>
          <w:p>
            <w:pPr>
              <w:jc w:val="right"/>
              <w:spacing w:before="10" w:after="10"/>
            </w:pPr>
            <w:r/>
            <w:r>
              <w:rPr>
                <w:sz w:val="16"/>
              </w:rPr>
              <w:t>1.23</w:t>
            </w:r>
          </w:p>
        </w:tc>
        <w:tc>
          <w:tcPr>
            <w:tcW w:w="850" w:type="dxa"/>
          </w:tcPr>
          <w:p>
            <w:pPr>
              <w:jc w:val="right"/>
              <w:spacing w:before="10" w:after="10"/>
            </w:pPr>
            <w:r/>
            <w:r>
              <w:rPr>
                <w:sz w:val="16"/>
              </w:rPr>
              <w:t>$0.066</w:t>
            </w:r>
          </w:p>
        </w:tc>
        <w:tc>
          <w:tcPr>
            <w:tcW w:w="750" w:type="dxa"/>
          </w:tcPr>
          <w:p>
            <w:pPr>
              <w:jc w:val="right"/>
              <w:spacing w:before="10" w:after="10"/>
            </w:pPr>
            <w:r/>
            <w:r>
              <w:rPr>
                <w:sz w:val="16"/>
              </w:rPr>
              <w:t>$0.085</w:t>
            </w:r>
          </w:p>
        </w:tc>
        <w:tc>
          <w:tcPr>
            <w:tcW w:w="750" w:type="dxa"/>
          </w:tcPr>
          <w:p>
            <w:pPr>
              <w:spacing w:before="10" w:after="10"/>
            </w:pPr>
            <w:r/>
            <w:r>
              <w:rPr>
                <w:sz w:val="16"/>
              </w:rPr>
              <w:t>import</w:t>
            </w:r>
          </w:p>
        </w:tc>
      </w:tr>
      <w:tr>
        <w:tc>
          <w:tcPr>
            <w:tcW w:w="550" w:type="dxa"/>
          </w:tcPr>
          <w:p>
            <w:pPr>
              <w:spacing w:before="10" w:after="10"/>
            </w:pPr>
            <w:r/>
            <w:r>
              <w:rPr>
                <w:sz w:val="16"/>
              </w:rPr>
              <w:t>31(24)</w:t>
            </w:r>
          </w:p>
        </w:tc>
        <w:tc>
          <w:tcPr>
            <w:tcW w:w="1500" w:type="dxa"/>
          </w:tcPr>
          <w:p>
            <w:pPr>
              <w:spacing w:before="10" w:after="10"/>
            </w:pPr>
            <w:r/>
            <w:r>
              <w:rPr>
                <w:sz w:val="16"/>
              </w:rPr>
              <w:t>Georgia</w:t>
            </w:r>
          </w:p>
        </w:tc>
        <w:tc>
          <w:tcPr>
            <w:tcW w:w="900" w:type="dxa"/>
          </w:tcPr>
          <w:p>
            <w:pPr>
              <w:jc w:val="right"/>
              <w:spacing w:before="10" w:after="10"/>
            </w:pPr>
            <w:r/>
            <w:r>
              <w:rPr>
                <w:sz w:val="16"/>
              </w:rPr>
              <w:t>$1.18</w:t>
            </w:r>
          </w:p>
        </w:tc>
        <w:tc>
          <w:tcPr>
            <w:tcW w:w="900" w:type="dxa"/>
          </w:tcPr>
          <w:p>
            <w:pPr>
              <w:jc w:val="right"/>
              <w:spacing w:before="10" w:after="10"/>
            </w:pPr>
            <w:r/>
            <w:r>
              <w:rPr>
                <w:sz w:val="16"/>
              </w:rPr>
              <w:t>$0.073</w:t>
            </w:r>
          </w:p>
        </w:tc>
        <w:tc>
          <w:tcPr>
            <w:tcW w:w="900" w:type="dxa"/>
          </w:tcPr>
          <w:p>
            <w:pPr>
              <w:jc w:val="right"/>
              <w:spacing w:before="10" w:after="10"/>
            </w:pPr>
            <w:r/>
            <w:r>
              <w:rPr>
                <w:sz w:val="16"/>
              </w:rPr>
              <w:t>$0.050</w:t>
            </w:r>
          </w:p>
        </w:tc>
        <w:tc>
          <w:tcPr>
            <w:tcW w:w="500" w:type="dxa"/>
          </w:tcPr>
          <w:p>
            <w:pPr>
              <w:jc w:val="right"/>
              <w:spacing w:before="10" w:after="10"/>
            </w:pPr>
            <w:r/>
            <w:r>
              <w:rPr>
                <w:sz w:val="16"/>
              </w:rPr>
              <w:t>1.15</w:t>
            </w:r>
          </w:p>
        </w:tc>
        <w:tc>
          <w:tcPr>
            <w:tcW w:w="850" w:type="dxa"/>
          </w:tcPr>
          <w:p>
            <w:pPr>
              <w:jc w:val="right"/>
              <w:spacing w:before="10" w:after="10"/>
            </w:pPr>
            <w:r/>
            <w:r>
              <w:rPr>
                <w:sz w:val="16"/>
              </w:rPr>
              <w:t>$0.091</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33(28)</w:t>
            </w:r>
          </w:p>
        </w:tc>
        <w:tc>
          <w:tcPr>
            <w:tcW w:w="1500" w:type="dxa"/>
          </w:tcPr>
          <w:p>
            <w:pPr>
              <w:spacing w:before="10" w:after="10"/>
            </w:pPr>
            <w:r/>
            <w:r>
              <w:rPr>
                <w:sz w:val="16"/>
              </w:rPr>
              <w:t>Turkey</w:t>
            </w:r>
          </w:p>
        </w:tc>
        <w:tc>
          <w:tcPr>
            <w:tcW w:w="900" w:type="dxa"/>
          </w:tcPr>
          <w:p>
            <w:pPr>
              <w:jc w:val="right"/>
              <w:spacing w:before="10" w:after="10"/>
            </w:pPr>
            <w:r/>
            <w:r>
              <w:rPr>
                <w:sz w:val="16"/>
              </w:rPr>
              <w:t>$1.18</w:t>
            </w:r>
          </w:p>
        </w:tc>
        <w:tc>
          <w:tcPr>
            <w:tcW w:w="900" w:type="dxa"/>
          </w:tcPr>
          <w:p>
            <w:pPr>
              <w:jc w:val="right"/>
              <w:spacing w:before="10" w:after="10"/>
            </w:pPr>
            <w:r/>
            <w:r>
              <w:rPr>
                <w:sz w:val="16"/>
              </w:rPr>
              <w:t>$0.074</w:t>
            </w:r>
          </w:p>
        </w:tc>
        <w:tc>
          <w:tcPr>
            <w:tcW w:w="900" w:type="dxa"/>
          </w:tcPr>
          <w:p>
            <w:pPr>
              <w:jc w:val="right"/>
              <w:spacing w:before="10" w:after="10"/>
            </w:pPr>
            <w:r/>
            <w:r>
              <w:rPr>
                <w:sz w:val="16"/>
              </w:rPr>
              <w:t>$0.053</w:t>
            </w:r>
          </w:p>
        </w:tc>
        <w:tc>
          <w:tcPr>
            <w:tcW w:w="500" w:type="dxa"/>
          </w:tcPr>
          <w:p>
            <w:pPr>
              <w:jc w:val="right"/>
              <w:spacing w:before="10" w:after="10"/>
            </w:pPr>
            <w:r/>
            <w:r>
              <w:rPr>
                <w:sz w:val="16"/>
              </w:rPr>
              <w:t>1.22</w:t>
            </w:r>
          </w:p>
        </w:tc>
        <w:tc>
          <w:tcPr>
            <w:tcW w:w="850" w:type="dxa"/>
          </w:tcPr>
          <w:p>
            <w:pPr>
              <w:jc w:val="right"/>
              <w:spacing w:before="10" w:after="10"/>
            </w:pPr>
            <w:r/>
            <w:r>
              <w:rPr>
                <w:sz w:val="16"/>
              </w:rPr>
              <w:t>$0.086</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35(31)</w:t>
            </w:r>
          </w:p>
        </w:tc>
        <w:tc>
          <w:tcPr>
            <w:tcW w:w="1500" w:type="dxa"/>
          </w:tcPr>
          <w:p>
            <w:pPr>
              <w:spacing w:before="10" w:after="10"/>
            </w:pPr>
            <w:r/>
            <w:r>
              <w:rPr>
                <w:sz w:val="16"/>
              </w:rPr>
              <w:t>Bosnia and Herz.</w:t>
            </w:r>
          </w:p>
        </w:tc>
        <w:tc>
          <w:tcPr>
            <w:tcW w:w="900" w:type="dxa"/>
          </w:tcPr>
          <w:p>
            <w:pPr>
              <w:jc w:val="right"/>
              <w:spacing w:before="10" w:after="10"/>
            </w:pPr>
            <w:r/>
            <w:r>
              <w:rPr>
                <w:sz w:val="16"/>
              </w:rPr>
              <w:t>$1.19</w:t>
            </w:r>
          </w:p>
        </w:tc>
        <w:tc>
          <w:tcPr>
            <w:tcW w:w="900" w:type="dxa"/>
          </w:tcPr>
          <w:p>
            <w:pPr>
              <w:jc w:val="right"/>
              <w:spacing w:before="10" w:after="10"/>
            </w:pPr>
            <w:r/>
            <w:r>
              <w:rPr>
                <w:sz w:val="16"/>
              </w:rPr>
              <w:t>$0.081</w:t>
            </w:r>
          </w:p>
        </w:tc>
        <w:tc>
          <w:tcPr>
            <w:tcW w:w="900" w:type="dxa"/>
          </w:tcPr>
          <w:p>
            <w:pPr>
              <w:jc w:val="right"/>
              <w:spacing w:before="10" w:after="10"/>
            </w:pPr>
            <w:r/>
            <w:r>
              <w:rPr>
                <w:sz w:val="16"/>
              </w:rPr>
              <w:t>$0.050</w:t>
            </w:r>
          </w:p>
        </w:tc>
        <w:tc>
          <w:tcPr>
            <w:tcW w:w="500" w:type="dxa"/>
          </w:tcPr>
          <w:p>
            <w:pPr>
              <w:jc w:val="right"/>
              <w:spacing w:before="10" w:after="10"/>
            </w:pPr>
            <w:r/>
            <w:r>
              <w:rPr>
                <w:sz w:val="16"/>
              </w:rPr>
              <w:t>1.18</w:t>
            </w:r>
          </w:p>
        </w:tc>
        <w:tc>
          <w:tcPr>
            <w:tcW w:w="850" w:type="dxa"/>
          </w:tcPr>
          <w:p>
            <w:pPr>
              <w:jc w:val="right"/>
              <w:spacing w:before="10" w:after="10"/>
            </w:pPr>
            <w:r/>
            <w:r>
              <w:rPr>
                <w:sz w:val="16"/>
              </w:rPr>
              <w:t>$0.099</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36(32)</w:t>
            </w:r>
          </w:p>
        </w:tc>
        <w:tc>
          <w:tcPr>
            <w:tcW w:w="1500" w:type="dxa"/>
          </w:tcPr>
          <w:p>
            <w:pPr>
              <w:spacing w:before="10" w:after="10"/>
            </w:pPr>
            <w:r/>
            <w:r>
              <w:rPr>
                <w:sz w:val="16"/>
              </w:rPr>
              <w:t>Belarus</w:t>
            </w:r>
          </w:p>
        </w:tc>
        <w:tc>
          <w:tcPr>
            <w:tcW w:w="900" w:type="dxa"/>
          </w:tcPr>
          <w:p>
            <w:pPr>
              <w:jc w:val="right"/>
              <w:spacing w:before="10" w:after="10"/>
            </w:pPr>
            <w:r/>
            <w:r>
              <w:rPr>
                <w:sz w:val="16"/>
              </w:rPr>
              <w:t>$1.19</w:t>
            </w:r>
          </w:p>
        </w:tc>
        <w:tc>
          <w:tcPr>
            <w:tcW w:w="900" w:type="dxa"/>
          </w:tcPr>
          <w:p>
            <w:pPr>
              <w:jc w:val="right"/>
              <w:spacing w:before="10" w:after="10"/>
            </w:pPr>
            <w:r/>
            <w:r>
              <w:rPr>
                <w:sz w:val="16"/>
              </w:rPr>
              <w:t>$0.080</w:t>
            </w:r>
          </w:p>
        </w:tc>
        <w:tc>
          <w:tcPr>
            <w:tcW w:w="900" w:type="dxa"/>
          </w:tcPr>
          <w:p>
            <w:pPr>
              <w:jc w:val="right"/>
              <w:spacing w:before="10" w:after="10"/>
            </w:pPr>
            <w:r/>
            <w:r>
              <w:rPr>
                <w:sz w:val="16"/>
              </w:rPr>
              <w:t>$0.052</w:t>
            </w:r>
          </w:p>
        </w:tc>
        <w:tc>
          <w:tcPr>
            <w:tcW w:w="500" w:type="dxa"/>
          </w:tcPr>
          <w:p>
            <w:pPr>
              <w:jc w:val="right"/>
              <w:spacing w:before="10" w:after="10"/>
            </w:pPr>
            <w:r/>
            <w:r>
              <w:rPr>
                <w:sz w:val="16"/>
              </w:rPr>
              <w:t>1.15</w:t>
            </w:r>
          </w:p>
        </w:tc>
        <w:tc>
          <w:tcPr>
            <w:tcW w:w="850" w:type="dxa"/>
          </w:tcPr>
          <w:p>
            <w:pPr>
              <w:jc w:val="right"/>
              <w:spacing w:before="10" w:after="10"/>
            </w:pPr>
            <w:r/>
            <w:r>
              <w:rPr>
                <w:sz w:val="16"/>
              </w:rPr>
              <w:t>$0.099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42(39)</w:t>
            </w:r>
          </w:p>
        </w:tc>
        <w:tc>
          <w:tcPr>
            <w:tcW w:w="1500" w:type="dxa"/>
          </w:tcPr>
          <w:p>
            <w:pPr>
              <w:spacing w:before="10" w:after="10"/>
            </w:pPr>
            <w:r/>
            <w:r>
              <w:rPr>
                <w:sz w:val="16"/>
              </w:rPr>
              <w:t>Armenia</w:t>
            </w:r>
          </w:p>
        </w:tc>
        <w:tc>
          <w:tcPr>
            <w:tcW w:w="900" w:type="dxa"/>
          </w:tcPr>
          <w:p>
            <w:pPr>
              <w:jc w:val="right"/>
              <w:spacing w:before="10" w:after="10"/>
            </w:pPr>
            <w:r/>
            <w:r>
              <w:rPr>
                <w:sz w:val="16"/>
              </w:rPr>
              <w:t>$1.20</w:t>
            </w:r>
          </w:p>
        </w:tc>
        <w:tc>
          <w:tcPr>
            <w:tcW w:w="900" w:type="dxa"/>
          </w:tcPr>
          <w:p>
            <w:pPr>
              <w:jc w:val="right"/>
              <w:spacing w:before="10" w:after="10"/>
            </w:pPr>
            <w:r/>
            <w:r>
              <w:rPr>
                <w:sz w:val="16"/>
              </w:rPr>
              <w:t>$0.089</w:t>
            </w:r>
          </w:p>
        </w:tc>
        <w:tc>
          <w:tcPr>
            <w:tcW w:w="900" w:type="dxa"/>
          </w:tcPr>
          <w:p>
            <w:pPr>
              <w:jc w:val="right"/>
              <w:spacing w:before="10" w:after="10"/>
            </w:pPr>
            <w:r/>
            <w:r>
              <w:rPr>
                <w:sz w:val="16"/>
              </w:rPr>
              <w:t>$0.049</w:t>
            </w:r>
          </w:p>
        </w:tc>
        <w:tc>
          <w:tcPr>
            <w:tcW w:w="500" w:type="dxa"/>
          </w:tcPr>
          <w:p>
            <w:pPr>
              <w:jc w:val="right"/>
              <w:spacing w:before="10" w:after="10"/>
            </w:pPr>
            <w:r/>
            <w:r>
              <w:rPr>
                <w:sz w:val="16"/>
              </w:rPr>
              <w:t>1.15</w:t>
            </w:r>
          </w:p>
        </w:tc>
        <w:tc>
          <w:tcPr>
            <w:tcW w:w="850" w:type="dxa"/>
          </w:tcPr>
          <w:p>
            <w:pPr>
              <w:jc w:val="right"/>
              <w:spacing w:before="10" w:after="10"/>
            </w:pPr>
            <w:r/>
            <w:r>
              <w:rPr>
                <w:sz w:val="16"/>
              </w:rPr>
              <w:t>$0.111</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45(42)</w:t>
            </w:r>
          </w:p>
        </w:tc>
        <w:tc>
          <w:tcPr>
            <w:tcW w:w="1500" w:type="dxa"/>
          </w:tcPr>
          <w:p>
            <w:pPr>
              <w:spacing w:before="10" w:after="10"/>
            </w:pPr>
            <w:r/>
            <w:r>
              <w:rPr>
                <w:sz w:val="16"/>
              </w:rPr>
              <w:t>Latvia</w:t>
            </w:r>
          </w:p>
        </w:tc>
        <w:tc>
          <w:tcPr>
            <w:tcW w:w="900" w:type="dxa"/>
          </w:tcPr>
          <w:p>
            <w:pPr>
              <w:jc w:val="right"/>
              <w:spacing w:before="10" w:after="10"/>
            </w:pPr>
            <w:r/>
            <w:r>
              <w:rPr>
                <w:sz w:val="16"/>
              </w:rPr>
              <w:t>$1.20</w:t>
            </w:r>
          </w:p>
        </w:tc>
        <w:tc>
          <w:tcPr>
            <w:tcW w:w="900" w:type="dxa"/>
          </w:tcPr>
          <w:p>
            <w:pPr>
              <w:jc w:val="right"/>
              <w:spacing w:before="10" w:after="10"/>
            </w:pPr>
            <w:r/>
            <w:r>
              <w:rPr>
                <w:sz w:val="16"/>
              </w:rPr>
              <w:t>$0.087</w:t>
            </w:r>
          </w:p>
        </w:tc>
        <w:tc>
          <w:tcPr>
            <w:tcW w:w="900" w:type="dxa"/>
          </w:tcPr>
          <w:p>
            <w:pPr>
              <w:jc w:val="right"/>
              <w:spacing w:before="10" w:after="10"/>
            </w:pPr>
            <w:r/>
            <w:r>
              <w:rPr>
                <w:sz w:val="16"/>
              </w:rPr>
              <w:t>$0.056</w:t>
            </w:r>
          </w:p>
        </w:tc>
        <w:tc>
          <w:tcPr>
            <w:tcW w:w="500" w:type="dxa"/>
          </w:tcPr>
          <w:p>
            <w:pPr>
              <w:jc w:val="right"/>
              <w:spacing w:before="10" w:after="10"/>
            </w:pPr>
            <w:r/>
            <w:r>
              <w:rPr>
                <w:sz w:val="16"/>
              </w:rPr>
              <w:t>1.13</w:t>
            </w:r>
          </w:p>
        </w:tc>
        <w:tc>
          <w:tcPr>
            <w:tcW w:w="850" w:type="dxa"/>
          </w:tcPr>
          <w:p>
            <w:pPr>
              <w:jc w:val="right"/>
              <w:spacing w:before="10" w:after="10"/>
            </w:pPr>
            <w:r/>
            <w:r>
              <w:rPr>
                <w:sz w:val="16"/>
              </w:rPr>
              <w:t>$0.110</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47(45)</w:t>
            </w:r>
          </w:p>
        </w:tc>
        <w:tc>
          <w:tcPr>
            <w:tcW w:w="1500" w:type="dxa"/>
          </w:tcPr>
          <w:p>
            <w:pPr>
              <w:spacing w:before="10" w:after="10"/>
            </w:pPr>
            <w:r/>
            <w:r>
              <w:rPr>
                <w:sz w:val="16"/>
              </w:rPr>
              <w:t>Poland</w:t>
            </w:r>
          </w:p>
        </w:tc>
        <w:tc>
          <w:tcPr>
            <w:tcW w:w="900" w:type="dxa"/>
          </w:tcPr>
          <w:p>
            <w:pPr>
              <w:jc w:val="right"/>
              <w:spacing w:before="10" w:after="10"/>
            </w:pPr>
            <w:r/>
            <w:r>
              <w:rPr>
                <w:sz w:val="16"/>
              </w:rPr>
              <w:t>$1.20</w:t>
            </w:r>
          </w:p>
        </w:tc>
        <w:tc>
          <w:tcPr>
            <w:tcW w:w="900" w:type="dxa"/>
          </w:tcPr>
          <w:p>
            <w:pPr>
              <w:jc w:val="right"/>
              <w:spacing w:before="10" w:after="10"/>
            </w:pPr>
            <w:r/>
            <w:r>
              <w:rPr>
                <w:sz w:val="16"/>
              </w:rPr>
              <w:t>$0.096</w:t>
            </w:r>
          </w:p>
        </w:tc>
        <w:tc>
          <w:tcPr>
            <w:tcW w:w="900" w:type="dxa"/>
          </w:tcPr>
          <w:p>
            <w:pPr>
              <w:jc w:val="right"/>
              <w:spacing w:before="10" w:after="10"/>
            </w:pPr>
            <w:r/>
            <w:r>
              <w:rPr>
                <w:sz w:val="16"/>
              </w:rPr>
              <w:t>$0.049</w:t>
            </w:r>
          </w:p>
        </w:tc>
        <w:tc>
          <w:tcPr>
            <w:tcW w:w="500" w:type="dxa"/>
          </w:tcPr>
          <w:p>
            <w:pPr>
              <w:jc w:val="right"/>
              <w:spacing w:before="10" w:after="10"/>
            </w:pPr>
            <w:r/>
            <w:r>
              <w:rPr>
                <w:sz w:val="16"/>
              </w:rPr>
              <w:t>1.15</w:t>
            </w:r>
          </w:p>
        </w:tc>
        <w:tc>
          <w:tcPr>
            <w:tcW w:w="850" w:type="dxa"/>
          </w:tcPr>
          <w:p>
            <w:pPr>
              <w:jc w:val="right"/>
              <w:spacing w:before="10" w:after="10"/>
            </w:pPr>
            <w:r/>
            <w:r>
              <w:rPr>
                <w:sz w:val="16"/>
              </w:rPr>
              <w:t>$0.119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55(53)</w:t>
            </w:r>
          </w:p>
        </w:tc>
        <w:tc>
          <w:tcPr>
            <w:tcW w:w="1500" w:type="dxa"/>
          </w:tcPr>
          <w:p>
            <w:pPr>
              <w:spacing w:before="10" w:after="10"/>
            </w:pPr>
            <w:r/>
            <w:r>
              <w:rPr>
                <w:sz w:val="16"/>
              </w:rPr>
              <w:t>Serbia</w:t>
            </w:r>
          </w:p>
        </w:tc>
        <w:tc>
          <w:tcPr>
            <w:tcW w:w="900" w:type="dxa"/>
          </w:tcPr>
          <w:p>
            <w:pPr>
              <w:jc w:val="right"/>
              <w:spacing w:before="10" w:after="10"/>
            </w:pPr>
            <w:r/>
            <w:r>
              <w:rPr>
                <w:sz w:val="16"/>
              </w:rPr>
              <w:t>$1.21</w:t>
            </w:r>
          </w:p>
        </w:tc>
        <w:tc>
          <w:tcPr>
            <w:tcW w:w="900" w:type="dxa"/>
          </w:tcPr>
          <w:p>
            <w:pPr>
              <w:jc w:val="right"/>
              <w:spacing w:before="10" w:after="10"/>
            </w:pPr>
            <w:r/>
            <w:r>
              <w:rPr>
                <w:sz w:val="16"/>
              </w:rPr>
              <w:t>$0.101</w:t>
            </w:r>
          </w:p>
        </w:tc>
        <w:tc>
          <w:tcPr>
            <w:tcW w:w="900" w:type="dxa"/>
          </w:tcPr>
          <w:p>
            <w:pPr>
              <w:jc w:val="right"/>
              <w:spacing w:before="10" w:after="10"/>
            </w:pPr>
            <w:r/>
            <w:r>
              <w:rPr>
                <w:sz w:val="16"/>
              </w:rPr>
              <w:t>$0.052</w:t>
            </w:r>
          </w:p>
        </w:tc>
        <w:tc>
          <w:tcPr>
            <w:tcW w:w="500" w:type="dxa"/>
          </w:tcPr>
          <w:p>
            <w:pPr>
              <w:jc w:val="right"/>
              <w:spacing w:before="10" w:after="10"/>
            </w:pPr>
            <w:r/>
            <w:r>
              <w:rPr>
                <w:sz w:val="16"/>
              </w:rPr>
              <w:t>1.20</w:t>
            </w:r>
          </w:p>
        </w:tc>
        <w:tc>
          <w:tcPr>
            <w:tcW w:w="850" w:type="dxa"/>
          </w:tcPr>
          <w:p>
            <w:pPr>
              <w:jc w:val="right"/>
              <w:spacing w:before="10" w:after="10"/>
            </w:pPr>
            <w:r/>
            <w:r>
              <w:rPr>
                <w:sz w:val="16"/>
              </w:rPr>
              <w:t>$0.120</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58(57)</w:t>
            </w:r>
          </w:p>
        </w:tc>
        <w:tc>
          <w:tcPr>
            <w:tcW w:w="1500" w:type="dxa"/>
          </w:tcPr>
          <w:p>
            <w:pPr>
              <w:spacing w:before="10" w:after="10"/>
            </w:pPr>
            <w:r/>
            <w:r>
              <w:rPr>
                <w:sz w:val="16"/>
              </w:rPr>
              <w:t>Estonia</w:t>
            </w:r>
          </w:p>
        </w:tc>
        <w:tc>
          <w:tcPr>
            <w:tcW w:w="900" w:type="dxa"/>
          </w:tcPr>
          <w:p>
            <w:pPr>
              <w:jc w:val="right"/>
              <w:spacing w:before="10" w:after="10"/>
            </w:pPr>
            <w:r/>
            <w:r>
              <w:rPr>
                <w:sz w:val="16"/>
              </w:rPr>
              <w:t>$1.22</w:t>
            </w:r>
          </w:p>
        </w:tc>
        <w:tc>
          <w:tcPr>
            <w:tcW w:w="900" w:type="dxa"/>
          </w:tcPr>
          <w:p>
            <w:pPr>
              <w:jc w:val="right"/>
              <w:spacing w:before="10" w:after="10"/>
            </w:pPr>
            <w:r/>
            <w:r>
              <w:rPr>
                <w:sz w:val="16"/>
              </w:rPr>
              <w:t>$0.102</w:t>
            </w:r>
          </w:p>
        </w:tc>
        <w:tc>
          <w:tcPr>
            <w:tcW w:w="900" w:type="dxa"/>
          </w:tcPr>
          <w:p>
            <w:pPr>
              <w:jc w:val="right"/>
              <w:spacing w:before="10" w:after="10"/>
            </w:pPr>
            <w:r/>
            <w:r>
              <w:rPr>
                <w:sz w:val="16"/>
              </w:rPr>
              <w:t>$0.058</w:t>
            </w:r>
          </w:p>
        </w:tc>
        <w:tc>
          <w:tcPr>
            <w:tcW w:w="500" w:type="dxa"/>
          </w:tcPr>
          <w:p>
            <w:pPr>
              <w:jc w:val="right"/>
              <w:spacing w:before="10" w:after="10"/>
            </w:pPr>
            <w:r/>
            <w:r>
              <w:rPr>
                <w:sz w:val="16"/>
              </w:rPr>
              <w:t>1.13</w:t>
            </w:r>
          </w:p>
        </w:tc>
        <w:tc>
          <w:tcPr>
            <w:tcW w:w="850" w:type="dxa"/>
          </w:tcPr>
          <w:p>
            <w:pPr>
              <w:jc w:val="right"/>
              <w:spacing w:before="10" w:after="10"/>
            </w:pPr>
            <w:r/>
            <w:r>
              <w:rPr>
                <w:sz w:val="16"/>
              </w:rPr>
              <w:t>$0.129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62</w:t>
            </w:r>
          </w:p>
        </w:tc>
        <w:tc>
          <w:tcPr>
            <w:tcW w:w="1500" w:type="dxa"/>
          </w:tcPr>
          <w:p>
            <w:pPr>
              <w:spacing w:before="10" w:after="10"/>
            </w:pPr>
            <w:r/>
            <w:r>
              <w:rPr>
                <w:sz w:val="16"/>
              </w:rPr>
              <w:t>Moldova</w:t>
            </w:r>
          </w:p>
        </w:tc>
        <w:tc>
          <w:tcPr>
            <w:tcW w:w="900" w:type="dxa"/>
          </w:tcPr>
          <w:p>
            <w:pPr>
              <w:jc w:val="right"/>
              <w:spacing w:before="10" w:after="10"/>
            </w:pPr>
            <w:r/>
            <w:r>
              <w:rPr>
                <w:sz w:val="16"/>
              </w:rPr>
              <w:t>$1.22</w:t>
            </w:r>
          </w:p>
        </w:tc>
        <w:tc>
          <w:tcPr>
            <w:tcW w:w="900" w:type="dxa"/>
          </w:tcPr>
          <w:p>
            <w:pPr>
              <w:jc w:val="right"/>
              <w:spacing w:before="10" w:after="10"/>
            </w:pPr>
            <w:r/>
            <w:r>
              <w:rPr>
                <w:sz w:val="16"/>
              </w:rPr>
              <w:t>$0.115</w:t>
            </w:r>
          </w:p>
        </w:tc>
        <w:tc>
          <w:tcPr>
            <w:tcW w:w="900" w:type="dxa"/>
          </w:tcPr>
          <w:p>
            <w:pPr>
              <w:jc w:val="right"/>
              <w:spacing w:before="10" w:after="10"/>
            </w:pPr>
            <w:r/>
            <w:r>
              <w:rPr>
                <w:sz w:val="16"/>
              </w:rPr>
              <w:t>$0.048</w:t>
            </w:r>
          </w:p>
        </w:tc>
        <w:tc>
          <w:tcPr>
            <w:tcW w:w="500" w:type="dxa"/>
          </w:tcPr>
          <w:p>
            <w:pPr>
              <w:jc w:val="right"/>
              <w:spacing w:before="10" w:after="10"/>
            </w:pPr>
            <w:r/>
            <w:r>
              <w:rPr>
                <w:sz w:val="16"/>
              </w:rPr>
              <w:t>1.22</w:t>
            </w:r>
          </w:p>
        </w:tc>
        <w:tc>
          <w:tcPr>
            <w:tcW w:w="850" w:type="dxa"/>
          </w:tcPr>
          <w:p>
            <w:pPr>
              <w:jc w:val="right"/>
              <w:spacing w:before="10" w:after="10"/>
            </w:pPr>
            <w:r/>
            <w:r>
              <w:rPr>
                <w:sz w:val="16"/>
              </w:rPr>
              <w:t>$0.135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64</w:t>
            </w:r>
          </w:p>
        </w:tc>
        <w:tc>
          <w:tcPr>
            <w:tcW w:w="1500" w:type="dxa"/>
          </w:tcPr>
          <w:p>
            <w:pPr>
              <w:spacing w:before="10" w:after="10"/>
            </w:pPr>
            <w:r/>
            <w:r>
              <w:rPr>
                <w:sz w:val="16"/>
              </w:rPr>
              <w:t>Lithuania</w:t>
            </w:r>
          </w:p>
        </w:tc>
        <w:tc>
          <w:tcPr>
            <w:tcW w:w="900" w:type="dxa"/>
          </w:tcPr>
          <w:p>
            <w:pPr>
              <w:jc w:val="right"/>
              <w:spacing w:before="10" w:after="10"/>
            </w:pPr>
            <w:r/>
            <w:r>
              <w:rPr>
                <w:sz w:val="16"/>
              </w:rPr>
              <w:t>$1.22</w:t>
            </w:r>
          </w:p>
        </w:tc>
        <w:tc>
          <w:tcPr>
            <w:tcW w:w="900" w:type="dxa"/>
          </w:tcPr>
          <w:p>
            <w:pPr>
              <w:jc w:val="right"/>
              <w:spacing w:before="10" w:after="10"/>
            </w:pPr>
            <w:r/>
            <w:r>
              <w:rPr>
                <w:sz w:val="16"/>
              </w:rPr>
              <w:t>$0.107</w:t>
            </w:r>
          </w:p>
        </w:tc>
        <w:tc>
          <w:tcPr>
            <w:tcW w:w="900" w:type="dxa"/>
          </w:tcPr>
          <w:p>
            <w:pPr>
              <w:jc w:val="right"/>
              <w:spacing w:before="10" w:after="10"/>
            </w:pPr>
            <w:r/>
            <w:r>
              <w:rPr>
                <w:sz w:val="16"/>
              </w:rPr>
              <w:t>$0.058</w:t>
            </w:r>
          </w:p>
        </w:tc>
        <w:tc>
          <w:tcPr>
            <w:tcW w:w="500" w:type="dxa"/>
          </w:tcPr>
          <w:p>
            <w:pPr>
              <w:jc w:val="right"/>
              <w:spacing w:before="10" w:after="10"/>
            </w:pPr>
            <w:r/>
            <w:r>
              <w:rPr>
                <w:sz w:val="16"/>
              </w:rPr>
              <w:t>1.14</w:t>
            </w:r>
          </w:p>
        </w:tc>
        <w:tc>
          <w:tcPr>
            <w:tcW w:w="850" w:type="dxa"/>
          </w:tcPr>
          <w:p>
            <w:pPr>
              <w:jc w:val="right"/>
              <w:spacing w:before="10" w:after="10"/>
            </w:pPr>
            <w:r/>
            <w:r>
              <w:rPr>
                <w:sz w:val="16"/>
              </w:rPr>
              <w:t>$0.134</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66</w:t>
            </w:r>
          </w:p>
        </w:tc>
        <w:tc>
          <w:tcPr>
            <w:tcW w:w="1500" w:type="dxa"/>
          </w:tcPr>
          <w:p>
            <w:pPr>
              <w:spacing w:before="10" w:after="10"/>
            </w:pPr>
            <w:r/>
            <w:r>
              <w:rPr>
                <w:sz w:val="16"/>
              </w:rPr>
              <w:t>North Macedonia</w:t>
            </w:r>
          </w:p>
        </w:tc>
        <w:tc>
          <w:tcPr>
            <w:tcW w:w="900" w:type="dxa"/>
          </w:tcPr>
          <w:p>
            <w:pPr>
              <w:jc w:val="right"/>
              <w:spacing w:before="10" w:after="10"/>
            </w:pPr>
            <w:r/>
            <w:r>
              <w:rPr>
                <w:sz w:val="16"/>
              </w:rPr>
              <w:t>$1.22</w:t>
            </w:r>
          </w:p>
        </w:tc>
        <w:tc>
          <w:tcPr>
            <w:tcW w:w="900" w:type="dxa"/>
          </w:tcPr>
          <w:p>
            <w:pPr>
              <w:jc w:val="right"/>
              <w:spacing w:before="10" w:after="10"/>
            </w:pPr>
            <w:r/>
            <w:r>
              <w:rPr>
                <w:sz w:val="16"/>
              </w:rPr>
              <w:t>$0.115</w:t>
            </w:r>
          </w:p>
        </w:tc>
        <w:tc>
          <w:tcPr>
            <w:tcW w:w="900" w:type="dxa"/>
          </w:tcPr>
          <w:p>
            <w:pPr>
              <w:jc w:val="right"/>
              <w:spacing w:before="10" w:after="10"/>
            </w:pPr>
            <w:r/>
            <w:r>
              <w:rPr>
                <w:sz w:val="16"/>
              </w:rPr>
              <w:t>$0.051</w:t>
            </w:r>
          </w:p>
        </w:tc>
        <w:tc>
          <w:tcPr>
            <w:tcW w:w="500" w:type="dxa"/>
          </w:tcPr>
          <w:p>
            <w:pPr>
              <w:jc w:val="right"/>
              <w:spacing w:before="10" w:after="10"/>
            </w:pPr>
            <w:r/>
            <w:r>
              <w:rPr>
                <w:sz w:val="16"/>
              </w:rPr>
              <w:t>1.21</w:t>
            </w:r>
          </w:p>
        </w:tc>
        <w:tc>
          <w:tcPr>
            <w:tcW w:w="850" w:type="dxa"/>
          </w:tcPr>
          <w:p>
            <w:pPr>
              <w:jc w:val="right"/>
              <w:spacing w:before="10" w:after="10"/>
            </w:pPr>
            <w:r/>
            <w:r>
              <w:rPr>
                <w:sz w:val="16"/>
              </w:rPr>
              <w:t>$0.135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68</w:t>
            </w:r>
          </w:p>
        </w:tc>
        <w:tc>
          <w:tcPr>
            <w:tcW w:w="1500" w:type="dxa"/>
          </w:tcPr>
          <w:p>
            <w:pPr>
              <w:spacing w:before="10" w:after="10"/>
            </w:pPr>
            <w:r/>
            <w:r>
              <w:rPr>
                <w:sz w:val="16"/>
              </w:rPr>
              <w:t>Albania</w:t>
            </w:r>
          </w:p>
        </w:tc>
        <w:tc>
          <w:tcPr>
            <w:tcW w:w="900" w:type="dxa"/>
          </w:tcPr>
          <w:p>
            <w:pPr>
              <w:jc w:val="right"/>
              <w:spacing w:before="10" w:after="10"/>
            </w:pPr>
            <w:r/>
            <w:r>
              <w:rPr>
                <w:sz w:val="16"/>
              </w:rPr>
              <w:t>$1.23</w:t>
            </w:r>
          </w:p>
        </w:tc>
        <w:tc>
          <w:tcPr>
            <w:tcW w:w="900" w:type="dxa"/>
          </w:tcPr>
          <w:p>
            <w:pPr>
              <w:jc w:val="right"/>
              <w:spacing w:before="10" w:after="10"/>
            </w:pPr>
            <w:r/>
            <w:r>
              <w:rPr>
                <w:sz w:val="16"/>
              </w:rPr>
              <w:t>$0.125</w:t>
            </w:r>
          </w:p>
        </w:tc>
        <w:tc>
          <w:tcPr>
            <w:tcW w:w="900" w:type="dxa"/>
          </w:tcPr>
          <w:p>
            <w:pPr>
              <w:jc w:val="right"/>
              <w:spacing w:before="10" w:after="10"/>
            </w:pPr>
            <w:r/>
            <w:r>
              <w:rPr>
                <w:sz w:val="16"/>
              </w:rPr>
              <w:t>$0.051</w:t>
            </w:r>
          </w:p>
        </w:tc>
        <w:tc>
          <w:tcPr>
            <w:tcW w:w="500" w:type="dxa"/>
          </w:tcPr>
          <w:p>
            <w:pPr>
              <w:jc w:val="right"/>
              <w:spacing w:before="10" w:after="10"/>
            </w:pPr>
            <w:r/>
            <w:r>
              <w:rPr>
                <w:sz w:val="16"/>
              </w:rPr>
              <w:t>1.21</w:t>
            </w:r>
          </w:p>
        </w:tc>
        <w:tc>
          <w:tcPr>
            <w:tcW w:w="850" w:type="dxa"/>
          </w:tcPr>
          <w:p>
            <w:pPr>
              <w:jc w:val="right"/>
              <w:spacing w:before="10" w:after="10"/>
            </w:pPr>
            <w:r/>
            <w:r>
              <w:rPr>
                <w:sz w:val="16"/>
              </w:rPr>
              <w:t>$0.147</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69</w:t>
            </w:r>
          </w:p>
        </w:tc>
        <w:tc>
          <w:tcPr>
            <w:tcW w:w="1500" w:type="dxa"/>
          </w:tcPr>
          <w:p>
            <w:pPr>
              <w:spacing w:before="10" w:after="10"/>
            </w:pPr>
            <w:r/>
            <w:r>
              <w:rPr>
                <w:sz w:val="16"/>
              </w:rPr>
              <w:t>Slovenia</w:t>
            </w:r>
          </w:p>
        </w:tc>
        <w:tc>
          <w:tcPr>
            <w:tcW w:w="900" w:type="dxa"/>
          </w:tcPr>
          <w:p>
            <w:pPr>
              <w:jc w:val="right"/>
              <w:spacing w:before="10" w:after="10"/>
            </w:pPr>
            <w:r/>
            <w:r>
              <w:rPr>
                <w:sz w:val="16"/>
              </w:rPr>
              <w:t>$1.24</w:t>
            </w:r>
          </w:p>
        </w:tc>
        <w:tc>
          <w:tcPr>
            <w:tcW w:w="900" w:type="dxa"/>
          </w:tcPr>
          <w:p>
            <w:pPr>
              <w:jc w:val="right"/>
              <w:spacing w:before="10" w:after="10"/>
            </w:pPr>
            <w:r/>
            <w:r>
              <w:rPr>
                <w:sz w:val="16"/>
              </w:rPr>
              <w:t>$0.122</w:t>
            </w:r>
          </w:p>
        </w:tc>
        <w:tc>
          <w:tcPr>
            <w:tcW w:w="900" w:type="dxa"/>
          </w:tcPr>
          <w:p>
            <w:pPr>
              <w:jc w:val="right"/>
              <w:spacing w:before="10" w:after="10"/>
            </w:pPr>
            <w:r/>
            <w:r>
              <w:rPr>
                <w:sz w:val="16"/>
              </w:rPr>
              <w:t>$0.059</w:t>
            </w:r>
          </w:p>
        </w:tc>
        <w:tc>
          <w:tcPr>
            <w:tcW w:w="500" w:type="dxa"/>
          </w:tcPr>
          <w:p>
            <w:pPr>
              <w:jc w:val="right"/>
              <w:spacing w:before="10" w:after="10"/>
            </w:pPr>
            <w:r/>
            <w:r>
              <w:rPr>
                <w:sz w:val="16"/>
              </w:rPr>
              <w:t>1.18</w:t>
            </w:r>
          </w:p>
        </w:tc>
        <w:tc>
          <w:tcPr>
            <w:tcW w:w="850" w:type="dxa"/>
          </w:tcPr>
          <w:p>
            <w:pPr>
              <w:jc w:val="right"/>
              <w:spacing w:before="10" w:after="10"/>
            </w:pPr>
            <w:r/>
            <w:r>
              <w:rPr>
                <w:sz w:val="16"/>
              </w:rPr>
              <w:t>$0.147</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70</w:t>
            </w:r>
          </w:p>
        </w:tc>
        <w:tc>
          <w:tcPr>
            <w:tcW w:w="1500" w:type="dxa"/>
          </w:tcPr>
          <w:p>
            <w:pPr>
              <w:spacing w:before="10" w:after="10"/>
            </w:pPr>
            <w:r/>
            <w:r>
              <w:rPr>
                <w:sz w:val="16"/>
              </w:rPr>
              <w:t>Romania</w:t>
            </w:r>
          </w:p>
        </w:tc>
        <w:tc>
          <w:tcPr>
            <w:tcW w:w="900" w:type="dxa"/>
          </w:tcPr>
          <w:p>
            <w:pPr>
              <w:jc w:val="right"/>
              <w:spacing w:before="10" w:after="10"/>
            </w:pPr>
            <w:r/>
            <w:r>
              <w:rPr>
                <w:sz w:val="16"/>
              </w:rPr>
              <w:t>$1.24</w:t>
            </w:r>
          </w:p>
        </w:tc>
        <w:tc>
          <w:tcPr>
            <w:tcW w:w="900" w:type="dxa"/>
          </w:tcPr>
          <w:p>
            <w:pPr>
              <w:jc w:val="right"/>
              <w:spacing w:before="10" w:after="10"/>
            </w:pPr>
            <w:r/>
            <w:r>
              <w:rPr>
                <w:sz w:val="16"/>
              </w:rPr>
              <w:t>$0.130</w:t>
            </w:r>
          </w:p>
        </w:tc>
        <w:tc>
          <w:tcPr>
            <w:tcW w:w="900" w:type="dxa"/>
          </w:tcPr>
          <w:p>
            <w:pPr>
              <w:jc w:val="right"/>
              <w:spacing w:before="10" w:after="10"/>
            </w:pPr>
            <w:r/>
            <w:r>
              <w:rPr>
                <w:sz w:val="16"/>
              </w:rPr>
              <w:t>$0.055</w:t>
            </w:r>
          </w:p>
        </w:tc>
        <w:tc>
          <w:tcPr>
            <w:tcW w:w="500" w:type="dxa"/>
          </w:tcPr>
          <w:p>
            <w:pPr>
              <w:jc w:val="right"/>
              <w:spacing w:before="10" w:after="10"/>
            </w:pPr>
            <w:r/>
            <w:r>
              <w:rPr>
                <w:sz w:val="16"/>
              </w:rPr>
              <w:t>1.19</w:t>
            </w:r>
          </w:p>
        </w:tc>
        <w:tc>
          <w:tcPr>
            <w:tcW w:w="850" w:type="dxa"/>
          </w:tcPr>
          <w:p>
            <w:pPr>
              <w:jc w:val="right"/>
              <w:spacing w:before="10" w:after="10"/>
            </w:pPr>
            <w:r/>
            <w:r>
              <w:rPr>
                <w:sz w:val="16"/>
              </w:rPr>
              <w:t>$0.156</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72</w:t>
            </w:r>
          </w:p>
        </w:tc>
        <w:tc>
          <w:tcPr>
            <w:tcW w:w="1500" w:type="dxa"/>
          </w:tcPr>
          <w:p>
            <w:pPr>
              <w:spacing w:before="10" w:after="10"/>
            </w:pPr>
            <w:r/>
            <w:r>
              <w:rPr>
                <w:sz w:val="16"/>
              </w:rPr>
              <w:t>Bulgaria</w:t>
            </w:r>
          </w:p>
        </w:tc>
        <w:tc>
          <w:tcPr>
            <w:tcW w:w="900" w:type="dxa"/>
          </w:tcPr>
          <w:p>
            <w:pPr>
              <w:jc w:val="right"/>
              <w:spacing w:before="10" w:after="10"/>
            </w:pPr>
            <w:r/>
            <w:r>
              <w:rPr>
                <w:sz w:val="16"/>
              </w:rPr>
              <w:t>$1.24</w:t>
            </w:r>
          </w:p>
        </w:tc>
        <w:tc>
          <w:tcPr>
            <w:tcW w:w="900" w:type="dxa"/>
          </w:tcPr>
          <w:p>
            <w:pPr>
              <w:jc w:val="right"/>
              <w:spacing w:before="10" w:after="10"/>
            </w:pPr>
            <w:r/>
            <w:r>
              <w:rPr>
                <w:sz w:val="16"/>
              </w:rPr>
              <w:t>$0.131</w:t>
            </w:r>
          </w:p>
        </w:tc>
        <w:tc>
          <w:tcPr>
            <w:tcW w:w="900" w:type="dxa"/>
          </w:tcPr>
          <w:p>
            <w:pPr>
              <w:jc w:val="right"/>
              <w:spacing w:before="10" w:after="10"/>
            </w:pPr>
            <w:r/>
            <w:r>
              <w:rPr>
                <w:sz w:val="16"/>
              </w:rPr>
              <w:t>$0.054</w:t>
            </w:r>
          </w:p>
        </w:tc>
        <w:tc>
          <w:tcPr>
            <w:tcW w:w="500" w:type="dxa"/>
          </w:tcPr>
          <w:p>
            <w:pPr>
              <w:jc w:val="right"/>
              <w:spacing w:before="10" w:after="10"/>
            </w:pPr>
            <w:r/>
            <w:r>
              <w:rPr>
                <w:sz w:val="16"/>
              </w:rPr>
              <w:t>1.21</w:t>
            </w:r>
          </w:p>
        </w:tc>
        <w:tc>
          <w:tcPr>
            <w:tcW w:w="850" w:type="dxa"/>
          </w:tcPr>
          <w:p>
            <w:pPr>
              <w:jc w:val="right"/>
              <w:spacing w:before="10" w:after="10"/>
            </w:pPr>
            <w:r/>
            <w:r>
              <w:rPr>
                <w:sz w:val="16"/>
              </w:rPr>
              <w:t>$0.155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76</w:t>
            </w:r>
          </w:p>
        </w:tc>
        <w:tc>
          <w:tcPr>
            <w:tcW w:w="1500" w:type="dxa"/>
          </w:tcPr>
          <w:p>
            <w:pPr>
              <w:spacing w:before="10" w:after="10"/>
            </w:pPr>
            <w:r/>
            <w:r>
              <w:rPr>
                <w:sz w:val="16"/>
              </w:rPr>
              <w:t>Slovakia</w:t>
            </w:r>
          </w:p>
        </w:tc>
        <w:tc>
          <w:tcPr>
            <w:tcW w:w="900" w:type="dxa"/>
          </w:tcPr>
          <w:p>
            <w:pPr>
              <w:jc w:val="right"/>
              <w:spacing w:before="10" w:after="10"/>
            </w:pPr>
            <w:r/>
            <w:r>
              <w:rPr>
                <w:sz w:val="16"/>
              </w:rPr>
              <w:t>$1.25</w:t>
            </w:r>
          </w:p>
        </w:tc>
        <w:tc>
          <w:tcPr>
            <w:tcW w:w="900" w:type="dxa"/>
          </w:tcPr>
          <w:p>
            <w:pPr>
              <w:jc w:val="right"/>
              <w:spacing w:before="10" w:after="10"/>
            </w:pPr>
            <w:r/>
            <w:r>
              <w:rPr>
                <w:sz w:val="16"/>
              </w:rPr>
              <w:t>$0.135</w:t>
            </w:r>
          </w:p>
        </w:tc>
        <w:tc>
          <w:tcPr>
            <w:tcW w:w="900" w:type="dxa"/>
          </w:tcPr>
          <w:p>
            <w:pPr>
              <w:jc w:val="right"/>
              <w:spacing w:before="10" w:after="10"/>
            </w:pPr>
            <w:r/>
            <w:r>
              <w:rPr>
                <w:sz w:val="16"/>
              </w:rPr>
              <w:t>$0.056</w:t>
            </w:r>
          </w:p>
        </w:tc>
        <w:tc>
          <w:tcPr>
            <w:tcW w:w="500" w:type="dxa"/>
          </w:tcPr>
          <w:p>
            <w:pPr>
              <w:jc w:val="right"/>
              <w:spacing w:before="10" w:after="10"/>
            </w:pPr>
            <w:r/>
            <w:r>
              <w:rPr>
                <w:sz w:val="16"/>
              </w:rPr>
              <w:t>1.17</w:t>
            </w:r>
          </w:p>
        </w:tc>
        <w:tc>
          <w:tcPr>
            <w:tcW w:w="850" w:type="dxa"/>
          </w:tcPr>
          <w:p>
            <w:pPr>
              <w:jc w:val="right"/>
              <w:spacing w:before="10" w:after="10"/>
            </w:pPr>
            <w:r/>
            <w:r>
              <w:rPr>
                <w:sz w:val="16"/>
              </w:rPr>
              <w:t>$0.164</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78</w:t>
            </w:r>
          </w:p>
        </w:tc>
        <w:tc>
          <w:tcPr>
            <w:tcW w:w="1500" w:type="dxa"/>
          </w:tcPr>
          <w:p>
            <w:pPr>
              <w:spacing w:before="10" w:after="10"/>
            </w:pPr>
            <w:r/>
            <w:r>
              <w:rPr>
                <w:sz w:val="16"/>
              </w:rPr>
              <w:t>Czechia</w:t>
            </w:r>
          </w:p>
        </w:tc>
        <w:tc>
          <w:tcPr>
            <w:tcW w:w="900" w:type="dxa"/>
          </w:tcPr>
          <w:p>
            <w:pPr>
              <w:jc w:val="right"/>
              <w:spacing w:before="10" w:after="10"/>
            </w:pPr>
            <w:r/>
            <w:r>
              <w:rPr>
                <w:sz w:val="16"/>
              </w:rPr>
              <w:t>$1.25</w:t>
            </w:r>
          </w:p>
        </w:tc>
        <w:tc>
          <w:tcPr>
            <w:tcW w:w="900" w:type="dxa"/>
          </w:tcPr>
          <w:p>
            <w:pPr>
              <w:jc w:val="right"/>
              <w:spacing w:before="10" w:after="10"/>
            </w:pPr>
            <w:r/>
            <w:r>
              <w:rPr>
                <w:sz w:val="16"/>
              </w:rPr>
              <w:t>$0.138</w:t>
            </w:r>
          </w:p>
        </w:tc>
        <w:tc>
          <w:tcPr>
            <w:tcW w:w="900" w:type="dxa"/>
          </w:tcPr>
          <w:p>
            <w:pPr>
              <w:jc w:val="right"/>
              <w:spacing w:before="10" w:after="10"/>
            </w:pPr>
            <w:r/>
            <w:r>
              <w:rPr>
                <w:sz w:val="16"/>
              </w:rPr>
              <w:t>$0.057</w:t>
            </w:r>
          </w:p>
        </w:tc>
        <w:tc>
          <w:tcPr>
            <w:tcW w:w="500" w:type="dxa"/>
          </w:tcPr>
          <w:p>
            <w:pPr>
              <w:jc w:val="right"/>
              <w:spacing w:before="10" w:after="10"/>
            </w:pPr>
            <w:r/>
            <w:r>
              <w:rPr>
                <w:sz w:val="16"/>
              </w:rPr>
              <w:t>1.14</w:t>
            </w:r>
          </w:p>
        </w:tc>
        <w:tc>
          <w:tcPr>
            <w:tcW w:w="850" w:type="dxa"/>
          </w:tcPr>
          <w:p>
            <w:pPr>
              <w:jc w:val="right"/>
              <w:spacing w:before="10" w:after="10"/>
            </w:pPr>
            <w:r/>
            <w:r>
              <w:rPr>
                <w:sz w:val="16"/>
              </w:rPr>
              <w:t>$0.172</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80</w:t>
            </w:r>
          </w:p>
        </w:tc>
        <w:tc>
          <w:tcPr>
            <w:tcW w:w="1500" w:type="dxa"/>
          </w:tcPr>
          <w:p>
            <w:pPr>
              <w:spacing w:before="10" w:after="10"/>
            </w:pPr>
            <w:r/>
            <w:r>
              <w:rPr>
                <w:sz w:val="16"/>
              </w:rPr>
              <w:t>Hungary</w:t>
            </w:r>
          </w:p>
        </w:tc>
        <w:tc>
          <w:tcPr>
            <w:tcW w:w="900" w:type="dxa"/>
          </w:tcPr>
          <w:p>
            <w:pPr>
              <w:jc w:val="right"/>
              <w:spacing w:before="10" w:after="10"/>
            </w:pPr>
            <w:r/>
            <w:r>
              <w:rPr>
                <w:sz w:val="16"/>
              </w:rPr>
              <w:t>$1.26</w:t>
            </w:r>
          </w:p>
        </w:tc>
        <w:tc>
          <w:tcPr>
            <w:tcW w:w="900" w:type="dxa"/>
          </w:tcPr>
          <w:p>
            <w:pPr>
              <w:jc w:val="right"/>
              <w:spacing w:before="10" w:after="10"/>
            </w:pPr>
            <w:r/>
            <w:r>
              <w:rPr>
                <w:sz w:val="16"/>
              </w:rPr>
              <w:t>$0.149</w:t>
            </w:r>
          </w:p>
        </w:tc>
        <w:tc>
          <w:tcPr>
            <w:tcW w:w="900" w:type="dxa"/>
          </w:tcPr>
          <w:p>
            <w:pPr>
              <w:jc w:val="right"/>
              <w:spacing w:before="10" w:after="10"/>
            </w:pPr>
            <w:r/>
            <w:r>
              <w:rPr>
                <w:sz w:val="16"/>
              </w:rPr>
              <w:t>$0.056</w:t>
            </w:r>
          </w:p>
        </w:tc>
        <w:tc>
          <w:tcPr>
            <w:tcW w:w="500" w:type="dxa"/>
          </w:tcPr>
          <w:p>
            <w:pPr>
              <w:jc w:val="right"/>
              <w:spacing w:before="10" w:after="10"/>
            </w:pPr>
            <w:r/>
            <w:r>
              <w:rPr>
                <w:sz w:val="16"/>
              </w:rPr>
              <w:t>1.21</w:t>
            </w:r>
          </w:p>
        </w:tc>
        <w:tc>
          <w:tcPr>
            <w:tcW w:w="850" w:type="dxa"/>
          </w:tcPr>
          <w:p>
            <w:pPr>
              <w:jc w:val="right"/>
              <w:spacing w:before="10" w:after="10"/>
            </w:pPr>
            <w:r/>
            <w:r>
              <w:rPr>
                <w:sz w:val="16"/>
              </w:rPr>
              <w:t>$0.176</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85</w:t>
            </w:r>
          </w:p>
        </w:tc>
        <w:tc>
          <w:tcPr>
            <w:tcW w:w="1500" w:type="dxa"/>
          </w:tcPr>
          <w:p>
            <w:pPr>
              <w:spacing w:before="10" w:after="10"/>
            </w:pPr>
            <w:r/>
            <w:r>
              <w:rPr>
                <w:sz w:val="16"/>
              </w:rPr>
              <w:t>Croatia</w:t>
            </w:r>
          </w:p>
        </w:tc>
        <w:tc>
          <w:tcPr>
            <w:tcW w:w="900" w:type="dxa"/>
          </w:tcPr>
          <w:p>
            <w:pPr>
              <w:jc w:val="right"/>
              <w:spacing w:before="10" w:after="10"/>
            </w:pPr>
            <w:r/>
            <w:r>
              <w:rPr>
                <w:sz w:val="16"/>
              </w:rPr>
              <w:t>$1.29</w:t>
            </w:r>
          </w:p>
        </w:tc>
        <w:tc>
          <w:tcPr>
            <w:tcW w:w="900" w:type="dxa"/>
          </w:tcPr>
          <w:p>
            <w:pPr>
              <w:jc w:val="right"/>
              <w:spacing w:before="10" w:after="10"/>
            </w:pPr>
            <w:r/>
            <w:r>
              <w:rPr>
                <w:sz w:val="16"/>
              </w:rPr>
              <w:t>$0.174</w:t>
            </w:r>
          </w:p>
        </w:tc>
        <w:tc>
          <w:tcPr>
            <w:tcW w:w="900" w:type="dxa"/>
          </w:tcPr>
          <w:p>
            <w:pPr>
              <w:jc w:val="right"/>
              <w:spacing w:before="10" w:after="10"/>
            </w:pPr>
            <w:r/>
            <w:r>
              <w:rPr>
                <w:sz w:val="16"/>
              </w:rPr>
              <w:t>$0.057</w:t>
            </w:r>
          </w:p>
        </w:tc>
        <w:tc>
          <w:tcPr>
            <w:tcW w:w="500" w:type="dxa"/>
          </w:tcPr>
          <w:p>
            <w:pPr>
              <w:jc w:val="right"/>
              <w:spacing w:before="10" w:after="10"/>
            </w:pPr>
            <w:r/>
            <w:r>
              <w:rPr>
                <w:sz w:val="16"/>
              </w:rPr>
              <w:t>1.21</w:t>
            </w:r>
          </w:p>
        </w:tc>
        <w:tc>
          <w:tcPr>
            <w:tcW w:w="850" w:type="dxa"/>
          </w:tcPr>
          <w:p>
            <w:pPr>
              <w:jc w:val="right"/>
              <w:spacing w:before="10" w:after="10"/>
            </w:pPr>
            <w:r/>
            <w:r>
              <w:rPr>
                <w:sz w:val="16"/>
              </w:rPr>
              <w:t>$0.206</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r>
          </w:p>
        </w:tc>
        <w:tc>
          <w:tcPr>
            <w:tcW w:w="1500" w:type="dxa"/>
          </w:tcPr>
          <w:p>
            <w:pPr>
              <w:spacing w:before="10" w:after="10"/>
            </w:pPr>
            <w:r/>
            <w:r>
              <w:rPr>
                <w:sz w:val="16"/>
              </w:rPr>
              <w:t>Non-ECA comparators</w:t>
            </w:r>
          </w:p>
        </w:tc>
        <w:tc>
          <w:tcPr>
            <w:tcW w:w="900" w:type="dxa"/>
          </w:tcPr>
          <w:p>
            <w:pPr>
              <w:jc w:val="right"/>
              <w:spacing w:before="10" w:after="10"/>
            </w:pPr>
            <w:r/>
            <w:r>
              <w:rPr>
                <w:sz w:val="16"/>
              </w:rPr>
            </w:r>
          </w:p>
        </w:tc>
        <w:tc>
          <w:tcPr>
            <w:tcW w:w="900" w:type="dxa"/>
          </w:tcPr>
          <w:p>
            <w:pPr>
              <w:jc w:val="right"/>
              <w:spacing w:before="10" w:after="10"/>
            </w:pPr>
            <w:r/>
            <w:r>
              <w:rPr>
                <w:sz w:val="16"/>
              </w:rPr>
            </w:r>
          </w:p>
        </w:tc>
        <w:tc>
          <w:tcPr>
            <w:tcW w:w="900" w:type="dxa"/>
          </w:tcPr>
          <w:p>
            <w:pPr>
              <w:jc w:val="right"/>
              <w:spacing w:before="10" w:after="10"/>
            </w:pPr>
            <w:r/>
            <w:r>
              <w:rPr>
                <w:sz w:val="16"/>
              </w:rPr>
            </w:r>
          </w:p>
        </w:tc>
        <w:tc>
          <w:tcPr>
            <w:tcW w:w="500" w:type="dxa"/>
          </w:tcPr>
          <w:p>
            <w:pPr>
              <w:jc w:val="right"/>
              <w:spacing w:before="10" w:after="10"/>
            </w:pPr>
            <w:r/>
            <w:r>
              <w:rPr>
                <w:sz w:val="16"/>
              </w:rPr>
            </w:r>
          </w:p>
        </w:tc>
        <w:tc>
          <w:tcPr>
            <w:tcW w:w="850" w:type="dxa"/>
          </w:tcPr>
          <w:p>
            <w:pPr>
              <w:jc w:val="right"/>
              <w:spacing w:before="10" w:after="10"/>
            </w:pPr>
            <w:r/>
            <w:r>
              <w:rPr>
                <w:sz w:val="16"/>
              </w:rPr>
            </w:r>
          </w:p>
        </w:tc>
        <w:tc>
          <w:tcPr>
            <w:tcW w:w="750" w:type="dxa"/>
          </w:tcPr>
          <w:p>
            <w:pPr>
              <w:jc w:val="right"/>
              <w:spacing w:before="10" w:after="10"/>
            </w:pPr>
            <w:r/>
            <w:r>
              <w:rPr>
                <w:sz w:val="16"/>
              </w:rPr>
            </w:r>
          </w:p>
        </w:tc>
        <w:tc>
          <w:tcPr>
            <w:tcW w:w="750" w:type="dxa"/>
          </w:tcPr>
          <w:p>
            <w:pPr>
              <w:spacing w:before="10" w:after="10"/>
            </w:pPr>
            <w:r/>
            <w:r>
              <w:rPr>
                <w:sz w:val="16"/>
              </w:rPr>
            </w:r>
          </w:p>
        </w:tc>
      </w:tr>
      <w:tr>
        <w:tc>
          <w:tcPr>
            <w:tcW w:w="550" w:type="dxa"/>
          </w:tcPr>
          <w:p>
            <w:pPr>
              <w:spacing w:before="10" w:after="10"/>
            </w:pPr>
            <w:r/>
            <w:r>
              <w:rPr>
                <w:sz w:val="16"/>
              </w:rPr>
              <w:t>1(23)</w:t>
            </w:r>
          </w:p>
        </w:tc>
        <w:tc>
          <w:tcPr>
            <w:tcW w:w="1500" w:type="dxa"/>
          </w:tcPr>
          <w:p>
            <w:pPr>
              <w:spacing w:before="10" w:after="10"/>
            </w:pPr>
            <w:r/>
            <w:r>
              <w:rPr>
                <w:sz w:val="16"/>
              </w:rPr>
              <w:t>Iran</w:t>
            </w:r>
          </w:p>
        </w:tc>
        <w:tc>
          <w:tcPr>
            <w:tcW w:w="900" w:type="dxa"/>
          </w:tcPr>
          <w:p>
            <w:pPr>
              <w:jc w:val="right"/>
              <w:spacing w:before="10" w:after="10"/>
            </w:pPr>
            <w:r/>
            <w:r>
              <w:rPr>
                <w:sz w:val="16"/>
              </w:rPr>
              <w:t>$1.10</w:t>
            </w:r>
          </w:p>
        </w:tc>
        <w:tc>
          <w:tcPr>
            <w:tcW w:w="900" w:type="dxa"/>
          </w:tcPr>
          <w:p>
            <w:pPr>
              <w:jc w:val="right"/>
              <w:spacing w:before="10" w:after="10"/>
            </w:pPr>
            <w:r/>
            <w:r>
              <w:rPr>
                <w:sz w:val="16"/>
              </w:rPr>
              <w:t>$0.005</w:t>
            </w:r>
          </w:p>
        </w:tc>
        <w:tc>
          <w:tcPr>
            <w:tcW w:w="900" w:type="dxa"/>
          </w:tcPr>
          <w:p>
            <w:pPr>
              <w:jc w:val="right"/>
              <w:spacing w:before="10" w:after="10"/>
            </w:pPr>
            <w:r/>
            <w:r>
              <w:rPr>
                <w:sz w:val="16"/>
              </w:rPr>
              <w:t>$0.042</w:t>
            </w:r>
          </w:p>
        </w:tc>
        <w:tc>
          <w:tcPr>
            <w:tcW w:w="500" w:type="dxa"/>
          </w:tcPr>
          <w:p>
            <w:pPr>
              <w:jc w:val="right"/>
              <w:spacing w:before="10" w:after="10"/>
            </w:pPr>
            <w:r/>
            <w:r>
              <w:rPr>
                <w:sz w:val="16"/>
              </w:rPr>
              <w:t>1.32</w:t>
            </w:r>
          </w:p>
        </w:tc>
        <w:tc>
          <w:tcPr>
            <w:tcW w:w="850" w:type="dxa"/>
          </w:tcPr>
          <w:p>
            <w:pPr>
              <w:jc w:val="right"/>
              <w:spacing w:before="10" w:after="10"/>
            </w:pPr>
            <w:r/>
            <w:r>
              <w:rPr>
                <w:sz w:val="16"/>
              </w:rPr>
              <w:t>$0.005</w:t>
            </w:r>
          </w:p>
        </w:tc>
        <w:tc>
          <w:tcPr>
            <w:tcW w:w="750" w:type="dxa"/>
          </w:tcPr>
          <w:p>
            <w:pPr>
              <w:jc w:val="right"/>
              <w:spacing w:before="10" w:after="10"/>
            </w:pPr>
            <w:r/>
            <w:r>
              <w:rPr>
                <w:sz w:val="16"/>
              </w:rPr>
              <w:t>$0.085</w:t>
            </w:r>
          </w:p>
        </w:tc>
        <w:tc>
          <w:tcPr>
            <w:tcW w:w="750" w:type="dxa"/>
          </w:tcPr>
          <w:p>
            <w:pPr>
              <w:spacing w:before="10" w:after="10"/>
            </w:pPr>
            <w:r/>
            <w:r>
              <w:rPr>
                <w:sz w:val="16"/>
              </w:rPr>
              <w:t>domestic</w:t>
            </w:r>
          </w:p>
        </w:tc>
      </w:tr>
      <w:tr>
        <w:tc>
          <w:tcPr>
            <w:tcW w:w="550" w:type="dxa"/>
          </w:tcPr>
          <w:p>
            <w:pPr>
              <w:spacing w:before="10" w:after="10"/>
            </w:pPr>
            <w:r/>
            <w:r>
              <w:rPr>
                <w:sz w:val="16"/>
              </w:rPr>
              <w:t>4</w:t>
            </w:r>
          </w:p>
        </w:tc>
        <w:tc>
          <w:tcPr>
            <w:tcW w:w="1500" w:type="dxa"/>
          </w:tcPr>
          <w:p>
            <w:pPr>
              <w:spacing w:before="10" w:after="10"/>
            </w:pPr>
            <w:r/>
            <w:r>
              <w:rPr>
                <w:sz w:val="16"/>
              </w:rPr>
              <w:t>Ethiopia</w:t>
            </w:r>
          </w:p>
        </w:tc>
        <w:tc>
          <w:tcPr>
            <w:tcW w:w="900" w:type="dxa"/>
          </w:tcPr>
          <w:p>
            <w:pPr>
              <w:jc w:val="right"/>
              <w:spacing w:before="10" w:after="10"/>
            </w:pPr>
            <w:r/>
            <w:r>
              <w:rPr>
                <w:sz w:val="16"/>
              </w:rPr>
              <w:t>$1.13</w:t>
            </w:r>
          </w:p>
        </w:tc>
        <w:tc>
          <w:tcPr>
            <w:tcW w:w="900" w:type="dxa"/>
          </w:tcPr>
          <w:p>
            <w:pPr>
              <w:jc w:val="right"/>
              <w:spacing w:before="10" w:after="10"/>
            </w:pPr>
            <w:r/>
            <w:r>
              <w:rPr>
                <w:sz w:val="16"/>
              </w:rPr>
              <w:t>$0.026</w:t>
            </w:r>
          </w:p>
        </w:tc>
        <w:tc>
          <w:tcPr>
            <w:tcW w:w="900" w:type="dxa"/>
          </w:tcPr>
          <w:p>
            <w:pPr>
              <w:jc w:val="right"/>
              <w:spacing w:before="10" w:after="10"/>
            </w:pPr>
            <w:r/>
            <w:r>
              <w:rPr>
                <w:sz w:val="16"/>
              </w:rPr>
              <w:t>$0.045</w:t>
            </w:r>
          </w:p>
        </w:tc>
        <w:tc>
          <w:tcPr>
            <w:tcW w:w="500" w:type="dxa"/>
          </w:tcPr>
          <w:p>
            <w:pPr>
              <w:jc w:val="right"/>
              <w:spacing w:before="10" w:after="10"/>
            </w:pPr>
            <w:r/>
            <w:r>
              <w:rPr>
                <w:sz w:val="16"/>
              </w:rPr>
              <w:t>1.25</w:t>
            </w:r>
          </w:p>
        </w:tc>
        <w:tc>
          <w:tcPr>
            <w:tcW w:w="850" w:type="dxa"/>
          </w:tcPr>
          <w:p>
            <w:pPr>
              <w:jc w:val="right"/>
              <w:spacing w:before="10" w:after="10"/>
            </w:pPr>
            <w:r/>
            <w:r>
              <w:rPr>
                <w:sz w:val="16"/>
              </w:rPr>
              <w:t>$0.030</w:t>
            </w:r>
          </w:p>
        </w:tc>
        <w:tc>
          <w:tcPr>
            <w:tcW w:w="750" w:type="dxa"/>
          </w:tcPr>
          <w:p>
            <w:pPr>
              <w:jc w:val="right"/>
              <w:spacing w:before="10" w:after="10"/>
            </w:pPr>
            <w:r/>
            <w:r>
              <w:rPr>
                <w:sz w:val="16"/>
              </w:rPr>
              <w:t>$0.050</w:t>
            </w:r>
          </w:p>
        </w:tc>
        <w:tc>
          <w:tcPr>
            <w:tcW w:w="750" w:type="dxa"/>
          </w:tcPr>
          <w:p>
            <w:pPr>
              <w:spacing w:before="10" w:after="10"/>
            </w:pPr>
            <w:r/>
            <w:r>
              <w:rPr>
                <w:sz w:val="16"/>
              </w:rPr>
              <w:t>n/a</w:t>
            </w:r>
          </w:p>
        </w:tc>
      </w:tr>
      <w:tr>
        <w:tc>
          <w:tcPr>
            <w:tcW w:w="550" w:type="dxa"/>
          </w:tcPr>
          <w:p>
            <w:pPr>
              <w:spacing w:before="10" w:after="10"/>
            </w:pPr>
            <w:r/>
            <w:r>
              <w:rPr>
                <w:sz w:val="16"/>
              </w:rPr>
              <w:t>5(13)</w:t>
            </w:r>
          </w:p>
        </w:tc>
        <w:tc>
          <w:tcPr>
            <w:tcW w:w="1500" w:type="dxa"/>
          </w:tcPr>
          <w:p>
            <w:pPr>
              <w:spacing w:before="10" w:after="10"/>
            </w:pPr>
            <w:r/>
            <w:r>
              <w:rPr>
                <w:sz w:val="16"/>
              </w:rPr>
              <w:t>Algeria</w:t>
            </w:r>
          </w:p>
        </w:tc>
        <w:tc>
          <w:tcPr>
            <w:tcW w:w="900" w:type="dxa"/>
          </w:tcPr>
          <w:p>
            <w:pPr>
              <w:jc w:val="right"/>
              <w:spacing w:before="10" w:after="10"/>
            </w:pPr>
            <w:r/>
            <w:r>
              <w:rPr>
                <w:sz w:val="16"/>
              </w:rPr>
              <w:t>$1.13</w:t>
            </w:r>
          </w:p>
        </w:tc>
        <w:tc>
          <w:tcPr>
            <w:tcW w:w="900" w:type="dxa"/>
          </w:tcPr>
          <w:p>
            <w:pPr>
              <w:jc w:val="right"/>
              <w:spacing w:before="10" w:after="10"/>
            </w:pPr>
            <w:r/>
            <w:r>
              <w:rPr>
                <w:sz w:val="16"/>
              </w:rPr>
              <w:t>$0.032</w:t>
            </w:r>
          </w:p>
        </w:tc>
        <w:tc>
          <w:tcPr>
            <w:tcW w:w="900" w:type="dxa"/>
          </w:tcPr>
          <w:p>
            <w:pPr>
              <w:jc w:val="right"/>
              <w:spacing w:before="10" w:after="10"/>
            </w:pPr>
            <w:r/>
            <w:r>
              <w:rPr>
                <w:sz w:val="16"/>
              </w:rPr>
              <w:t>$0.042</w:t>
            </w:r>
          </w:p>
        </w:tc>
        <w:tc>
          <w:tcPr>
            <w:tcW w:w="500" w:type="dxa"/>
          </w:tcPr>
          <w:p>
            <w:pPr>
              <w:jc w:val="right"/>
              <w:spacing w:before="10" w:after="10"/>
            </w:pPr>
            <w:r/>
            <w:r>
              <w:rPr>
                <w:sz w:val="16"/>
              </w:rPr>
              <w:t>1.39</w:t>
            </w:r>
          </w:p>
        </w:tc>
        <w:tc>
          <w:tcPr>
            <w:tcW w:w="850" w:type="dxa"/>
          </w:tcPr>
          <w:p>
            <w:pPr>
              <w:jc w:val="right"/>
              <w:spacing w:before="10" w:after="10"/>
            </w:pPr>
            <w:r/>
            <w:r>
              <w:rPr>
                <w:sz w:val="16"/>
              </w:rPr>
              <w:t>$0.033</w:t>
            </w:r>
          </w:p>
        </w:tc>
        <w:tc>
          <w:tcPr>
            <w:tcW w:w="750" w:type="dxa"/>
          </w:tcPr>
          <w:p>
            <w:pPr>
              <w:jc w:val="right"/>
              <w:spacing w:before="10" w:after="10"/>
            </w:pPr>
            <w:r/>
            <w:r>
              <w:rPr>
                <w:sz w:val="16"/>
              </w:rPr>
              <w:t>$0.065</w:t>
            </w:r>
          </w:p>
        </w:tc>
        <w:tc>
          <w:tcPr>
            <w:tcW w:w="750" w:type="dxa"/>
          </w:tcPr>
          <w:p>
            <w:pPr>
              <w:spacing w:before="10" w:after="10"/>
            </w:pPr>
            <w:r/>
            <w:r>
              <w:rPr>
                <w:sz w:val="16"/>
              </w:rPr>
              <w:t>hybrid</w:t>
            </w:r>
          </w:p>
        </w:tc>
      </w:tr>
      <w:tr>
        <w:tc>
          <w:tcPr>
            <w:tcW w:w="550" w:type="dxa"/>
          </w:tcPr>
          <w:p>
            <w:pPr>
              <w:spacing w:before="10" w:after="10"/>
            </w:pPr>
            <w:r/>
            <w:r>
              <w:rPr>
                <w:sz w:val="16"/>
              </w:rPr>
              <w:t>6(19)</w:t>
            </w:r>
          </w:p>
        </w:tc>
        <w:tc>
          <w:tcPr>
            <w:tcW w:w="1500" w:type="dxa"/>
          </w:tcPr>
          <w:p>
            <w:pPr>
              <w:spacing w:before="10" w:after="10"/>
            </w:pPr>
            <w:r/>
            <w:r>
              <w:rPr>
                <w:sz w:val="16"/>
              </w:rPr>
              <w:t>Egypt</w:t>
            </w:r>
          </w:p>
        </w:tc>
        <w:tc>
          <w:tcPr>
            <w:tcW w:w="900" w:type="dxa"/>
          </w:tcPr>
          <w:p>
            <w:pPr>
              <w:jc w:val="right"/>
              <w:spacing w:before="10" w:after="10"/>
            </w:pPr>
            <w:r/>
            <w:r>
              <w:rPr>
                <w:sz w:val="16"/>
              </w:rPr>
              <w:t>$1.13</w:t>
            </w:r>
          </w:p>
        </w:tc>
        <w:tc>
          <w:tcPr>
            <w:tcW w:w="900" w:type="dxa"/>
          </w:tcPr>
          <w:p>
            <w:pPr>
              <w:jc w:val="right"/>
              <w:spacing w:before="10" w:after="10"/>
            </w:pPr>
            <w:r/>
            <w:r>
              <w:rPr>
                <w:sz w:val="16"/>
              </w:rPr>
              <w:t>$0.035</w:t>
            </w:r>
          </w:p>
        </w:tc>
        <w:tc>
          <w:tcPr>
            <w:tcW w:w="900" w:type="dxa"/>
          </w:tcPr>
          <w:p>
            <w:pPr>
              <w:jc w:val="right"/>
              <w:spacing w:before="10" w:after="10"/>
            </w:pPr>
            <w:r/>
            <w:r>
              <w:rPr>
                <w:sz w:val="16"/>
              </w:rPr>
              <w:t>$0.042</w:t>
            </w:r>
          </w:p>
        </w:tc>
        <w:tc>
          <w:tcPr>
            <w:tcW w:w="500" w:type="dxa"/>
          </w:tcPr>
          <w:p>
            <w:pPr>
              <w:jc w:val="right"/>
              <w:spacing w:before="10" w:after="10"/>
            </w:pPr>
            <w:r/>
            <w:r>
              <w:rPr>
                <w:sz w:val="16"/>
              </w:rPr>
              <w:t>1.33</w:t>
            </w:r>
          </w:p>
        </w:tc>
        <w:tc>
          <w:tcPr>
            <w:tcW w:w="850" w:type="dxa"/>
          </w:tcPr>
          <w:p>
            <w:pPr>
              <w:jc w:val="right"/>
              <w:spacing w:before="10" w:after="10"/>
            </w:pPr>
            <w:r/>
            <w:r>
              <w:rPr>
                <w:sz w:val="16"/>
              </w:rPr>
              <w:t>$0.038</w:t>
            </w:r>
          </w:p>
        </w:tc>
        <w:tc>
          <w:tcPr>
            <w:tcW w:w="750" w:type="dxa"/>
          </w:tcPr>
          <w:p>
            <w:pPr>
              <w:jc w:val="right"/>
              <w:spacing w:before="10" w:after="10"/>
            </w:pPr>
            <w:r/>
            <w:r>
              <w:rPr>
                <w:sz w:val="16"/>
              </w:rPr>
              <w:t>$0.080</w:t>
            </w:r>
          </w:p>
        </w:tc>
        <w:tc>
          <w:tcPr>
            <w:tcW w:w="750" w:type="dxa"/>
          </w:tcPr>
          <w:p>
            <w:pPr>
              <w:spacing w:before="10" w:after="10"/>
            </w:pPr>
            <w:r/>
            <w:r>
              <w:rPr>
                <w:sz w:val="16"/>
              </w:rPr>
              <w:t>hybrid</w:t>
            </w:r>
          </w:p>
        </w:tc>
      </w:tr>
      <w:tr>
        <w:tc>
          <w:tcPr>
            <w:tcW w:w="550" w:type="dxa"/>
          </w:tcPr>
          <w:p>
            <w:pPr>
              <w:spacing w:before="10" w:after="10"/>
            </w:pPr>
            <w:r/>
            <w:r>
              <w:rPr>
                <w:sz w:val="16"/>
              </w:rPr>
              <w:t>7(2)</w:t>
            </w:r>
          </w:p>
        </w:tc>
        <w:tc>
          <w:tcPr>
            <w:tcW w:w="1500" w:type="dxa"/>
          </w:tcPr>
          <w:p>
            <w:pPr>
              <w:spacing w:before="10" w:after="10"/>
            </w:pPr>
            <w:r/>
            <w:r>
              <w:rPr>
                <w:sz w:val="16"/>
              </w:rPr>
              <w:t>Canada</w:t>
            </w:r>
          </w:p>
        </w:tc>
        <w:tc>
          <w:tcPr>
            <w:tcW w:w="900" w:type="dxa"/>
          </w:tcPr>
          <w:p>
            <w:pPr>
              <w:jc w:val="right"/>
              <w:spacing w:before="10" w:after="10"/>
            </w:pPr>
            <w:r/>
            <w:r>
              <w:rPr>
                <w:sz w:val="16"/>
              </w:rPr>
              <w:t>$1.14</w:t>
            </w:r>
          </w:p>
        </w:tc>
        <w:tc>
          <w:tcPr>
            <w:tcW w:w="900" w:type="dxa"/>
          </w:tcPr>
          <w:p>
            <w:pPr>
              <w:jc w:val="right"/>
              <w:spacing w:before="10" w:after="10"/>
            </w:pPr>
            <w:r/>
            <w:r>
              <w:rPr>
                <w:sz w:val="16"/>
              </w:rPr>
              <w:t>$0.034</w:t>
            </w:r>
          </w:p>
        </w:tc>
        <w:tc>
          <w:tcPr>
            <w:tcW w:w="900" w:type="dxa"/>
          </w:tcPr>
          <w:p>
            <w:pPr>
              <w:jc w:val="right"/>
              <w:spacing w:before="10" w:after="10"/>
            </w:pPr>
            <w:r/>
            <w:r>
              <w:rPr>
                <w:sz w:val="16"/>
              </w:rPr>
              <w:t>$0.050</w:t>
            </w:r>
          </w:p>
        </w:tc>
        <w:tc>
          <w:tcPr>
            <w:tcW w:w="500" w:type="dxa"/>
          </w:tcPr>
          <w:p>
            <w:pPr>
              <w:jc w:val="right"/>
              <w:spacing w:before="10" w:after="10"/>
            </w:pPr>
            <w:r/>
            <w:r>
              <w:rPr>
                <w:sz w:val="16"/>
              </w:rPr>
              <w:t>1.08</w:t>
            </w:r>
          </w:p>
        </w:tc>
        <w:tc>
          <w:tcPr>
            <w:tcW w:w="850" w:type="dxa"/>
          </w:tcPr>
          <w:p>
            <w:pPr>
              <w:jc w:val="right"/>
              <w:spacing w:before="10" w:after="10"/>
            </w:pPr>
            <w:r/>
            <w:r>
              <w:rPr>
                <w:sz w:val="16"/>
              </w:rPr>
              <w:t>$0.045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10(34)</w:t>
            </w:r>
          </w:p>
        </w:tc>
        <w:tc>
          <w:tcPr>
            <w:tcW w:w="1500" w:type="dxa"/>
          </w:tcPr>
          <w:p>
            <w:pPr>
              <w:spacing w:before="10" w:after="10"/>
            </w:pPr>
            <w:r/>
            <w:r>
              <w:rPr>
                <w:sz w:val="16"/>
              </w:rPr>
              <w:t>South Africa</w:t>
            </w:r>
          </w:p>
        </w:tc>
        <w:tc>
          <w:tcPr>
            <w:tcW w:w="900" w:type="dxa"/>
          </w:tcPr>
          <w:p>
            <w:pPr>
              <w:jc w:val="right"/>
              <w:spacing w:before="10" w:after="10"/>
            </w:pPr>
            <w:r/>
            <w:r>
              <w:rPr>
                <w:sz w:val="16"/>
              </w:rPr>
              <w:t>$1.14</w:t>
            </w:r>
          </w:p>
        </w:tc>
        <w:tc>
          <w:tcPr>
            <w:tcW w:w="900" w:type="dxa"/>
          </w:tcPr>
          <w:p>
            <w:pPr>
              <w:jc w:val="right"/>
              <w:spacing w:before="10" w:after="10"/>
            </w:pPr>
            <w:r/>
            <w:r>
              <w:rPr>
                <w:sz w:val="16"/>
              </w:rPr>
              <w:t>$0.034</w:t>
            </w:r>
          </w:p>
        </w:tc>
        <w:tc>
          <w:tcPr>
            <w:tcW w:w="900" w:type="dxa"/>
          </w:tcPr>
          <w:p>
            <w:pPr>
              <w:jc w:val="right"/>
              <w:spacing w:before="10" w:after="10"/>
            </w:pPr>
            <w:r/>
            <w:r>
              <w:rPr>
                <w:sz w:val="16"/>
              </w:rPr>
              <w:t>$0.054</w:t>
            </w:r>
          </w:p>
        </w:tc>
        <w:tc>
          <w:tcPr>
            <w:tcW w:w="500" w:type="dxa"/>
          </w:tcPr>
          <w:p>
            <w:pPr>
              <w:jc w:val="right"/>
              <w:spacing w:before="10" w:after="10"/>
            </w:pPr>
            <w:r/>
            <w:r>
              <w:rPr>
                <w:sz w:val="16"/>
              </w:rPr>
              <w:t>1.21</w:t>
            </w:r>
          </w:p>
        </w:tc>
        <w:tc>
          <w:tcPr>
            <w:tcW w:w="850" w:type="dxa"/>
          </w:tcPr>
          <w:p>
            <w:pPr>
              <w:jc w:val="right"/>
              <w:spacing w:before="10" w:after="10"/>
            </w:pPr>
            <w:r/>
            <w:r>
              <w:rPr>
                <w:sz w:val="16"/>
              </w:rPr>
              <w:t>$0.040</w:t>
            </w:r>
          </w:p>
        </w:tc>
        <w:tc>
          <w:tcPr>
            <w:tcW w:w="750" w:type="dxa"/>
          </w:tcPr>
          <w:p>
            <w:pPr>
              <w:jc w:val="right"/>
              <w:spacing w:before="10" w:after="10"/>
            </w:pPr>
            <w:r/>
            <w:r>
              <w:rPr>
                <w:sz w:val="16"/>
              </w:rPr>
              <w:t>$0.095</w:t>
            </w:r>
          </w:p>
        </w:tc>
        <w:tc>
          <w:tcPr>
            <w:tcW w:w="750" w:type="dxa"/>
          </w:tcPr>
          <w:p>
            <w:pPr>
              <w:spacing w:before="10" w:after="10"/>
            </w:pPr>
            <w:r/>
            <w:r>
              <w:rPr>
                <w:sz w:val="16"/>
              </w:rPr>
              <w:t>hybrid</w:t>
            </w:r>
          </w:p>
        </w:tc>
      </w:tr>
      <w:tr>
        <w:tc>
          <w:tcPr>
            <w:tcW w:w="550" w:type="dxa"/>
          </w:tcPr>
          <w:p>
            <w:pPr>
              <w:spacing w:before="10" w:after="10"/>
            </w:pPr>
            <w:r/>
            <w:r>
              <w:rPr>
                <w:sz w:val="16"/>
              </w:rPr>
              <w:t>13(30)</w:t>
            </w:r>
          </w:p>
        </w:tc>
        <w:tc>
          <w:tcPr>
            <w:tcW w:w="1500" w:type="dxa"/>
          </w:tcPr>
          <w:p>
            <w:pPr>
              <w:spacing w:before="10" w:after="10"/>
            </w:pPr>
            <w:r/>
            <w:r>
              <w:rPr>
                <w:sz w:val="16"/>
              </w:rPr>
              <w:t>Nigeria</w:t>
            </w:r>
          </w:p>
        </w:tc>
        <w:tc>
          <w:tcPr>
            <w:tcW w:w="900" w:type="dxa"/>
          </w:tcPr>
          <w:p>
            <w:pPr>
              <w:jc w:val="right"/>
              <w:spacing w:before="10" w:after="10"/>
            </w:pPr>
            <w:r/>
            <w:r>
              <w:rPr>
                <w:sz w:val="16"/>
              </w:rPr>
              <w:t>$1.15</w:t>
            </w:r>
          </w:p>
        </w:tc>
        <w:tc>
          <w:tcPr>
            <w:tcW w:w="900" w:type="dxa"/>
          </w:tcPr>
          <w:p>
            <w:pPr>
              <w:jc w:val="right"/>
              <w:spacing w:before="10" w:after="10"/>
            </w:pPr>
            <w:r/>
            <w:r>
              <w:rPr>
                <w:sz w:val="16"/>
              </w:rPr>
              <w:t>$0.039</w:t>
            </w:r>
          </w:p>
        </w:tc>
        <w:tc>
          <w:tcPr>
            <w:tcW w:w="900" w:type="dxa"/>
          </w:tcPr>
          <w:p>
            <w:pPr>
              <w:jc w:val="right"/>
              <w:spacing w:before="10" w:after="10"/>
            </w:pPr>
            <w:r/>
            <w:r>
              <w:rPr>
                <w:sz w:val="16"/>
              </w:rPr>
              <w:t>$0.056</w:t>
            </w:r>
          </w:p>
        </w:tc>
        <w:tc>
          <w:tcPr>
            <w:tcW w:w="500" w:type="dxa"/>
          </w:tcPr>
          <w:p>
            <w:pPr>
              <w:jc w:val="right"/>
              <w:spacing w:before="10" w:after="10"/>
            </w:pPr>
            <w:r/>
            <w:r>
              <w:rPr>
                <w:sz w:val="16"/>
              </w:rPr>
              <w:t>1.33</w:t>
            </w:r>
          </w:p>
        </w:tc>
        <w:tc>
          <w:tcPr>
            <w:tcW w:w="850" w:type="dxa"/>
          </w:tcPr>
          <w:p>
            <w:pPr>
              <w:jc w:val="right"/>
              <w:spacing w:before="10" w:after="10"/>
            </w:pPr>
            <w:r/>
            <w:r>
              <w:rPr>
                <w:sz w:val="16"/>
              </w:rPr>
              <w:t>$0.042</w:t>
            </w:r>
          </w:p>
        </w:tc>
        <w:tc>
          <w:tcPr>
            <w:tcW w:w="750" w:type="dxa"/>
          </w:tcPr>
          <w:p>
            <w:pPr>
              <w:jc w:val="right"/>
              <w:spacing w:before="10" w:after="10"/>
            </w:pPr>
            <w:r/>
            <w:r>
              <w:rPr>
                <w:sz w:val="16"/>
              </w:rPr>
              <w:t>$0.080</w:t>
            </w:r>
          </w:p>
        </w:tc>
        <w:tc>
          <w:tcPr>
            <w:tcW w:w="750" w:type="dxa"/>
          </w:tcPr>
          <w:p>
            <w:pPr>
              <w:spacing w:before="10" w:after="10"/>
            </w:pPr>
            <w:r/>
            <w:r>
              <w:rPr>
                <w:sz w:val="16"/>
              </w:rPr>
              <w:t>hybrid</w:t>
            </w:r>
          </w:p>
        </w:tc>
      </w:tr>
      <w:tr>
        <w:tc>
          <w:tcPr>
            <w:tcW w:w="550" w:type="dxa"/>
          </w:tcPr>
          <w:p>
            <w:pPr>
              <w:spacing w:before="10" w:after="10"/>
            </w:pPr>
            <w:r/>
            <w:r>
              <w:rPr>
                <w:sz w:val="16"/>
              </w:rPr>
              <w:t>15(8)</w:t>
            </w:r>
          </w:p>
        </w:tc>
        <w:tc>
          <w:tcPr>
            <w:tcW w:w="1500" w:type="dxa"/>
          </w:tcPr>
          <w:p>
            <w:pPr>
              <w:spacing w:before="10" w:after="10"/>
            </w:pPr>
            <w:r/>
            <w:r>
              <w:rPr>
                <w:sz w:val="16"/>
              </w:rPr>
              <w:t>China</w:t>
            </w:r>
          </w:p>
        </w:tc>
        <w:tc>
          <w:tcPr>
            <w:tcW w:w="900" w:type="dxa"/>
          </w:tcPr>
          <w:p>
            <w:pPr>
              <w:jc w:val="right"/>
              <w:spacing w:before="10" w:after="10"/>
            </w:pPr>
            <w:r/>
            <w:r>
              <w:rPr>
                <w:sz w:val="16"/>
              </w:rPr>
              <w:t>$1.15</w:t>
            </w:r>
          </w:p>
        </w:tc>
        <w:tc>
          <w:tcPr>
            <w:tcW w:w="900" w:type="dxa"/>
          </w:tcPr>
          <w:p>
            <w:pPr>
              <w:jc w:val="right"/>
              <w:spacing w:before="10" w:after="10"/>
            </w:pPr>
            <w:r/>
            <w:r>
              <w:rPr>
                <w:sz w:val="16"/>
              </w:rPr>
              <w:t>$0.065</w:t>
            </w:r>
          </w:p>
        </w:tc>
        <w:tc>
          <w:tcPr>
            <w:tcW w:w="900" w:type="dxa"/>
          </w:tcPr>
          <w:p>
            <w:pPr>
              <w:jc w:val="right"/>
              <w:spacing w:before="10" w:after="10"/>
            </w:pPr>
            <w:r/>
            <w:r>
              <w:rPr>
                <w:sz w:val="16"/>
              </w:rPr>
              <w:t>$0.033</w:t>
            </w:r>
          </w:p>
        </w:tc>
        <w:tc>
          <w:tcPr>
            <w:tcW w:w="500" w:type="dxa"/>
          </w:tcPr>
          <w:p>
            <w:pPr>
              <w:jc w:val="right"/>
              <w:spacing w:before="10" w:after="10"/>
            </w:pPr>
            <w:r/>
            <w:r>
              <w:rPr>
                <w:sz w:val="16"/>
              </w:rPr>
              <w:t>1.17</w:t>
            </w:r>
          </w:p>
        </w:tc>
        <w:tc>
          <w:tcPr>
            <w:tcW w:w="850" w:type="dxa"/>
          </w:tcPr>
          <w:p>
            <w:pPr>
              <w:jc w:val="right"/>
              <w:spacing w:before="10" w:after="10"/>
            </w:pPr>
            <w:r/>
            <w:r>
              <w:rPr>
                <w:sz w:val="16"/>
              </w:rPr>
              <w:t>$0.079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16(59)</w:t>
            </w:r>
          </w:p>
        </w:tc>
        <w:tc>
          <w:tcPr>
            <w:tcW w:w="1500" w:type="dxa"/>
          </w:tcPr>
          <w:p>
            <w:pPr>
              <w:spacing w:before="10" w:after="10"/>
            </w:pPr>
            <w:r/>
            <w:r>
              <w:rPr>
                <w:sz w:val="16"/>
              </w:rPr>
              <w:t>Qatar</w:t>
            </w:r>
          </w:p>
        </w:tc>
        <w:tc>
          <w:tcPr>
            <w:tcW w:w="900" w:type="dxa"/>
          </w:tcPr>
          <w:p>
            <w:pPr>
              <w:jc w:val="right"/>
              <w:spacing w:before="10" w:after="10"/>
            </w:pPr>
            <w:r/>
            <w:r>
              <w:rPr>
                <w:sz w:val="16"/>
              </w:rPr>
              <w:t>$1.15</w:t>
            </w:r>
          </w:p>
        </w:tc>
        <w:tc>
          <w:tcPr>
            <w:tcW w:w="900" w:type="dxa"/>
          </w:tcPr>
          <w:p>
            <w:pPr>
              <w:jc w:val="right"/>
              <w:spacing w:before="10" w:after="10"/>
            </w:pPr>
            <w:r/>
            <w:r>
              <w:rPr>
                <w:sz w:val="16"/>
              </w:rPr>
              <w:t>$0.035</w:t>
            </w:r>
          </w:p>
        </w:tc>
        <w:tc>
          <w:tcPr>
            <w:tcW w:w="900" w:type="dxa"/>
          </w:tcPr>
          <w:p>
            <w:pPr>
              <w:jc w:val="right"/>
              <w:spacing w:before="10" w:after="10"/>
            </w:pPr>
            <w:r/>
            <w:r>
              <w:rPr>
                <w:sz w:val="16"/>
              </w:rPr>
              <w:t>$0.063</w:t>
            </w:r>
          </w:p>
        </w:tc>
        <w:tc>
          <w:tcPr>
            <w:tcW w:w="500" w:type="dxa"/>
          </w:tcPr>
          <w:p>
            <w:pPr>
              <w:jc w:val="right"/>
              <w:spacing w:before="10" w:after="10"/>
            </w:pPr>
            <w:r/>
            <w:r>
              <w:rPr>
                <w:sz w:val="16"/>
              </w:rPr>
              <w:t>1.40</w:t>
            </w:r>
          </w:p>
        </w:tc>
        <w:tc>
          <w:tcPr>
            <w:tcW w:w="850" w:type="dxa"/>
          </w:tcPr>
          <w:p>
            <w:pPr>
              <w:jc w:val="right"/>
              <w:spacing w:before="10" w:after="10"/>
            </w:pPr>
            <w:r/>
            <w:r>
              <w:rPr>
                <w:sz w:val="16"/>
              </w:rPr>
              <w:t>$0.036</w:t>
            </w:r>
          </w:p>
        </w:tc>
        <w:tc>
          <w:tcPr>
            <w:tcW w:w="750" w:type="dxa"/>
          </w:tcPr>
          <w:p>
            <w:pPr>
              <w:jc w:val="right"/>
              <w:spacing w:before="10" w:after="10"/>
            </w:pPr>
            <w:r/>
            <w:r>
              <w:rPr>
                <w:sz w:val="16"/>
              </w:rPr>
              <w:t>$0.100</w:t>
            </w:r>
          </w:p>
        </w:tc>
        <w:tc>
          <w:tcPr>
            <w:tcW w:w="750" w:type="dxa"/>
          </w:tcPr>
          <w:p>
            <w:pPr>
              <w:spacing w:before="10" w:after="10"/>
            </w:pPr>
            <w:r/>
            <w:r>
              <w:rPr>
                <w:sz w:val="16"/>
              </w:rPr>
              <w:t>n/a</w:t>
            </w:r>
          </w:p>
        </w:tc>
      </w:tr>
      <w:tr>
        <w:tc>
          <w:tcPr>
            <w:tcW w:w="550" w:type="dxa"/>
          </w:tcPr>
          <w:p>
            <w:pPr>
              <w:spacing w:before="10" w:after="10"/>
            </w:pPr>
            <w:r/>
            <w:r>
              <w:rPr>
                <w:sz w:val="16"/>
              </w:rPr>
              <w:t>17(9)</w:t>
            </w:r>
          </w:p>
        </w:tc>
        <w:tc>
          <w:tcPr>
            <w:tcW w:w="1500" w:type="dxa"/>
          </w:tcPr>
          <w:p>
            <w:pPr>
              <w:spacing w:before="10" w:after="10"/>
            </w:pPr>
            <w:r/>
            <w:r>
              <w:rPr>
                <w:sz w:val="16"/>
              </w:rPr>
              <w:t>Argentina</w:t>
            </w:r>
          </w:p>
        </w:tc>
        <w:tc>
          <w:tcPr>
            <w:tcW w:w="900" w:type="dxa"/>
          </w:tcPr>
          <w:p>
            <w:pPr>
              <w:jc w:val="right"/>
              <w:spacing w:before="10" w:after="10"/>
            </w:pPr>
            <w:r/>
            <w:r>
              <w:rPr>
                <w:sz w:val="16"/>
              </w:rPr>
              <w:t>$1.16</w:t>
            </w:r>
          </w:p>
        </w:tc>
        <w:tc>
          <w:tcPr>
            <w:tcW w:w="900" w:type="dxa"/>
          </w:tcPr>
          <w:p>
            <w:pPr>
              <w:jc w:val="right"/>
              <w:spacing w:before="10" w:after="10"/>
            </w:pPr>
            <w:r/>
            <w:r>
              <w:rPr>
                <w:sz w:val="16"/>
              </w:rPr>
              <w:t>$0.050</w:t>
            </w:r>
          </w:p>
        </w:tc>
        <w:tc>
          <w:tcPr>
            <w:tcW w:w="900" w:type="dxa"/>
          </w:tcPr>
          <w:p>
            <w:pPr>
              <w:jc w:val="right"/>
              <w:spacing w:before="10" w:after="10"/>
            </w:pPr>
            <w:r/>
            <w:r>
              <w:rPr>
                <w:sz w:val="16"/>
              </w:rPr>
              <w:t>$0.052</w:t>
            </w:r>
          </w:p>
        </w:tc>
        <w:tc>
          <w:tcPr>
            <w:tcW w:w="500" w:type="dxa"/>
          </w:tcPr>
          <w:p>
            <w:pPr>
              <w:jc w:val="right"/>
              <w:spacing w:before="10" w:after="10"/>
            </w:pPr>
            <w:r/>
            <w:r>
              <w:rPr>
                <w:sz w:val="16"/>
              </w:rPr>
              <w:t>1.19</w:t>
            </w:r>
          </w:p>
        </w:tc>
        <w:tc>
          <w:tcPr>
            <w:tcW w:w="850" w:type="dxa"/>
          </w:tcPr>
          <w:p>
            <w:pPr>
              <w:jc w:val="right"/>
              <w:spacing w:before="10" w:after="10"/>
            </w:pPr>
            <w:r/>
            <w:r>
              <w:rPr>
                <w:sz w:val="16"/>
              </w:rPr>
              <w:t>$0.060</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19(12)</w:t>
            </w:r>
          </w:p>
        </w:tc>
        <w:tc>
          <w:tcPr>
            <w:tcW w:w="1500" w:type="dxa"/>
          </w:tcPr>
          <w:p>
            <w:pPr>
              <w:spacing w:before="10" w:after="10"/>
            </w:pPr>
            <w:r/>
            <w:r>
              <w:rPr>
                <w:sz w:val="16"/>
              </w:rPr>
              <w:t>Colombia</w:t>
            </w:r>
          </w:p>
        </w:tc>
        <w:tc>
          <w:tcPr>
            <w:tcW w:w="900" w:type="dxa"/>
          </w:tcPr>
          <w:p>
            <w:pPr>
              <w:jc w:val="right"/>
              <w:spacing w:before="10" w:after="10"/>
            </w:pPr>
            <w:r/>
            <w:r>
              <w:rPr>
                <w:sz w:val="16"/>
              </w:rPr>
              <w:t>$1.16</w:t>
            </w:r>
          </w:p>
        </w:tc>
        <w:tc>
          <w:tcPr>
            <w:tcW w:w="900" w:type="dxa"/>
          </w:tcPr>
          <w:p>
            <w:pPr>
              <w:jc w:val="right"/>
              <w:spacing w:before="10" w:after="10"/>
            </w:pPr>
            <w:r/>
            <w:r>
              <w:rPr>
                <w:sz w:val="16"/>
              </w:rPr>
              <w:t>$0.065</w:t>
            </w:r>
          </w:p>
        </w:tc>
        <w:tc>
          <w:tcPr>
            <w:tcW w:w="900" w:type="dxa"/>
          </w:tcPr>
          <w:p>
            <w:pPr>
              <w:jc w:val="right"/>
              <w:spacing w:before="10" w:after="10"/>
            </w:pPr>
            <w:r/>
            <w:r>
              <w:rPr>
                <w:sz w:val="16"/>
              </w:rPr>
              <w:t>$0.040</w:t>
            </w:r>
          </w:p>
        </w:tc>
        <w:tc>
          <w:tcPr>
            <w:tcW w:w="500" w:type="dxa"/>
          </w:tcPr>
          <w:p>
            <w:pPr>
              <w:jc w:val="right"/>
              <w:spacing w:before="10" w:after="10"/>
            </w:pPr>
            <w:r/>
            <w:r>
              <w:rPr>
                <w:sz w:val="16"/>
              </w:rPr>
              <w:t>1.24</w:t>
            </w:r>
          </w:p>
        </w:tc>
        <w:tc>
          <w:tcPr>
            <w:tcW w:w="850" w:type="dxa"/>
          </w:tcPr>
          <w:p>
            <w:pPr>
              <w:jc w:val="right"/>
              <w:spacing w:before="10" w:after="10"/>
            </w:pPr>
            <w:r/>
            <w:r>
              <w:rPr>
                <w:sz w:val="16"/>
              </w:rPr>
              <w:t>$0.075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20(14)</w:t>
            </w:r>
          </w:p>
        </w:tc>
        <w:tc>
          <w:tcPr>
            <w:tcW w:w="1500" w:type="dxa"/>
          </w:tcPr>
          <w:p>
            <w:pPr>
              <w:spacing w:before="10" w:after="10"/>
            </w:pPr>
            <w:r/>
            <w:r>
              <w:rPr>
                <w:sz w:val="16"/>
              </w:rPr>
              <w:t>Norway</w:t>
            </w:r>
          </w:p>
        </w:tc>
        <w:tc>
          <w:tcPr>
            <w:tcW w:w="900" w:type="dxa"/>
          </w:tcPr>
          <w:p>
            <w:pPr>
              <w:jc w:val="right"/>
              <w:spacing w:before="10" w:after="10"/>
            </w:pPr>
            <w:r/>
            <w:r>
              <w:rPr>
                <w:sz w:val="16"/>
              </w:rPr>
              <w:t>$1.16</w:t>
            </w:r>
          </w:p>
        </w:tc>
        <w:tc>
          <w:tcPr>
            <w:tcW w:w="900" w:type="dxa"/>
          </w:tcPr>
          <w:p>
            <w:pPr>
              <w:jc w:val="right"/>
              <w:spacing w:before="10" w:after="10"/>
            </w:pPr>
            <w:r/>
            <w:r>
              <w:rPr>
                <w:sz w:val="16"/>
              </w:rPr>
              <w:t>$0.041</w:t>
            </w:r>
          </w:p>
        </w:tc>
        <w:tc>
          <w:tcPr>
            <w:tcW w:w="900" w:type="dxa"/>
          </w:tcPr>
          <w:p>
            <w:pPr>
              <w:jc w:val="right"/>
              <w:spacing w:before="10" w:after="10"/>
            </w:pPr>
            <w:r/>
            <w:r>
              <w:rPr>
                <w:sz w:val="16"/>
              </w:rPr>
              <w:t>$0.066</w:t>
            </w:r>
          </w:p>
        </w:tc>
        <w:tc>
          <w:tcPr>
            <w:tcW w:w="500" w:type="dxa"/>
          </w:tcPr>
          <w:p>
            <w:pPr>
              <w:jc w:val="right"/>
              <w:spacing w:before="10" w:after="10"/>
            </w:pPr>
            <w:r/>
            <w:r>
              <w:rPr>
                <w:sz w:val="16"/>
              </w:rPr>
              <w:t>1.08</w:t>
            </w:r>
          </w:p>
        </w:tc>
        <w:tc>
          <w:tcPr>
            <w:tcW w:w="850" w:type="dxa"/>
          </w:tcPr>
          <w:p>
            <w:pPr>
              <w:jc w:val="right"/>
              <w:spacing w:before="10" w:after="10"/>
            </w:pPr>
            <w:r/>
            <w:r>
              <w:rPr>
                <w:sz w:val="16"/>
              </w:rPr>
              <w:t>$0.054</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22(15)</w:t>
            </w:r>
          </w:p>
        </w:tc>
        <w:tc>
          <w:tcPr>
            <w:tcW w:w="1500" w:type="dxa"/>
          </w:tcPr>
          <w:p>
            <w:pPr>
              <w:spacing w:before="10" w:after="10"/>
            </w:pPr>
            <w:r/>
            <w:r>
              <w:rPr>
                <w:sz w:val="16"/>
              </w:rPr>
              <w:t>Finland</w:t>
            </w:r>
          </w:p>
        </w:tc>
        <w:tc>
          <w:tcPr>
            <w:tcW w:w="900" w:type="dxa"/>
          </w:tcPr>
          <w:p>
            <w:pPr>
              <w:jc w:val="right"/>
              <w:spacing w:before="10" w:after="10"/>
            </w:pPr>
            <w:r/>
            <w:r>
              <w:rPr>
                <w:sz w:val="16"/>
              </w:rPr>
              <w:t>$1.17</w:t>
            </w:r>
          </w:p>
        </w:tc>
        <w:tc>
          <w:tcPr>
            <w:tcW w:w="900" w:type="dxa"/>
          </w:tcPr>
          <w:p>
            <w:pPr>
              <w:jc w:val="right"/>
              <w:spacing w:before="10" w:after="10"/>
            </w:pPr>
            <w:r/>
            <w:r>
              <w:rPr>
                <w:sz w:val="16"/>
              </w:rPr>
              <w:t>$0.044</w:t>
            </w:r>
          </w:p>
        </w:tc>
        <w:tc>
          <w:tcPr>
            <w:tcW w:w="900" w:type="dxa"/>
          </w:tcPr>
          <w:p>
            <w:pPr>
              <w:jc w:val="right"/>
              <w:spacing w:before="10" w:after="10"/>
            </w:pPr>
            <w:r/>
            <w:r>
              <w:rPr>
                <w:sz w:val="16"/>
              </w:rPr>
              <w:t>$0.065</w:t>
            </w:r>
          </w:p>
        </w:tc>
        <w:tc>
          <w:tcPr>
            <w:tcW w:w="500" w:type="dxa"/>
          </w:tcPr>
          <w:p>
            <w:pPr>
              <w:jc w:val="right"/>
              <w:spacing w:before="10" w:after="10"/>
            </w:pPr>
            <w:r/>
            <w:r>
              <w:rPr>
                <w:sz w:val="16"/>
              </w:rPr>
              <w:t>1.10</w:t>
            </w:r>
          </w:p>
        </w:tc>
        <w:tc>
          <w:tcPr>
            <w:tcW w:w="850" w:type="dxa"/>
          </w:tcPr>
          <w:p>
            <w:pPr>
              <w:jc w:val="right"/>
              <w:spacing w:before="10" w:after="10"/>
            </w:pPr>
            <w:r/>
            <w:r>
              <w:rPr>
                <w:sz w:val="16"/>
              </w:rPr>
              <w:t>$0.057</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24(56)</w:t>
            </w:r>
          </w:p>
        </w:tc>
        <w:tc>
          <w:tcPr>
            <w:tcW w:w="1500" w:type="dxa"/>
          </w:tcPr>
          <w:p>
            <w:pPr>
              <w:spacing w:before="10" w:after="10"/>
            </w:pPr>
            <w:r/>
            <w:r>
              <w:rPr>
                <w:sz w:val="16"/>
              </w:rPr>
              <w:t>Saudi Arabia</w:t>
            </w:r>
          </w:p>
        </w:tc>
        <w:tc>
          <w:tcPr>
            <w:tcW w:w="900" w:type="dxa"/>
          </w:tcPr>
          <w:p>
            <w:pPr>
              <w:jc w:val="right"/>
              <w:spacing w:before="10" w:after="10"/>
            </w:pPr>
            <w:r/>
            <w:r>
              <w:rPr>
                <w:sz w:val="16"/>
              </w:rPr>
              <w:t>$1.17</w:t>
            </w:r>
          </w:p>
        </w:tc>
        <w:tc>
          <w:tcPr>
            <w:tcW w:w="900" w:type="dxa"/>
          </w:tcPr>
          <w:p>
            <w:pPr>
              <w:jc w:val="right"/>
              <w:spacing w:before="10" w:after="10"/>
            </w:pPr>
            <w:r/>
            <w:r>
              <w:rPr>
                <w:sz w:val="16"/>
              </w:rPr>
              <w:t>$0.052</w:t>
            </w:r>
          </w:p>
        </w:tc>
        <w:tc>
          <w:tcPr>
            <w:tcW w:w="900" w:type="dxa"/>
          </w:tcPr>
          <w:p>
            <w:pPr>
              <w:jc w:val="right"/>
              <w:spacing w:before="10" w:after="10"/>
            </w:pPr>
            <w:r/>
            <w:r>
              <w:rPr>
                <w:sz w:val="16"/>
              </w:rPr>
              <w:t>$0.060</w:t>
            </w:r>
          </w:p>
        </w:tc>
        <w:tc>
          <w:tcPr>
            <w:tcW w:w="500" w:type="dxa"/>
          </w:tcPr>
          <w:p>
            <w:pPr>
              <w:jc w:val="right"/>
              <w:spacing w:before="10" w:after="10"/>
            </w:pPr>
            <w:r/>
            <w:r>
              <w:rPr>
                <w:sz w:val="16"/>
              </w:rPr>
              <w:t>1.40</w:t>
            </w:r>
          </w:p>
        </w:tc>
        <w:tc>
          <w:tcPr>
            <w:tcW w:w="850" w:type="dxa"/>
          </w:tcPr>
          <w:p>
            <w:pPr>
              <w:jc w:val="right"/>
              <w:spacing w:before="10" w:after="10"/>
            </w:pPr>
            <w:r/>
            <w:r>
              <w:rPr>
                <w:sz w:val="16"/>
              </w:rPr>
              <w:t>$0.053</w:t>
            </w:r>
          </w:p>
        </w:tc>
        <w:tc>
          <w:tcPr>
            <w:tcW w:w="750" w:type="dxa"/>
          </w:tcPr>
          <w:p>
            <w:pPr>
              <w:jc w:val="right"/>
              <w:spacing w:before="10" w:after="10"/>
            </w:pPr>
            <w:r/>
            <w:r>
              <w:rPr>
                <w:sz w:val="16"/>
              </w:rPr>
              <w:t>$0.100</w:t>
            </w:r>
          </w:p>
        </w:tc>
        <w:tc>
          <w:tcPr>
            <w:tcW w:w="750" w:type="dxa"/>
          </w:tcPr>
          <w:p>
            <w:pPr>
              <w:spacing w:before="10" w:after="10"/>
            </w:pPr>
            <w:r/>
            <w:r>
              <w:rPr>
                <w:sz w:val="16"/>
              </w:rPr>
              <w:t>hybrid</w:t>
            </w:r>
          </w:p>
        </w:tc>
      </w:tr>
      <w:tr>
        <w:tc>
          <w:tcPr>
            <w:tcW w:w="550" w:type="dxa"/>
          </w:tcPr>
          <w:p>
            <w:pPr>
              <w:spacing w:before="10" w:after="10"/>
            </w:pPr>
            <w:r/>
            <w:r>
              <w:rPr>
                <w:sz w:val="16"/>
              </w:rPr>
              <w:t>25(16)</w:t>
            </w:r>
          </w:p>
        </w:tc>
        <w:tc>
          <w:tcPr>
            <w:tcW w:w="1500" w:type="dxa"/>
          </w:tcPr>
          <w:p>
            <w:pPr>
              <w:spacing w:before="10" w:after="10"/>
            </w:pPr>
            <w:r/>
            <w:r>
              <w:rPr>
                <w:sz w:val="16"/>
              </w:rPr>
              <w:t>Brazil</w:t>
            </w:r>
          </w:p>
        </w:tc>
        <w:tc>
          <w:tcPr>
            <w:tcW w:w="900" w:type="dxa"/>
          </w:tcPr>
          <w:p>
            <w:pPr>
              <w:jc w:val="right"/>
              <w:spacing w:before="10" w:after="10"/>
            </w:pPr>
            <w:r/>
            <w:r>
              <w:rPr>
                <w:sz w:val="16"/>
              </w:rPr>
              <w:t>$1.17</w:t>
            </w:r>
          </w:p>
        </w:tc>
        <w:tc>
          <w:tcPr>
            <w:tcW w:w="900" w:type="dxa"/>
          </w:tcPr>
          <w:p>
            <w:pPr>
              <w:jc w:val="right"/>
              <w:spacing w:before="10" w:after="10"/>
            </w:pPr>
            <w:r/>
            <w:r>
              <w:rPr>
                <w:sz w:val="16"/>
              </w:rPr>
              <w:t>$0.056</w:t>
            </w:r>
          </w:p>
        </w:tc>
        <w:tc>
          <w:tcPr>
            <w:tcW w:w="900" w:type="dxa"/>
          </w:tcPr>
          <w:p>
            <w:pPr>
              <w:jc w:val="right"/>
              <w:spacing w:before="10" w:after="10"/>
            </w:pPr>
            <w:r/>
            <w:r>
              <w:rPr>
                <w:sz w:val="16"/>
              </w:rPr>
              <w:t>$0.057</w:t>
            </w:r>
          </w:p>
        </w:tc>
        <w:tc>
          <w:tcPr>
            <w:tcW w:w="500" w:type="dxa"/>
          </w:tcPr>
          <w:p>
            <w:pPr>
              <w:jc w:val="right"/>
              <w:spacing w:before="10" w:after="10"/>
            </w:pPr>
            <w:r/>
            <w:r>
              <w:rPr>
                <w:sz w:val="16"/>
              </w:rPr>
              <w:t>1.26</w:t>
            </w:r>
          </w:p>
        </w:tc>
        <w:tc>
          <w:tcPr>
            <w:tcW w:w="850" w:type="dxa"/>
          </w:tcPr>
          <w:p>
            <w:pPr>
              <w:jc w:val="right"/>
              <w:spacing w:before="10" w:after="10"/>
            </w:pPr>
            <w:r/>
            <w:r>
              <w:rPr>
                <w:sz w:val="16"/>
              </w:rPr>
              <w:t>$0.063</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26(17)</w:t>
            </w:r>
          </w:p>
        </w:tc>
        <w:tc>
          <w:tcPr>
            <w:tcW w:w="1500" w:type="dxa"/>
          </w:tcPr>
          <w:p>
            <w:pPr>
              <w:spacing w:before="10" w:after="10"/>
            </w:pPr>
            <w:r/>
            <w:r>
              <w:rPr>
                <w:sz w:val="16"/>
              </w:rPr>
              <w:t>Vietnam</w:t>
            </w:r>
          </w:p>
        </w:tc>
        <w:tc>
          <w:tcPr>
            <w:tcW w:w="900" w:type="dxa"/>
          </w:tcPr>
          <w:p>
            <w:pPr>
              <w:jc w:val="right"/>
              <w:spacing w:before="10" w:after="10"/>
            </w:pPr>
            <w:r/>
            <w:r>
              <w:rPr>
                <w:sz w:val="16"/>
              </w:rPr>
              <w:t>$1.17</w:t>
            </w:r>
          </w:p>
        </w:tc>
        <w:tc>
          <w:tcPr>
            <w:tcW w:w="900" w:type="dxa"/>
          </w:tcPr>
          <w:p>
            <w:pPr>
              <w:jc w:val="right"/>
              <w:spacing w:before="10" w:after="10"/>
            </w:pPr>
            <w:r/>
            <w:r>
              <w:rPr>
                <w:sz w:val="16"/>
              </w:rPr>
              <w:t>$0.065</w:t>
            </w:r>
          </w:p>
        </w:tc>
        <w:tc>
          <w:tcPr>
            <w:tcW w:w="900" w:type="dxa"/>
          </w:tcPr>
          <w:p>
            <w:pPr>
              <w:jc w:val="right"/>
              <w:spacing w:before="10" w:after="10"/>
            </w:pPr>
            <w:r/>
            <w:r>
              <w:rPr>
                <w:sz w:val="16"/>
              </w:rPr>
              <w:t>$0.048</w:t>
            </w:r>
          </w:p>
        </w:tc>
        <w:tc>
          <w:tcPr>
            <w:tcW w:w="500" w:type="dxa"/>
          </w:tcPr>
          <w:p>
            <w:pPr>
              <w:jc w:val="right"/>
              <w:spacing w:before="10" w:after="10"/>
            </w:pPr>
            <w:r/>
            <w:r>
              <w:rPr>
                <w:sz w:val="16"/>
              </w:rPr>
              <w:t>1.27</w:t>
            </w:r>
          </w:p>
        </w:tc>
        <w:tc>
          <w:tcPr>
            <w:tcW w:w="850" w:type="dxa"/>
          </w:tcPr>
          <w:p>
            <w:pPr>
              <w:jc w:val="right"/>
              <w:spacing w:before="10" w:after="10"/>
            </w:pPr>
            <w:r/>
            <w:r>
              <w:rPr>
                <w:sz w:val="16"/>
              </w:rPr>
              <w:t>$0.073</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27(43)</w:t>
            </w:r>
          </w:p>
        </w:tc>
        <w:tc>
          <w:tcPr>
            <w:tcW w:w="1500" w:type="dxa"/>
          </w:tcPr>
          <w:p>
            <w:pPr>
              <w:spacing w:before="10" w:after="10"/>
            </w:pPr>
            <w:r/>
            <w:r>
              <w:rPr>
                <w:sz w:val="16"/>
              </w:rPr>
              <w:t>United Arab Emirates</w:t>
            </w:r>
          </w:p>
        </w:tc>
        <w:tc>
          <w:tcPr>
            <w:tcW w:w="900" w:type="dxa"/>
          </w:tcPr>
          <w:p>
            <w:pPr>
              <w:jc w:val="right"/>
              <w:spacing w:before="10" w:after="10"/>
            </w:pPr>
            <w:r/>
            <w:r>
              <w:rPr>
                <w:sz w:val="16"/>
              </w:rPr>
              <w:t>$1.17</w:t>
            </w:r>
          </w:p>
        </w:tc>
        <w:tc>
          <w:tcPr>
            <w:tcW w:w="900" w:type="dxa"/>
          </w:tcPr>
          <w:p>
            <w:pPr>
              <w:jc w:val="right"/>
              <w:spacing w:before="10" w:after="10"/>
            </w:pPr>
            <w:r/>
            <w:r>
              <w:rPr>
                <w:sz w:val="16"/>
              </w:rPr>
              <w:t>$0.064</w:t>
            </w:r>
          </w:p>
        </w:tc>
        <w:tc>
          <w:tcPr>
            <w:tcW w:w="900" w:type="dxa"/>
          </w:tcPr>
          <w:p>
            <w:pPr>
              <w:jc w:val="right"/>
              <w:spacing w:before="10" w:after="10"/>
            </w:pPr>
            <w:r/>
            <w:r>
              <w:rPr>
                <w:sz w:val="16"/>
              </w:rPr>
              <w:t>$0.049</w:t>
            </w:r>
          </w:p>
        </w:tc>
        <w:tc>
          <w:tcPr>
            <w:tcW w:w="500" w:type="dxa"/>
          </w:tcPr>
          <w:p>
            <w:pPr>
              <w:jc w:val="right"/>
              <w:spacing w:before="10" w:after="10"/>
            </w:pPr>
            <w:r/>
            <w:r>
              <w:rPr>
                <w:sz w:val="16"/>
              </w:rPr>
              <w:t>1.41</w:t>
            </w:r>
          </w:p>
        </w:tc>
        <w:tc>
          <w:tcPr>
            <w:tcW w:w="850" w:type="dxa"/>
          </w:tcPr>
          <w:p>
            <w:pPr>
              <w:jc w:val="right"/>
              <w:spacing w:before="10" w:after="10"/>
            </w:pPr>
            <w:r/>
            <w:r>
              <w:rPr>
                <w:sz w:val="16"/>
              </w:rPr>
              <w:t>$0.065</w:t>
            </w:r>
          </w:p>
        </w:tc>
        <w:tc>
          <w:tcPr>
            <w:tcW w:w="750" w:type="dxa"/>
          </w:tcPr>
          <w:p>
            <w:pPr>
              <w:jc w:val="right"/>
              <w:spacing w:before="10" w:after="10"/>
            </w:pPr>
            <w:r/>
            <w:r>
              <w:rPr>
                <w:sz w:val="16"/>
              </w:rPr>
              <w:t>$0.095</w:t>
            </w:r>
          </w:p>
        </w:tc>
        <w:tc>
          <w:tcPr>
            <w:tcW w:w="750" w:type="dxa"/>
          </w:tcPr>
          <w:p>
            <w:pPr>
              <w:spacing w:before="10" w:after="10"/>
            </w:pPr>
            <w:r/>
            <w:r>
              <w:rPr>
                <w:sz w:val="16"/>
              </w:rPr>
              <w:t>hybrid</w:t>
            </w:r>
          </w:p>
        </w:tc>
      </w:tr>
      <w:tr>
        <w:tc>
          <w:tcPr>
            <w:tcW w:w="550" w:type="dxa"/>
          </w:tcPr>
          <w:p>
            <w:pPr>
              <w:spacing w:before="10" w:after="10"/>
            </w:pPr>
            <w:r/>
            <w:r>
              <w:rPr>
                <w:sz w:val="16"/>
              </w:rPr>
              <w:t>28(20)</w:t>
            </w:r>
          </w:p>
        </w:tc>
        <w:tc>
          <w:tcPr>
            <w:tcW w:w="1500" w:type="dxa"/>
          </w:tcPr>
          <w:p>
            <w:pPr>
              <w:spacing w:before="10" w:after="10"/>
            </w:pPr>
            <w:r/>
            <w:r>
              <w:rPr>
                <w:sz w:val="16"/>
              </w:rPr>
              <w:t>Sweden</w:t>
            </w:r>
          </w:p>
        </w:tc>
        <w:tc>
          <w:tcPr>
            <w:tcW w:w="900" w:type="dxa"/>
          </w:tcPr>
          <w:p>
            <w:pPr>
              <w:jc w:val="right"/>
              <w:spacing w:before="10" w:after="10"/>
            </w:pPr>
            <w:r/>
            <w:r>
              <w:rPr>
                <w:sz w:val="16"/>
              </w:rPr>
              <w:t>$1.17</w:t>
            </w:r>
          </w:p>
        </w:tc>
        <w:tc>
          <w:tcPr>
            <w:tcW w:w="900" w:type="dxa"/>
          </w:tcPr>
          <w:p>
            <w:pPr>
              <w:jc w:val="right"/>
              <w:spacing w:before="10" w:after="10"/>
            </w:pPr>
            <w:r/>
            <w:r>
              <w:rPr>
                <w:sz w:val="16"/>
              </w:rPr>
              <w:t>$0.052</w:t>
            </w:r>
          </w:p>
        </w:tc>
        <w:tc>
          <w:tcPr>
            <w:tcW w:w="900" w:type="dxa"/>
          </w:tcPr>
          <w:p>
            <w:pPr>
              <w:jc w:val="right"/>
              <w:spacing w:before="10" w:after="10"/>
            </w:pPr>
            <w:r/>
            <w:r>
              <w:rPr>
                <w:sz w:val="16"/>
              </w:rPr>
              <w:t>$0.065</w:t>
            </w:r>
          </w:p>
        </w:tc>
        <w:tc>
          <w:tcPr>
            <w:tcW w:w="500" w:type="dxa"/>
          </w:tcPr>
          <w:p>
            <w:pPr>
              <w:jc w:val="right"/>
              <w:spacing w:before="10" w:after="10"/>
            </w:pPr>
            <w:r/>
            <w:r>
              <w:rPr>
                <w:sz w:val="16"/>
              </w:rPr>
              <w:t>1.08</w:t>
            </w:r>
          </w:p>
        </w:tc>
        <w:tc>
          <w:tcPr>
            <w:tcW w:w="850" w:type="dxa"/>
          </w:tcPr>
          <w:p>
            <w:pPr>
              <w:jc w:val="right"/>
              <w:spacing w:before="10" w:after="10"/>
            </w:pPr>
            <w:r/>
            <w:r>
              <w:rPr>
                <w:sz w:val="16"/>
              </w:rPr>
              <w:t>$0.068</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29(21)</w:t>
            </w:r>
          </w:p>
        </w:tc>
        <w:tc>
          <w:tcPr>
            <w:tcW w:w="1500" w:type="dxa"/>
          </w:tcPr>
          <w:p>
            <w:pPr>
              <w:spacing w:before="10" w:after="10"/>
            </w:pPr>
            <w:r/>
            <w:r>
              <w:rPr>
                <w:sz w:val="16"/>
              </w:rPr>
              <w:t>India</w:t>
            </w:r>
          </w:p>
        </w:tc>
        <w:tc>
          <w:tcPr>
            <w:tcW w:w="900" w:type="dxa"/>
          </w:tcPr>
          <w:p>
            <w:pPr>
              <w:jc w:val="right"/>
              <w:spacing w:before="10" w:after="10"/>
            </w:pPr>
            <w:r/>
            <w:r>
              <w:rPr>
                <w:sz w:val="16"/>
              </w:rPr>
              <w:t>$1.17</w:t>
            </w:r>
          </w:p>
        </w:tc>
        <w:tc>
          <w:tcPr>
            <w:tcW w:w="900" w:type="dxa"/>
          </w:tcPr>
          <w:p>
            <w:pPr>
              <w:jc w:val="right"/>
              <w:spacing w:before="10" w:after="10"/>
            </w:pPr>
            <w:r/>
            <w:r>
              <w:rPr>
                <w:sz w:val="16"/>
              </w:rPr>
              <w:t>$0.082</w:t>
            </w:r>
          </w:p>
        </w:tc>
        <w:tc>
          <w:tcPr>
            <w:tcW w:w="900" w:type="dxa"/>
          </w:tcPr>
          <w:p>
            <w:pPr>
              <w:jc w:val="right"/>
              <w:spacing w:before="10" w:after="10"/>
            </w:pPr>
            <w:r/>
            <w:r>
              <w:rPr>
                <w:sz w:val="16"/>
              </w:rPr>
              <w:t>$0.035</w:t>
            </w:r>
          </w:p>
        </w:tc>
        <w:tc>
          <w:tcPr>
            <w:tcW w:w="500" w:type="dxa"/>
          </w:tcPr>
          <w:p>
            <w:pPr>
              <w:jc w:val="right"/>
              <w:spacing w:before="10" w:after="10"/>
            </w:pPr>
            <w:r/>
            <w:r>
              <w:rPr>
                <w:sz w:val="16"/>
              </w:rPr>
              <w:t>1.31</w:t>
            </w:r>
          </w:p>
        </w:tc>
        <w:tc>
          <w:tcPr>
            <w:tcW w:w="850" w:type="dxa"/>
          </w:tcPr>
          <w:p>
            <w:pPr>
              <w:jc w:val="right"/>
              <w:spacing w:before="10" w:after="10"/>
            </w:pPr>
            <w:r/>
            <w:r>
              <w:rPr>
                <w:sz w:val="16"/>
              </w:rPr>
              <w:t>$0.090</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30(22)</w:t>
            </w:r>
          </w:p>
        </w:tc>
        <w:tc>
          <w:tcPr>
            <w:tcW w:w="1500" w:type="dxa"/>
          </w:tcPr>
          <w:p>
            <w:pPr>
              <w:spacing w:before="10" w:after="10"/>
            </w:pPr>
            <w:r/>
            <w:r>
              <w:rPr>
                <w:sz w:val="16"/>
              </w:rPr>
              <w:t>Indonesia</w:t>
            </w:r>
          </w:p>
        </w:tc>
        <w:tc>
          <w:tcPr>
            <w:tcW w:w="900" w:type="dxa"/>
          </w:tcPr>
          <w:p>
            <w:pPr>
              <w:jc w:val="right"/>
              <w:spacing w:before="10" w:after="10"/>
            </w:pPr>
            <w:r/>
            <w:r>
              <w:rPr>
                <w:sz w:val="16"/>
              </w:rPr>
              <w:t>$1.17</w:t>
            </w:r>
          </w:p>
        </w:tc>
        <w:tc>
          <w:tcPr>
            <w:tcW w:w="900" w:type="dxa"/>
          </w:tcPr>
          <w:p>
            <w:pPr>
              <w:jc w:val="right"/>
              <w:spacing w:before="10" w:after="10"/>
            </w:pPr>
            <w:r/>
            <w:r>
              <w:rPr>
                <w:sz w:val="16"/>
              </w:rPr>
              <w:t>$0.059</w:t>
            </w:r>
          </w:p>
        </w:tc>
        <w:tc>
          <w:tcPr>
            <w:tcW w:w="900" w:type="dxa"/>
          </w:tcPr>
          <w:p>
            <w:pPr>
              <w:jc w:val="right"/>
              <w:spacing w:before="10" w:after="10"/>
            </w:pPr>
            <w:r/>
            <w:r>
              <w:rPr>
                <w:sz w:val="16"/>
              </w:rPr>
              <w:t>$0.060</w:t>
            </w:r>
          </w:p>
        </w:tc>
        <w:tc>
          <w:tcPr>
            <w:tcW w:w="500" w:type="dxa"/>
          </w:tcPr>
          <w:p>
            <w:pPr>
              <w:jc w:val="right"/>
              <w:spacing w:before="10" w:after="10"/>
            </w:pPr>
            <w:r/>
            <w:r>
              <w:rPr>
                <w:sz w:val="16"/>
              </w:rPr>
              <w:t>1.25</w:t>
            </w:r>
          </w:p>
        </w:tc>
        <w:tc>
          <w:tcPr>
            <w:tcW w:w="850" w:type="dxa"/>
          </w:tcPr>
          <w:p>
            <w:pPr>
              <w:jc w:val="right"/>
              <w:spacing w:before="10" w:after="10"/>
            </w:pPr>
            <w:r/>
            <w:r>
              <w:rPr>
                <w:sz w:val="16"/>
              </w:rPr>
              <w:t>$0.067</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32(26)</w:t>
            </w:r>
          </w:p>
        </w:tc>
        <w:tc>
          <w:tcPr>
            <w:tcW w:w="1500" w:type="dxa"/>
          </w:tcPr>
          <w:p>
            <w:pPr>
              <w:spacing w:before="10" w:after="10"/>
            </w:pPr>
            <w:r/>
            <w:r>
              <w:rPr>
                <w:sz w:val="16"/>
              </w:rPr>
              <w:t>United States of Amer.</w:t>
            </w:r>
          </w:p>
        </w:tc>
        <w:tc>
          <w:tcPr>
            <w:tcW w:w="900" w:type="dxa"/>
          </w:tcPr>
          <w:p>
            <w:pPr>
              <w:jc w:val="right"/>
              <w:spacing w:before="10" w:after="10"/>
            </w:pPr>
            <w:r/>
            <w:r>
              <w:rPr>
                <w:sz w:val="16"/>
              </w:rPr>
              <w:t>$1.18</w:t>
            </w:r>
          </w:p>
        </w:tc>
        <w:tc>
          <w:tcPr>
            <w:tcW w:w="900" w:type="dxa"/>
          </w:tcPr>
          <w:p>
            <w:pPr>
              <w:jc w:val="right"/>
              <w:spacing w:before="10" w:after="10"/>
            </w:pPr>
            <w:r/>
            <w:r>
              <w:rPr>
                <w:sz w:val="16"/>
              </w:rPr>
              <w:t>$0.068</w:t>
            </w:r>
          </w:p>
        </w:tc>
        <w:tc>
          <w:tcPr>
            <w:tcW w:w="900" w:type="dxa"/>
          </w:tcPr>
          <w:p>
            <w:pPr>
              <w:jc w:val="right"/>
              <w:spacing w:before="10" w:after="10"/>
            </w:pPr>
            <w:r/>
            <w:r>
              <w:rPr>
                <w:sz w:val="16"/>
              </w:rPr>
              <w:t>$0.057</w:t>
            </w:r>
          </w:p>
        </w:tc>
        <w:tc>
          <w:tcPr>
            <w:tcW w:w="500" w:type="dxa"/>
          </w:tcPr>
          <w:p>
            <w:pPr>
              <w:jc w:val="right"/>
              <w:spacing w:before="10" w:after="10"/>
            </w:pPr>
            <w:r/>
            <w:r>
              <w:rPr>
                <w:sz w:val="16"/>
              </w:rPr>
              <w:t>1.20</w:t>
            </w:r>
          </w:p>
        </w:tc>
        <w:tc>
          <w:tcPr>
            <w:tcW w:w="850" w:type="dxa"/>
          </w:tcPr>
          <w:p>
            <w:pPr>
              <w:jc w:val="right"/>
              <w:spacing w:before="10" w:after="10"/>
            </w:pPr>
            <w:r/>
            <w:r>
              <w:rPr>
                <w:sz w:val="16"/>
              </w:rPr>
              <w:t>$0.081</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34(29)</w:t>
            </w:r>
          </w:p>
        </w:tc>
        <w:tc>
          <w:tcPr>
            <w:tcW w:w="1500" w:type="dxa"/>
          </w:tcPr>
          <w:p>
            <w:pPr>
              <w:spacing w:before="10" w:after="10"/>
            </w:pPr>
            <w:r/>
            <w:r>
              <w:rPr>
                <w:sz w:val="16"/>
              </w:rPr>
              <w:t>Kenya</w:t>
            </w:r>
          </w:p>
        </w:tc>
        <w:tc>
          <w:tcPr>
            <w:tcW w:w="900" w:type="dxa"/>
          </w:tcPr>
          <w:p>
            <w:pPr>
              <w:jc w:val="right"/>
              <w:spacing w:before="10" w:after="10"/>
            </w:pPr>
            <w:r/>
            <w:r>
              <w:rPr>
                <w:sz w:val="16"/>
              </w:rPr>
              <w:t>$1.19</w:t>
            </w:r>
          </w:p>
        </w:tc>
        <w:tc>
          <w:tcPr>
            <w:tcW w:w="900" w:type="dxa"/>
          </w:tcPr>
          <w:p>
            <w:pPr>
              <w:jc w:val="right"/>
              <w:spacing w:before="10" w:after="10"/>
            </w:pPr>
            <w:r/>
            <w:r>
              <w:rPr>
                <w:sz w:val="16"/>
              </w:rPr>
              <w:t>$0.078</w:t>
            </w:r>
          </w:p>
        </w:tc>
        <w:tc>
          <w:tcPr>
            <w:tcW w:w="900" w:type="dxa"/>
          </w:tcPr>
          <w:p>
            <w:pPr>
              <w:jc w:val="right"/>
              <w:spacing w:before="10" w:after="10"/>
            </w:pPr>
            <w:r/>
            <w:r>
              <w:rPr>
                <w:sz w:val="16"/>
              </w:rPr>
              <w:t>$0.052</w:t>
            </w:r>
          </w:p>
        </w:tc>
        <w:tc>
          <w:tcPr>
            <w:tcW w:w="500" w:type="dxa"/>
          </w:tcPr>
          <w:p>
            <w:pPr>
              <w:jc w:val="right"/>
              <w:spacing w:before="10" w:after="10"/>
            </w:pPr>
            <w:r/>
            <w:r>
              <w:rPr>
                <w:sz w:val="16"/>
              </w:rPr>
              <w:t>1.26</w:t>
            </w:r>
          </w:p>
        </w:tc>
        <w:tc>
          <w:tcPr>
            <w:tcW w:w="850" w:type="dxa"/>
          </w:tcPr>
          <w:p>
            <w:pPr>
              <w:jc w:val="right"/>
              <w:spacing w:before="10" w:after="10"/>
            </w:pPr>
            <w:r/>
            <w:r>
              <w:rPr>
                <w:sz w:val="16"/>
              </w:rPr>
              <w:t>$0.088</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37(33)</w:t>
            </w:r>
          </w:p>
        </w:tc>
        <w:tc>
          <w:tcPr>
            <w:tcW w:w="1500" w:type="dxa"/>
          </w:tcPr>
          <w:p>
            <w:pPr>
              <w:spacing w:before="10" w:after="10"/>
            </w:pPr>
            <w:r/>
            <w:r>
              <w:rPr>
                <w:sz w:val="16"/>
              </w:rPr>
              <w:t>Iceland</w:t>
            </w:r>
          </w:p>
        </w:tc>
        <w:tc>
          <w:tcPr>
            <w:tcW w:w="900" w:type="dxa"/>
          </w:tcPr>
          <w:p>
            <w:pPr>
              <w:jc w:val="right"/>
              <w:spacing w:before="10" w:after="10"/>
            </w:pPr>
            <w:r/>
            <w:r>
              <w:rPr>
                <w:sz w:val="16"/>
              </w:rPr>
              <w:t>$1.19</w:t>
            </w:r>
          </w:p>
        </w:tc>
        <w:tc>
          <w:tcPr>
            <w:tcW w:w="900" w:type="dxa"/>
          </w:tcPr>
          <w:p>
            <w:pPr>
              <w:jc w:val="right"/>
              <w:spacing w:before="10" w:after="10"/>
            </w:pPr>
            <w:r/>
            <w:r>
              <w:rPr>
                <w:sz w:val="16"/>
              </w:rPr>
              <w:t>$0.068</w:t>
            </w:r>
          </w:p>
        </w:tc>
        <w:tc>
          <w:tcPr>
            <w:tcW w:w="900" w:type="dxa"/>
          </w:tcPr>
          <w:p>
            <w:pPr>
              <w:jc w:val="right"/>
              <w:spacing w:before="10" w:after="10"/>
            </w:pPr>
            <w:r/>
            <w:r>
              <w:rPr>
                <w:sz w:val="16"/>
              </w:rPr>
              <w:t>$0.064</w:t>
            </w:r>
          </w:p>
        </w:tc>
        <w:tc>
          <w:tcPr>
            <w:tcW w:w="500" w:type="dxa"/>
          </w:tcPr>
          <w:p>
            <w:pPr>
              <w:jc w:val="right"/>
              <w:spacing w:before="10" w:after="10"/>
            </w:pPr>
            <w:r/>
            <w:r>
              <w:rPr>
                <w:sz w:val="16"/>
              </w:rPr>
              <w:t>1.08</w:t>
            </w:r>
          </w:p>
        </w:tc>
        <w:tc>
          <w:tcPr>
            <w:tcW w:w="850" w:type="dxa"/>
          </w:tcPr>
          <w:p>
            <w:pPr>
              <w:jc w:val="right"/>
              <w:spacing w:before="10" w:after="10"/>
            </w:pPr>
            <w:r/>
            <w:r>
              <w:rPr>
                <w:sz w:val="16"/>
              </w:rPr>
              <w:t>$0.089</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38(35)</w:t>
            </w:r>
          </w:p>
        </w:tc>
        <w:tc>
          <w:tcPr>
            <w:tcW w:w="1500" w:type="dxa"/>
          </w:tcPr>
          <w:p>
            <w:pPr>
              <w:spacing w:before="10" w:after="10"/>
            </w:pPr>
            <w:r/>
            <w:r>
              <w:rPr>
                <w:sz w:val="16"/>
              </w:rPr>
              <w:t>Morocco</w:t>
            </w:r>
          </w:p>
        </w:tc>
        <w:tc>
          <w:tcPr>
            <w:tcW w:w="900" w:type="dxa"/>
          </w:tcPr>
          <w:p>
            <w:pPr>
              <w:jc w:val="right"/>
              <w:spacing w:before="10" w:after="10"/>
            </w:pPr>
            <w:r/>
            <w:r>
              <w:rPr>
                <w:sz w:val="16"/>
              </w:rPr>
              <w:t>$1.19</w:t>
            </w:r>
          </w:p>
        </w:tc>
        <w:tc>
          <w:tcPr>
            <w:tcW w:w="900" w:type="dxa"/>
          </w:tcPr>
          <w:p>
            <w:pPr>
              <w:jc w:val="right"/>
              <w:spacing w:before="10" w:after="10"/>
            </w:pPr>
            <w:r/>
            <w:r>
              <w:rPr>
                <w:sz w:val="16"/>
              </w:rPr>
              <w:t>$0.097</w:t>
            </w:r>
          </w:p>
        </w:tc>
        <w:tc>
          <w:tcPr>
            <w:tcW w:w="900" w:type="dxa"/>
          </w:tcPr>
          <w:p>
            <w:pPr>
              <w:jc w:val="right"/>
              <w:spacing w:before="10" w:after="10"/>
            </w:pPr>
            <w:r/>
            <w:r>
              <w:rPr>
                <w:sz w:val="16"/>
              </w:rPr>
              <w:t>$0.038</w:t>
            </w:r>
          </w:p>
        </w:tc>
        <w:tc>
          <w:tcPr>
            <w:tcW w:w="500" w:type="dxa"/>
          </w:tcPr>
          <w:p>
            <w:pPr>
              <w:jc w:val="right"/>
              <w:spacing w:before="10" w:after="10"/>
            </w:pPr>
            <w:r/>
            <w:r>
              <w:rPr>
                <w:sz w:val="16"/>
              </w:rPr>
              <w:t>1.28</w:t>
            </w:r>
          </w:p>
        </w:tc>
        <w:tc>
          <w:tcPr>
            <w:tcW w:w="850" w:type="dxa"/>
          </w:tcPr>
          <w:p>
            <w:pPr>
              <w:jc w:val="right"/>
              <w:spacing w:before="10" w:after="10"/>
            </w:pPr>
            <w:r/>
            <w:r>
              <w:rPr>
                <w:sz w:val="16"/>
              </w:rPr>
              <w:t>$0.108</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39(36)</w:t>
            </w:r>
          </w:p>
        </w:tc>
        <w:tc>
          <w:tcPr>
            <w:tcW w:w="1500" w:type="dxa"/>
          </w:tcPr>
          <w:p>
            <w:pPr>
              <w:spacing w:before="10" w:after="10"/>
            </w:pPr>
            <w:r/>
            <w:r>
              <w:rPr>
                <w:sz w:val="16"/>
              </w:rPr>
              <w:t>United Kingdom</w:t>
            </w:r>
          </w:p>
        </w:tc>
        <w:tc>
          <w:tcPr>
            <w:tcW w:w="900" w:type="dxa"/>
          </w:tcPr>
          <w:p>
            <w:pPr>
              <w:jc w:val="right"/>
              <w:spacing w:before="10" w:after="10"/>
            </w:pPr>
            <w:r/>
            <w:r>
              <w:rPr>
                <w:sz w:val="16"/>
              </w:rPr>
              <w:t>$1.19</w:t>
            </w:r>
          </w:p>
        </w:tc>
        <w:tc>
          <w:tcPr>
            <w:tcW w:w="900" w:type="dxa"/>
          </w:tcPr>
          <w:p>
            <w:pPr>
              <w:jc w:val="right"/>
              <w:spacing w:before="10" w:after="10"/>
            </w:pPr>
            <w:r/>
            <w:r>
              <w:rPr>
                <w:sz w:val="16"/>
              </w:rPr>
              <w:t>$0.074</w:t>
            </w:r>
          </w:p>
        </w:tc>
        <w:tc>
          <w:tcPr>
            <w:tcW w:w="900" w:type="dxa"/>
          </w:tcPr>
          <w:p>
            <w:pPr>
              <w:jc w:val="right"/>
              <w:spacing w:before="10" w:after="10"/>
            </w:pPr>
            <w:r/>
            <w:r>
              <w:rPr>
                <w:sz w:val="16"/>
              </w:rPr>
              <w:t>$0.063</w:t>
            </w:r>
          </w:p>
        </w:tc>
        <w:tc>
          <w:tcPr>
            <w:tcW w:w="500" w:type="dxa"/>
          </w:tcPr>
          <w:p>
            <w:pPr>
              <w:jc w:val="right"/>
              <w:spacing w:before="10" w:after="10"/>
            </w:pPr>
            <w:r/>
            <w:r>
              <w:rPr>
                <w:sz w:val="16"/>
              </w:rPr>
              <w:t>1.09</w:t>
            </w:r>
          </w:p>
        </w:tc>
        <w:tc>
          <w:tcPr>
            <w:tcW w:w="850" w:type="dxa"/>
          </w:tcPr>
          <w:p>
            <w:pPr>
              <w:jc w:val="right"/>
              <w:spacing w:before="10" w:after="10"/>
            </w:pPr>
            <w:r/>
            <w:r>
              <w:rPr>
                <w:sz w:val="16"/>
              </w:rPr>
              <w:t>$0.097</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40(37)</w:t>
            </w:r>
          </w:p>
        </w:tc>
        <w:tc>
          <w:tcPr>
            <w:tcW w:w="1500" w:type="dxa"/>
          </w:tcPr>
          <w:p>
            <w:pPr>
              <w:spacing w:before="10" w:after="10"/>
            </w:pPr>
            <w:r/>
            <w:r>
              <w:rPr>
                <w:sz w:val="16"/>
              </w:rPr>
              <w:t>Australia</w:t>
            </w:r>
          </w:p>
        </w:tc>
        <w:tc>
          <w:tcPr>
            <w:tcW w:w="900" w:type="dxa"/>
          </w:tcPr>
          <w:p>
            <w:pPr>
              <w:jc w:val="right"/>
              <w:spacing w:before="10" w:after="10"/>
            </w:pPr>
            <w:r/>
            <w:r>
              <w:rPr>
                <w:sz w:val="16"/>
              </w:rPr>
              <w:t>$1.19</w:t>
            </w:r>
          </w:p>
        </w:tc>
        <w:tc>
          <w:tcPr>
            <w:tcW w:w="900" w:type="dxa"/>
          </w:tcPr>
          <w:p>
            <w:pPr>
              <w:jc w:val="right"/>
              <w:spacing w:before="10" w:after="10"/>
            </w:pPr>
            <w:r/>
            <w:r>
              <w:rPr>
                <w:sz w:val="16"/>
              </w:rPr>
              <w:t>$0.081</w:t>
            </w:r>
          </w:p>
        </w:tc>
        <w:tc>
          <w:tcPr>
            <w:tcW w:w="900" w:type="dxa"/>
          </w:tcPr>
          <w:p>
            <w:pPr>
              <w:jc w:val="right"/>
              <w:spacing w:before="10" w:after="10"/>
            </w:pPr>
            <w:r/>
            <w:r>
              <w:rPr>
                <w:sz w:val="16"/>
              </w:rPr>
              <w:t>$0.057</w:t>
            </w:r>
          </w:p>
        </w:tc>
        <w:tc>
          <w:tcPr>
            <w:tcW w:w="500" w:type="dxa"/>
          </w:tcPr>
          <w:p>
            <w:pPr>
              <w:jc w:val="right"/>
              <w:spacing w:before="10" w:after="10"/>
            </w:pPr>
            <w:r/>
            <w:r>
              <w:rPr>
                <w:sz w:val="16"/>
              </w:rPr>
              <w:t>1.29</w:t>
            </w:r>
          </w:p>
        </w:tc>
        <w:tc>
          <w:tcPr>
            <w:tcW w:w="850" w:type="dxa"/>
          </w:tcPr>
          <w:p>
            <w:pPr>
              <w:jc w:val="right"/>
              <w:spacing w:before="10" w:after="10"/>
            </w:pPr>
            <w:r/>
            <w:r>
              <w:rPr>
                <w:sz w:val="16"/>
              </w:rPr>
              <w:t>$0.090</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41(38)</w:t>
            </w:r>
          </w:p>
        </w:tc>
        <w:tc>
          <w:tcPr>
            <w:tcW w:w="1500" w:type="dxa"/>
          </w:tcPr>
          <w:p>
            <w:pPr>
              <w:spacing w:before="10" w:after="10"/>
            </w:pPr>
            <w:r/>
            <w:r>
              <w:rPr>
                <w:sz w:val="16"/>
              </w:rPr>
              <w:t>New Zealand</w:t>
            </w:r>
          </w:p>
        </w:tc>
        <w:tc>
          <w:tcPr>
            <w:tcW w:w="900" w:type="dxa"/>
          </w:tcPr>
          <w:p>
            <w:pPr>
              <w:jc w:val="right"/>
              <w:spacing w:before="10" w:after="10"/>
            </w:pPr>
            <w:r/>
            <w:r>
              <w:rPr>
                <w:sz w:val="16"/>
              </w:rPr>
              <w:t>$1.19</w:t>
            </w:r>
          </w:p>
        </w:tc>
        <w:tc>
          <w:tcPr>
            <w:tcW w:w="900" w:type="dxa"/>
          </w:tcPr>
          <w:p>
            <w:pPr>
              <w:jc w:val="right"/>
              <w:spacing w:before="10" w:after="10"/>
            </w:pPr>
            <w:r/>
            <w:r>
              <w:rPr>
                <w:sz w:val="16"/>
              </w:rPr>
              <w:t>$0.073</w:t>
            </w:r>
          </w:p>
        </w:tc>
        <w:tc>
          <w:tcPr>
            <w:tcW w:w="900" w:type="dxa"/>
          </w:tcPr>
          <w:p>
            <w:pPr>
              <w:jc w:val="right"/>
              <w:spacing w:before="10" w:after="10"/>
            </w:pPr>
            <w:r/>
            <w:r>
              <w:rPr>
                <w:sz w:val="16"/>
              </w:rPr>
              <w:t>$0.065</w:t>
            </w:r>
          </w:p>
        </w:tc>
        <w:tc>
          <w:tcPr>
            <w:tcW w:w="500" w:type="dxa"/>
          </w:tcPr>
          <w:p>
            <w:pPr>
              <w:jc w:val="right"/>
              <w:spacing w:before="10" w:after="10"/>
            </w:pPr>
            <w:r/>
            <w:r>
              <w:rPr>
                <w:sz w:val="16"/>
              </w:rPr>
              <w:t>1.09</w:t>
            </w:r>
          </w:p>
        </w:tc>
        <w:tc>
          <w:tcPr>
            <w:tcW w:w="850" w:type="dxa"/>
          </w:tcPr>
          <w:p>
            <w:pPr>
              <w:jc w:val="right"/>
              <w:spacing w:before="10" w:after="10"/>
            </w:pPr>
            <w:r/>
            <w:r>
              <w:rPr>
                <w:sz w:val="16"/>
              </w:rPr>
              <w:t>$0.095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43(40)</w:t>
            </w:r>
          </w:p>
        </w:tc>
        <w:tc>
          <w:tcPr>
            <w:tcW w:w="1500" w:type="dxa"/>
          </w:tcPr>
          <w:p>
            <w:pPr>
              <w:spacing w:before="10" w:after="10"/>
            </w:pPr>
            <w:r/>
            <w:r>
              <w:rPr>
                <w:sz w:val="16"/>
              </w:rPr>
              <w:t>Mexico</w:t>
            </w:r>
          </w:p>
        </w:tc>
        <w:tc>
          <w:tcPr>
            <w:tcW w:w="900" w:type="dxa"/>
          </w:tcPr>
          <w:p>
            <w:pPr>
              <w:jc w:val="right"/>
              <w:spacing w:before="10" w:after="10"/>
            </w:pPr>
            <w:r/>
            <w:r>
              <w:rPr>
                <w:sz w:val="16"/>
              </w:rPr>
              <w:t>$1.20</w:t>
            </w:r>
          </w:p>
        </w:tc>
        <w:tc>
          <w:tcPr>
            <w:tcW w:w="900" w:type="dxa"/>
          </w:tcPr>
          <w:p>
            <w:pPr>
              <w:jc w:val="right"/>
              <w:spacing w:before="10" w:after="10"/>
            </w:pPr>
            <w:r/>
            <w:r>
              <w:rPr>
                <w:sz w:val="16"/>
              </w:rPr>
              <w:t>$0.083</w:t>
            </w:r>
          </w:p>
        </w:tc>
        <w:tc>
          <w:tcPr>
            <w:tcW w:w="900" w:type="dxa"/>
          </w:tcPr>
          <w:p>
            <w:pPr>
              <w:jc w:val="right"/>
              <w:spacing w:before="10" w:after="10"/>
            </w:pPr>
            <w:r/>
            <w:r>
              <w:rPr>
                <w:sz w:val="16"/>
              </w:rPr>
              <w:t>$0.055</w:t>
            </w:r>
          </w:p>
        </w:tc>
        <w:tc>
          <w:tcPr>
            <w:tcW w:w="500" w:type="dxa"/>
          </w:tcPr>
          <w:p>
            <w:pPr>
              <w:jc w:val="right"/>
              <w:spacing w:before="10" w:after="10"/>
            </w:pPr>
            <w:r/>
            <w:r>
              <w:rPr>
                <w:sz w:val="16"/>
              </w:rPr>
              <w:t>1.25</w:t>
            </w:r>
          </w:p>
        </w:tc>
        <w:tc>
          <w:tcPr>
            <w:tcW w:w="850" w:type="dxa"/>
          </w:tcPr>
          <w:p>
            <w:pPr>
              <w:jc w:val="right"/>
              <w:spacing w:before="10" w:after="10"/>
            </w:pPr>
            <w:r/>
            <w:r>
              <w:rPr>
                <w:sz w:val="16"/>
              </w:rPr>
              <w:t>$0.095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44(41)</w:t>
            </w:r>
          </w:p>
        </w:tc>
        <w:tc>
          <w:tcPr>
            <w:tcW w:w="1500" w:type="dxa"/>
          </w:tcPr>
          <w:p>
            <w:pPr>
              <w:spacing w:before="10" w:after="10"/>
            </w:pPr>
            <w:r/>
            <w:r>
              <w:rPr>
                <w:sz w:val="16"/>
              </w:rPr>
              <w:t>France</w:t>
            </w:r>
          </w:p>
        </w:tc>
        <w:tc>
          <w:tcPr>
            <w:tcW w:w="900" w:type="dxa"/>
          </w:tcPr>
          <w:p>
            <w:pPr>
              <w:jc w:val="right"/>
              <w:spacing w:before="10" w:after="10"/>
            </w:pPr>
            <w:r/>
            <w:r>
              <w:rPr>
                <w:sz w:val="16"/>
              </w:rPr>
              <w:t>$1.20</w:t>
            </w:r>
          </w:p>
        </w:tc>
        <w:tc>
          <w:tcPr>
            <w:tcW w:w="900" w:type="dxa"/>
          </w:tcPr>
          <w:p>
            <w:pPr>
              <w:jc w:val="right"/>
              <w:spacing w:before="10" w:after="10"/>
            </w:pPr>
            <w:r/>
            <w:r>
              <w:rPr>
                <w:sz w:val="16"/>
              </w:rPr>
              <w:t>$0.084</w:t>
            </w:r>
          </w:p>
        </w:tc>
        <w:tc>
          <w:tcPr>
            <w:tcW w:w="900" w:type="dxa"/>
          </w:tcPr>
          <w:p>
            <w:pPr>
              <w:jc w:val="right"/>
              <w:spacing w:before="10" w:after="10"/>
            </w:pPr>
            <w:r/>
            <w:r>
              <w:rPr>
                <w:sz w:val="16"/>
              </w:rPr>
              <w:t>$0.056</w:t>
            </w:r>
          </w:p>
        </w:tc>
        <w:tc>
          <w:tcPr>
            <w:tcW w:w="500" w:type="dxa"/>
          </w:tcPr>
          <w:p>
            <w:pPr>
              <w:jc w:val="right"/>
              <w:spacing w:before="10" w:after="10"/>
            </w:pPr>
            <w:r/>
            <w:r>
              <w:rPr>
                <w:sz w:val="16"/>
              </w:rPr>
              <w:t>1.17</w:t>
            </w:r>
          </w:p>
        </w:tc>
        <w:tc>
          <w:tcPr>
            <w:tcW w:w="850" w:type="dxa"/>
          </w:tcPr>
          <w:p>
            <w:pPr>
              <w:jc w:val="right"/>
              <w:spacing w:before="10" w:after="10"/>
            </w:pPr>
            <w:r/>
            <w:r>
              <w:rPr>
                <w:sz w:val="16"/>
              </w:rPr>
              <w:t>$0.102</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46(44)</w:t>
            </w:r>
          </w:p>
        </w:tc>
        <w:tc>
          <w:tcPr>
            <w:tcW w:w="1500" w:type="dxa"/>
          </w:tcPr>
          <w:p>
            <w:pPr>
              <w:spacing w:before="10" w:after="10"/>
            </w:pPr>
            <w:r/>
            <w:r>
              <w:rPr>
                <w:sz w:val="16"/>
              </w:rPr>
              <w:t>Chile</w:t>
            </w:r>
          </w:p>
        </w:tc>
        <w:tc>
          <w:tcPr>
            <w:tcW w:w="900" w:type="dxa"/>
          </w:tcPr>
          <w:p>
            <w:pPr>
              <w:jc w:val="right"/>
              <w:spacing w:before="10" w:after="10"/>
            </w:pPr>
            <w:r/>
            <w:r>
              <w:rPr>
                <w:sz w:val="16"/>
              </w:rPr>
              <w:t>$1.20</w:t>
            </w:r>
          </w:p>
        </w:tc>
        <w:tc>
          <w:tcPr>
            <w:tcW w:w="900" w:type="dxa"/>
          </w:tcPr>
          <w:p>
            <w:pPr>
              <w:jc w:val="right"/>
              <w:spacing w:before="10" w:after="10"/>
            </w:pPr>
            <w:r/>
            <w:r>
              <w:rPr>
                <w:sz w:val="16"/>
              </w:rPr>
              <w:t>$0.098</w:t>
            </w:r>
          </w:p>
        </w:tc>
        <w:tc>
          <w:tcPr>
            <w:tcW w:w="900" w:type="dxa"/>
          </w:tcPr>
          <w:p>
            <w:pPr>
              <w:jc w:val="right"/>
              <w:spacing w:before="10" w:after="10"/>
            </w:pPr>
            <w:r/>
            <w:r>
              <w:rPr>
                <w:sz w:val="16"/>
              </w:rPr>
              <w:t>$0.046</w:t>
            </w:r>
          </w:p>
        </w:tc>
        <w:tc>
          <w:tcPr>
            <w:tcW w:w="500" w:type="dxa"/>
          </w:tcPr>
          <w:p>
            <w:pPr>
              <w:jc w:val="right"/>
              <w:spacing w:before="10" w:after="10"/>
            </w:pPr>
            <w:r/>
            <w:r>
              <w:rPr>
                <w:sz w:val="16"/>
              </w:rPr>
              <w:t>1.08</w:t>
            </w:r>
          </w:p>
        </w:tc>
        <w:tc>
          <w:tcPr>
            <w:tcW w:w="850" w:type="dxa"/>
          </w:tcPr>
          <w:p>
            <w:pPr>
              <w:jc w:val="right"/>
              <w:spacing w:before="10" w:after="10"/>
            </w:pPr>
            <w:r/>
            <w:r>
              <w:rPr>
                <w:sz w:val="16"/>
              </w:rPr>
              <w:t>$0.130</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48(46)</w:t>
            </w:r>
          </w:p>
        </w:tc>
        <w:tc>
          <w:tcPr>
            <w:tcW w:w="1500" w:type="dxa"/>
          </w:tcPr>
          <w:p>
            <w:pPr>
              <w:spacing w:before="10" w:after="10"/>
            </w:pPr>
            <w:r/>
            <w:r>
              <w:rPr>
                <w:sz w:val="16"/>
              </w:rPr>
              <w:t>Portugal</w:t>
            </w:r>
          </w:p>
        </w:tc>
        <w:tc>
          <w:tcPr>
            <w:tcW w:w="900" w:type="dxa"/>
          </w:tcPr>
          <w:p>
            <w:pPr>
              <w:jc w:val="right"/>
              <w:spacing w:before="10" w:after="10"/>
            </w:pPr>
            <w:r/>
            <w:r>
              <w:rPr>
                <w:sz w:val="16"/>
              </w:rPr>
              <w:t>$1.20</w:t>
            </w:r>
          </w:p>
        </w:tc>
        <w:tc>
          <w:tcPr>
            <w:tcW w:w="900" w:type="dxa"/>
          </w:tcPr>
          <w:p>
            <w:pPr>
              <w:jc w:val="right"/>
              <w:spacing w:before="10" w:after="10"/>
            </w:pPr>
            <w:r/>
            <w:r>
              <w:rPr>
                <w:sz w:val="16"/>
              </w:rPr>
              <w:t>$0.091</w:t>
            </w:r>
          </w:p>
        </w:tc>
        <w:tc>
          <w:tcPr>
            <w:tcW w:w="900" w:type="dxa"/>
          </w:tcPr>
          <w:p>
            <w:pPr>
              <w:jc w:val="right"/>
              <w:spacing w:before="10" w:after="10"/>
            </w:pPr>
            <w:r/>
            <w:r>
              <w:rPr>
                <w:sz w:val="16"/>
              </w:rPr>
              <w:t>$0.055</w:t>
            </w:r>
          </w:p>
        </w:tc>
        <w:tc>
          <w:tcPr>
            <w:tcW w:w="500" w:type="dxa"/>
          </w:tcPr>
          <w:p>
            <w:pPr>
              <w:jc w:val="right"/>
              <w:spacing w:before="10" w:after="10"/>
            </w:pPr>
            <w:r/>
            <w:r>
              <w:rPr>
                <w:sz w:val="16"/>
              </w:rPr>
              <w:t>1.20</w:t>
            </w:r>
          </w:p>
        </w:tc>
        <w:tc>
          <w:tcPr>
            <w:tcW w:w="850" w:type="dxa"/>
          </w:tcPr>
          <w:p>
            <w:pPr>
              <w:jc w:val="right"/>
              <w:spacing w:before="10" w:after="10"/>
            </w:pPr>
            <w:r/>
            <w:r>
              <w:rPr>
                <w:sz w:val="16"/>
              </w:rPr>
              <w:t>$0.109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49(47)</w:t>
            </w:r>
          </w:p>
        </w:tc>
        <w:tc>
          <w:tcPr>
            <w:tcW w:w="1500" w:type="dxa"/>
          </w:tcPr>
          <w:p>
            <w:pPr>
              <w:spacing w:before="10" w:after="10"/>
            </w:pPr>
            <w:r/>
            <w:r>
              <w:rPr>
                <w:sz w:val="16"/>
              </w:rPr>
              <w:t>Malaysia</w:t>
            </w:r>
          </w:p>
        </w:tc>
        <w:tc>
          <w:tcPr>
            <w:tcW w:w="900" w:type="dxa"/>
          </w:tcPr>
          <w:p>
            <w:pPr>
              <w:jc w:val="right"/>
              <w:spacing w:before="10" w:after="10"/>
            </w:pPr>
            <w:r/>
            <w:r>
              <w:rPr>
                <w:sz w:val="16"/>
              </w:rPr>
              <w:t>$1.20</w:t>
            </w:r>
          </w:p>
        </w:tc>
        <w:tc>
          <w:tcPr>
            <w:tcW w:w="900" w:type="dxa"/>
          </w:tcPr>
          <w:p>
            <w:pPr>
              <w:jc w:val="right"/>
              <w:spacing w:before="10" w:after="10"/>
            </w:pPr>
            <w:r/>
            <w:r>
              <w:rPr>
                <w:sz w:val="16"/>
              </w:rPr>
              <w:t>$0.087</w:t>
            </w:r>
          </w:p>
        </w:tc>
        <w:tc>
          <w:tcPr>
            <w:tcW w:w="900" w:type="dxa"/>
          </w:tcPr>
          <w:p>
            <w:pPr>
              <w:jc w:val="right"/>
              <w:spacing w:before="10" w:after="10"/>
            </w:pPr>
            <w:r/>
            <w:r>
              <w:rPr>
                <w:sz w:val="16"/>
              </w:rPr>
              <w:t>$0.061</w:t>
            </w:r>
          </w:p>
        </w:tc>
        <w:tc>
          <w:tcPr>
            <w:tcW w:w="500" w:type="dxa"/>
          </w:tcPr>
          <w:p>
            <w:pPr>
              <w:jc w:val="right"/>
              <w:spacing w:before="10" w:after="10"/>
            </w:pPr>
            <w:r/>
            <w:r>
              <w:rPr>
                <w:sz w:val="16"/>
              </w:rPr>
              <w:t>1.26</w:t>
            </w:r>
          </w:p>
        </w:tc>
        <w:tc>
          <w:tcPr>
            <w:tcW w:w="850" w:type="dxa"/>
          </w:tcPr>
          <w:p>
            <w:pPr>
              <w:jc w:val="right"/>
              <w:spacing w:before="10" w:after="10"/>
            </w:pPr>
            <w:r/>
            <w:r>
              <w:rPr>
                <w:sz w:val="16"/>
              </w:rPr>
              <w:t>$0.099</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50(48)</w:t>
            </w:r>
          </w:p>
        </w:tc>
        <w:tc>
          <w:tcPr>
            <w:tcW w:w="1500" w:type="dxa"/>
          </w:tcPr>
          <w:p>
            <w:pPr>
              <w:spacing w:before="10" w:after="10"/>
            </w:pPr>
            <w:r/>
            <w:r>
              <w:rPr>
                <w:sz w:val="16"/>
              </w:rPr>
              <w:t>Philippines</w:t>
            </w:r>
          </w:p>
        </w:tc>
        <w:tc>
          <w:tcPr>
            <w:tcW w:w="900" w:type="dxa"/>
          </w:tcPr>
          <w:p>
            <w:pPr>
              <w:jc w:val="right"/>
              <w:spacing w:before="10" w:after="10"/>
            </w:pPr>
            <w:r/>
            <w:r>
              <w:rPr>
                <w:sz w:val="16"/>
              </w:rPr>
              <w:t>$1.20</w:t>
            </w:r>
          </w:p>
        </w:tc>
        <w:tc>
          <w:tcPr>
            <w:tcW w:w="900" w:type="dxa"/>
          </w:tcPr>
          <w:p>
            <w:pPr>
              <w:jc w:val="right"/>
              <w:spacing w:before="10" w:after="10"/>
            </w:pPr>
            <w:r/>
            <w:r>
              <w:rPr>
                <w:sz w:val="16"/>
              </w:rPr>
              <w:t>$0.102</w:t>
            </w:r>
          </w:p>
        </w:tc>
        <w:tc>
          <w:tcPr>
            <w:tcW w:w="900" w:type="dxa"/>
          </w:tcPr>
          <w:p>
            <w:pPr>
              <w:jc w:val="right"/>
              <w:spacing w:before="10" w:after="10"/>
            </w:pPr>
            <w:r/>
            <w:r>
              <w:rPr>
                <w:sz w:val="16"/>
              </w:rPr>
              <w:t>$0.046</w:t>
            </w:r>
          </w:p>
        </w:tc>
        <w:tc>
          <w:tcPr>
            <w:tcW w:w="500" w:type="dxa"/>
          </w:tcPr>
          <w:p>
            <w:pPr>
              <w:jc w:val="right"/>
              <w:spacing w:before="10" w:after="10"/>
            </w:pPr>
            <w:r/>
            <w:r>
              <w:rPr>
                <w:sz w:val="16"/>
              </w:rPr>
              <w:t>1.27</w:t>
            </w:r>
          </w:p>
        </w:tc>
        <w:tc>
          <w:tcPr>
            <w:tcW w:w="850" w:type="dxa"/>
          </w:tcPr>
          <w:p>
            <w:pPr>
              <w:jc w:val="right"/>
              <w:spacing w:before="10" w:after="10"/>
            </w:pPr>
            <w:r/>
            <w:r>
              <w:rPr>
                <w:sz w:val="16"/>
              </w:rPr>
              <w:t>$0.115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51(49)</w:t>
            </w:r>
          </w:p>
        </w:tc>
        <w:tc>
          <w:tcPr>
            <w:tcW w:w="1500" w:type="dxa"/>
          </w:tcPr>
          <w:p>
            <w:pPr>
              <w:spacing w:before="10" w:after="10"/>
            </w:pPr>
            <w:r/>
            <w:r>
              <w:rPr>
                <w:sz w:val="16"/>
              </w:rPr>
              <w:t>Taiwan</w:t>
            </w:r>
          </w:p>
        </w:tc>
        <w:tc>
          <w:tcPr>
            <w:tcW w:w="900" w:type="dxa"/>
          </w:tcPr>
          <w:p>
            <w:pPr>
              <w:jc w:val="right"/>
              <w:spacing w:before="10" w:after="10"/>
            </w:pPr>
            <w:r/>
            <w:r>
              <w:rPr>
                <w:sz w:val="16"/>
              </w:rPr>
              <w:t>$1.21</w:t>
            </w:r>
          </w:p>
        </w:tc>
        <w:tc>
          <w:tcPr>
            <w:tcW w:w="900" w:type="dxa"/>
          </w:tcPr>
          <w:p>
            <w:pPr>
              <w:jc w:val="right"/>
              <w:spacing w:before="10" w:after="10"/>
            </w:pPr>
            <w:r/>
            <w:r>
              <w:rPr>
                <w:sz w:val="16"/>
              </w:rPr>
              <w:t>$0.082</w:t>
            </w:r>
          </w:p>
        </w:tc>
        <w:tc>
          <w:tcPr>
            <w:tcW w:w="900" w:type="dxa"/>
          </w:tcPr>
          <w:p>
            <w:pPr>
              <w:jc w:val="right"/>
              <w:spacing w:before="10" w:after="10"/>
            </w:pPr>
            <w:r/>
            <w:r>
              <w:rPr>
                <w:sz w:val="16"/>
              </w:rPr>
              <w:t>$0.067</w:t>
            </w:r>
          </w:p>
        </w:tc>
        <w:tc>
          <w:tcPr>
            <w:tcW w:w="500" w:type="dxa"/>
          </w:tcPr>
          <w:p>
            <w:pPr>
              <w:jc w:val="right"/>
              <w:spacing w:before="10" w:after="10"/>
            </w:pPr>
            <w:r/>
            <w:r>
              <w:rPr>
                <w:sz w:val="16"/>
              </w:rPr>
              <w:t>1.25</w:t>
            </w:r>
          </w:p>
        </w:tc>
        <w:tc>
          <w:tcPr>
            <w:tcW w:w="850" w:type="dxa"/>
          </w:tcPr>
          <w:p>
            <w:pPr>
              <w:jc w:val="right"/>
              <w:spacing w:before="10" w:after="10"/>
            </w:pPr>
            <w:r/>
            <w:r>
              <w:rPr>
                <w:sz w:val="16"/>
              </w:rPr>
              <w:t>$0.094</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52(50)</w:t>
            </w:r>
          </w:p>
        </w:tc>
        <w:tc>
          <w:tcPr>
            <w:tcW w:w="1500" w:type="dxa"/>
          </w:tcPr>
          <w:p>
            <w:pPr>
              <w:spacing w:before="10" w:after="10"/>
            </w:pPr>
            <w:r/>
            <w:r>
              <w:rPr>
                <w:sz w:val="16"/>
              </w:rPr>
              <w:t>Israel</w:t>
            </w:r>
          </w:p>
        </w:tc>
        <w:tc>
          <w:tcPr>
            <w:tcW w:w="900" w:type="dxa"/>
          </w:tcPr>
          <w:p>
            <w:pPr>
              <w:jc w:val="right"/>
              <w:spacing w:before="10" w:after="10"/>
            </w:pPr>
            <w:r/>
            <w:r>
              <w:rPr>
                <w:sz w:val="16"/>
              </w:rPr>
              <w:t>$1.21</w:t>
            </w:r>
          </w:p>
        </w:tc>
        <w:tc>
          <w:tcPr>
            <w:tcW w:w="900" w:type="dxa"/>
          </w:tcPr>
          <w:p>
            <w:pPr>
              <w:jc w:val="right"/>
              <w:spacing w:before="10" w:after="10"/>
            </w:pPr>
            <w:r/>
            <w:r>
              <w:rPr>
                <w:sz w:val="16"/>
              </w:rPr>
              <w:t>$0.097</w:t>
            </w:r>
          </w:p>
        </w:tc>
        <w:tc>
          <w:tcPr>
            <w:tcW w:w="900" w:type="dxa"/>
          </w:tcPr>
          <w:p>
            <w:pPr>
              <w:jc w:val="right"/>
              <w:spacing w:before="10" w:after="10"/>
            </w:pPr>
            <w:r/>
            <w:r>
              <w:rPr>
                <w:sz w:val="16"/>
              </w:rPr>
              <w:t>$0.053</w:t>
            </w:r>
          </w:p>
        </w:tc>
        <w:tc>
          <w:tcPr>
            <w:tcW w:w="500" w:type="dxa"/>
          </w:tcPr>
          <w:p>
            <w:pPr>
              <w:jc w:val="right"/>
              <w:spacing w:before="10" w:after="10"/>
            </w:pPr>
            <w:r/>
            <w:r>
              <w:rPr>
                <w:sz w:val="16"/>
              </w:rPr>
              <w:t>1.28</w:t>
            </w:r>
          </w:p>
        </w:tc>
        <w:tc>
          <w:tcPr>
            <w:tcW w:w="850" w:type="dxa"/>
          </w:tcPr>
          <w:p>
            <w:pPr>
              <w:jc w:val="right"/>
              <w:spacing w:before="10" w:after="10"/>
            </w:pPr>
            <w:r/>
            <w:r>
              <w:rPr>
                <w:sz w:val="16"/>
              </w:rPr>
              <w:t>$0.108</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53(51)</w:t>
            </w:r>
          </w:p>
        </w:tc>
        <w:tc>
          <w:tcPr>
            <w:tcW w:w="1500" w:type="dxa"/>
          </w:tcPr>
          <w:p>
            <w:pPr>
              <w:spacing w:before="10" w:after="10"/>
            </w:pPr>
            <w:r/>
            <w:r>
              <w:rPr>
                <w:sz w:val="16"/>
              </w:rPr>
              <w:t>Thailand</w:t>
            </w:r>
          </w:p>
        </w:tc>
        <w:tc>
          <w:tcPr>
            <w:tcW w:w="900" w:type="dxa"/>
          </w:tcPr>
          <w:p>
            <w:pPr>
              <w:jc w:val="right"/>
              <w:spacing w:before="10" w:after="10"/>
            </w:pPr>
            <w:r/>
            <w:r>
              <w:rPr>
                <w:sz w:val="16"/>
              </w:rPr>
              <w:t>$1.21</w:t>
            </w:r>
          </w:p>
        </w:tc>
        <w:tc>
          <w:tcPr>
            <w:tcW w:w="900" w:type="dxa"/>
          </w:tcPr>
          <w:p>
            <w:pPr>
              <w:jc w:val="right"/>
              <w:spacing w:before="10" w:after="10"/>
            </w:pPr>
            <w:r/>
            <w:r>
              <w:rPr>
                <w:sz w:val="16"/>
              </w:rPr>
              <w:t>$0.098</w:t>
            </w:r>
          </w:p>
        </w:tc>
        <w:tc>
          <w:tcPr>
            <w:tcW w:w="900" w:type="dxa"/>
          </w:tcPr>
          <w:p>
            <w:pPr>
              <w:jc w:val="right"/>
              <w:spacing w:before="10" w:after="10"/>
            </w:pPr>
            <w:r/>
            <w:r>
              <w:rPr>
                <w:sz w:val="16"/>
              </w:rPr>
              <w:t>$0.052</w:t>
            </w:r>
          </w:p>
        </w:tc>
        <w:tc>
          <w:tcPr>
            <w:tcW w:w="500" w:type="dxa"/>
          </w:tcPr>
          <w:p>
            <w:pPr>
              <w:jc w:val="right"/>
              <w:spacing w:before="10" w:after="10"/>
            </w:pPr>
            <w:r/>
            <w:r>
              <w:rPr>
                <w:sz w:val="16"/>
              </w:rPr>
              <w:t>1.29</w:t>
            </w:r>
          </w:p>
        </w:tc>
        <w:tc>
          <w:tcPr>
            <w:tcW w:w="850" w:type="dxa"/>
          </w:tcPr>
          <w:p>
            <w:pPr>
              <w:jc w:val="right"/>
              <w:spacing w:before="10" w:after="10"/>
            </w:pPr>
            <w:r/>
            <w:r>
              <w:rPr>
                <w:sz w:val="16"/>
              </w:rPr>
              <w:t>$0.108</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54(52)</w:t>
            </w:r>
          </w:p>
        </w:tc>
        <w:tc>
          <w:tcPr>
            <w:tcW w:w="1500" w:type="dxa"/>
          </w:tcPr>
          <w:p>
            <w:pPr>
              <w:spacing w:before="10" w:after="10"/>
            </w:pPr>
            <w:r/>
            <w:r>
              <w:rPr>
                <w:sz w:val="16"/>
              </w:rPr>
              <w:t>Spain</w:t>
            </w:r>
          </w:p>
        </w:tc>
        <w:tc>
          <w:tcPr>
            <w:tcW w:w="900" w:type="dxa"/>
          </w:tcPr>
          <w:p>
            <w:pPr>
              <w:jc w:val="right"/>
              <w:spacing w:before="10" w:after="10"/>
            </w:pPr>
            <w:r/>
            <w:r>
              <w:rPr>
                <w:sz w:val="16"/>
              </w:rPr>
              <w:t>$1.21</w:t>
            </w:r>
          </w:p>
        </w:tc>
        <w:tc>
          <w:tcPr>
            <w:tcW w:w="900" w:type="dxa"/>
          </w:tcPr>
          <w:p>
            <w:pPr>
              <w:jc w:val="right"/>
              <w:spacing w:before="10" w:after="10"/>
            </w:pPr>
            <w:r/>
            <w:r>
              <w:rPr>
                <w:sz w:val="16"/>
              </w:rPr>
              <w:t>$0.097</w:t>
            </w:r>
          </w:p>
        </w:tc>
        <w:tc>
          <w:tcPr>
            <w:tcW w:w="900" w:type="dxa"/>
          </w:tcPr>
          <w:p>
            <w:pPr>
              <w:jc w:val="right"/>
              <w:spacing w:before="10" w:after="10"/>
            </w:pPr>
            <w:r/>
            <w:r>
              <w:rPr>
                <w:sz w:val="16"/>
              </w:rPr>
              <w:t>$0.053</w:t>
            </w:r>
          </w:p>
        </w:tc>
        <w:tc>
          <w:tcPr>
            <w:tcW w:w="500" w:type="dxa"/>
          </w:tcPr>
          <w:p>
            <w:pPr>
              <w:jc w:val="right"/>
              <w:spacing w:before="10" w:after="10"/>
            </w:pPr>
            <w:r/>
            <w:r>
              <w:rPr>
                <w:sz w:val="16"/>
              </w:rPr>
              <w:t>1.23</w:t>
            </w:r>
          </w:p>
        </w:tc>
        <w:tc>
          <w:tcPr>
            <w:tcW w:w="850" w:type="dxa"/>
          </w:tcPr>
          <w:p>
            <w:pPr>
              <w:jc w:val="right"/>
              <w:spacing w:before="10" w:after="10"/>
            </w:pPr>
            <w:r/>
            <w:r>
              <w:rPr>
                <w:sz w:val="16"/>
              </w:rPr>
              <w:t>$0.113</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56(54)</w:t>
            </w:r>
          </w:p>
        </w:tc>
        <w:tc>
          <w:tcPr>
            <w:tcW w:w="1500" w:type="dxa"/>
          </w:tcPr>
          <w:p>
            <w:pPr>
              <w:spacing w:before="10" w:after="10"/>
            </w:pPr>
            <w:r/>
            <w:r>
              <w:rPr>
                <w:sz w:val="16"/>
              </w:rPr>
              <w:t>Malta</w:t>
            </w:r>
          </w:p>
        </w:tc>
        <w:tc>
          <w:tcPr>
            <w:tcW w:w="900" w:type="dxa"/>
          </w:tcPr>
          <w:p>
            <w:pPr>
              <w:jc w:val="right"/>
              <w:spacing w:before="10" w:after="10"/>
            </w:pPr>
            <w:r/>
            <w:r>
              <w:rPr>
                <w:sz w:val="16"/>
              </w:rPr>
              <w:t>$1.21</w:t>
            </w:r>
          </w:p>
        </w:tc>
        <w:tc>
          <w:tcPr>
            <w:tcW w:w="900" w:type="dxa"/>
          </w:tcPr>
          <w:p>
            <w:pPr>
              <w:jc w:val="right"/>
              <w:spacing w:before="10" w:after="10"/>
            </w:pPr>
            <w:r/>
            <w:r>
              <w:rPr>
                <w:sz w:val="16"/>
              </w:rPr>
              <w:t>$0.097</w:t>
            </w:r>
          </w:p>
        </w:tc>
        <w:tc>
          <w:tcPr>
            <w:tcW w:w="900" w:type="dxa"/>
          </w:tcPr>
          <w:p>
            <w:pPr>
              <w:jc w:val="right"/>
              <w:spacing w:before="10" w:after="10"/>
            </w:pPr>
            <w:r/>
            <w:r>
              <w:rPr>
                <w:sz w:val="16"/>
              </w:rPr>
              <w:t>$0.057</w:t>
            </w:r>
          </w:p>
        </w:tc>
        <w:tc>
          <w:tcPr>
            <w:tcW w:w="500" w:type="dxa"/>
          </w:tcPr>
          <w:p>
            <w:pPr>
              <w:jc w:val="right"/>
              <w:spacing w:before="10" w:after="10"/>
            </w:pPr>
            <w:r/>
            <w:r>
              <w:rPr>
                <w:sz w:val="16"/>
              </w:rPr>
              <w:t>1.26</w:t>
            </w:r>
          </w:p>
        </w:tc>
        <w:tc>
          <w:tcPr>
            <w:tcW w:w="850" w:type="dxa"/>
          </w:tcPr>
          <w:p>
            <w:pPr>
              <w:jc w:val="right"/>
              <w:spacing w:before="10" w:after="10"/>
            </w:pPr>
            <w:r/>
            <w:r>
              <w:rPr>
                <w:sz w:val="16"/>
              </w:rPr>
              <w:t>$0.111</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57(55)</w:t>
            </w:r>
          </w:p>
        </w:tc>
        <w:tc>
          <w:tcPr>
            <w:tcW w:w="1500" w:type="dxa"/>
          </w:tcPr>
          <w:p>
            <w:pPr>
              <w:spacing w:before="10" w:after="10"/>
            </w:pPr>
            <w:r/>
            <w:r>
              <w:rPr>
                <w:sz w:val="16"/>
              </w:rPr>
              <w:t>Pakistan</w:t>
            </w:r>
          </w:p>
        </w:tc>
        <w:tc>
          <w:tcPr>
            <w:tcW w:w="900" w:type="dxa"/>
          </w:tcPr>
          <w:p>
            <w:pPr>
              <w:jc w:val="right"/>
              <w:spacing w:before="10" w:after="10"/>
            </w:pPr>
            <w:r/>
            <w:r>
              <w:rPr>
                <w:sz w:val="16"/>
              </w:rPr>
              <w:t>$1.21</w:t>
            </w:r>
          </w:p>
        </w:tc>
        <w:tc>
          <w:tcPr>
            <w:tcW w:w="900" w:type="dxa"/>
          </w:tcPr>
          <w:p>
            <w:pPr>
              <w:jc w:val="right"/>
              <w:spacing w:before="10" w:after="10"/>
            </w:pPr>
            <w:r/>
            <w:r>
              <w:rPr>
                <w:sz w:val="16"/>
              </w:rPr>
              <w:t>$0.122</w:t>
            </w:r>
          </w:p>
        </w:tc>
        <w:tc>
          <w:tcPr>
            <w:tcW w:w="900" w:type="dxa"/>
          </w:tcPr>
          <w:p>
            <w:pPr>
              <w:jc w:val="right"/>
              <w:spacing w:before="10" w:after="10"/>
            </w:pPr>
            <w:r/>
            <w:r>
              <w:rPr>
                <w:sz w:val="16"/>
              </w:rPr>
              <w:t>$0.034</w:t>
            </w:r>
          </w:p>
        </w:tc>
        <w:tc>
          <w:tcPr>
            <w:tcW w:w="500" w:type="dxa"/>
          </w:tcPr>
          <w:p>
            <w:pPr>
              <w:jc w:val="right"/>
              <w:spacing w:before="10" w:after="10"/>
            </w:pPr>
            <w:r/>
            <w:r>
              <w:rPr>
                <w:sz w:val="16"/>
              </w:rPr>
              <w:t>1.30</w:t>
            </w:r>
          </w:p>
        </w:tc>
        <w:tc>
          <w:tcPr>
            <w:tcW w:w="850" w:type="dxa"/>
          </w:tcPr>
          <w:p>
            <w:pPr>
              <w:jc w:val="right"/>
              <w:spacing w:before="10" w:after="10"/>
            </w:pPr>
            <w:r/>
            <w:r>
              <w:rPr>
                <w:sz w:val="16"/>
              </w:rPr>
              <w:t>$0.134</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59(58)</w:t>
            </w:r>
          </w:p>
        </w:tc>
        <w:tc>
          <w:tcPr>
            <w:tcW w:w="1500" w:type="dxa"/>
          </w:tcPr>
          <w:p>
            <w:pPr>
              <w:spacing w:before="10" w:after="10"/>
            </w:pPr>
            <w:r/>
            <w:r>
              <w:rPr>
                <w:sz w:val="16"/>
              </w:rPr>
              <w:t>Belgium</w:t>
            </w:r>
          </w:p>
        </w:tc>
        <w:tc>
          <w:tcPr>
            <w:tcW w:w="900" w:type="dxa"/>
          </w:tcPr>
          <w:p>
            <w:pPr>
              <w:jc w:val="right"/>
              <w:spacing w:before="10" w:after="10"/>
            </w:pPr>
            <w:r/>
            <w:r>
              <w:rPr>
                <w:sz w:val="16"/>
              </w:rPr>
              <w:t>$1.22</w:t>
            </w:r>
          </w:p>
        </w:tc>
        <w:tc>
          <w:tcPr>
            <w:tcW w:w="900" w:type="dxa"/>
          </w:tcPr>
          <w:p>
            <w:pPr>
              <w:jc w:val="right"/>
              <w:spacing w:before="10" w:after="10"/>
            </w:pPr>
            <w:r/>
            <w:r>
              <w:rPr>
                <w:sz w:val="16"/>
              </w:rPr>
              <w:t>$0.100</w:t>
            </w:r>
          </w:p>
        </w:tc>
        <w:tc>
          <w:tcPr>
            <w:tcW w:w="900" w:type="dxa"/>
          </w:tcPr>
          <w:p>
            <w:pPr>
              <w:jc w:val="right"/>
              <w:spacing w:before="10" w:after="10"/>
            </w:pPr>
            <w:r/>
            <w:r>
              <w:rPr>
                <w:sz w:val="16"/>
              </w:rPr>
              <w:t>$0.060</w:t>
            </w:r>
          </w:p>
        </w:tc>
        <w:tc>
          <w:tcPr>
            <w:tcW w:w="500" w:type="dxa"/>
          </w:tcPr>
          <w:p>
            <w:pPr>
              <w:jc w:val="right"/>
              <w:spacing w:before="10" w:after="10"/>
            </w:pPr>
            <w:r/>
            <w:r>
              <w:rPr>
                <w:sz w:val="16"/>
              </w:rPr>
              <w:t>1.14</w:t>
            </w:r>
          </w:p>
        </w:tc>
        <w:tc>
          <w:tcPr>
            <w:tcW w:w="850" w:type="dxa"/>
          </w:tcPr>
          <w:p>
            <w:pPr>
              <w:jc w:val="right"/>
              <w:spacing w:before="10" w:after="10"/>
            </w:pPr>
            <w:r/>
            <w:r>
              <w:rPr>
                <w:sz w:val="16"/>
              </w:rPr>
              <w:t>$0.125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60</w:t>
            </w:r>
          </w:p>
        </w:tc>
        <w:tc>
          <w:tcPr>
            <w:tcW w:w="1500" w:type="dxa"/>
          </w:tcPr>
          <w:p>
            <w:pPr>
              <w:spacing w:before="10" w:after="10"/>
            </w:pPr>
            <w:r/>
            <w:r>
              <w:rPr>
                <w:sz w:val="16"/>
              </w:rPr>
              <w:t>Netherlands</w:t>
            </w:r>
          </w:p>
        </w:tc>
        <w:tc>
          <w:tcPr>
            <w:tcW w:w="900" w:type="dxa"/>
          </w:tcPr>
          <w:p>
            <w:pPr>
              <w:jc w:val="right"/>
              <w:spacing w:before="10" w:after="10"/>
            </w:pPr>
            <w:r/>
            <w:r>
              <w:rPr>
                <w:sz w:val="16"/>
              </w:rPr>
              <w:t>$1.22</w:t>
            </w:r>
          </w:p>
        </w:tc>
        <w:tc>
          <w:tcPr>
            <w:tcW w:w="900" w:type="dxa"/>
          </w:tcPr>
          <w:p>
            <w:pPr>
              <w:jc w:val="right"/>
              <w:spacing w:before="10" w:after="10"/>
            </w:pPr>
            <w:r/>
            <w:r>
              <w:rPr>
                <w:sz w:val="16"/>
              </w:rPr>
              <w:t>$0.103</w:t>
            </w:r>
          </w:p>
        </w:tc>
        <w:tc>
          <w:tcPr>
            <w:tcW w:w="900" w:type="dxa"/>
          </w:tcPr>
          <w:p>
            <w:pPr>
              <w:jc w:val="right"/>
              <w:spacing w:before="10" w:after="10"/>
            </w:pPr>
            <w:r/>
            <w:r>
              <w:rPr>
                <w:sz w:val="16"/>
              </w:rPr>
              <w:t>$0.058</w:t>
            </w:r>
          </w:p>
        </w:tc>
        <w:tc>
          <w:tcPr>
            <w:tcW w:w="500" w:type="dxa"/>
          </w:tcPr>
          <w:p>
            <w:pPr>
              <w:jc w:val="right"/>
              <w:spacing w:before="10" w:after="10"/>
            </w:pPr>
            <w:r/>
            <w:r>
              <w:rPr>
                <w:sz w:val="16"/>
              </w:rPr>
              <w:t>1.14</w:t>
            </w:r>
          </w:p>
        </w:tc>
        <w:tc>
          <w:tcPr>
            <w:tcW w:w="850" w:type="dxa"/>
          </w:tcPr>
          <w:p>
            <w:pPr>
              <w:jc w:val="right"/>
              <w:spacing w:before="10" w:after="10"/>
            </w:pPr>
            <w:r/>
            <w:r>
              <w:rPr>
                <w:sz w:val="16"/>
              </w:rPr>
              <w:t>$0.130</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61</w:t>
            </w:r>
          </w:p>
        </w:tc>
        <w:tc>
          <w:tcPr>
            <w:tcW w:w="1500" w:type="dxa"/>
          </w:tcPr>
          <w:p>
            <w:pPr>
              <w:spacing w:before="10" w:after="10"/>
            </w:pPr>
            <w:r/>
            <w:r>
              <w:rPr>
                <w:sz w:val="16"/>
              </w:rPr>
              <w:t>South Korea</w:t>
            </w:r>
          </w:p>
        </w:tc>
        <w:tc>
          <w:tcPr>
            <w:tcW w:w="900" w:type="dxa"/>
          </w:tcPr>
          <w:p>
            <w:pPr>
              <w:jc w:val="right"/>
              <w:spacing w:before="10" w:after="10"/>
            </w:pPr>
            <w:r/>
            <w:r>
              <w:rPr>
                <w:sz w:val="16"/>
              </w:rPr>
              <w:t>$1.22</w:t>
            </w:r>
          </w:p>
        </w:tc>
        <w:tc>
          <w:tcPr>
            <w:tcW w:w="900" w:type="dxa"/>
          </w:tcPr>
          <w:p>
            <w:pPr>
              <w:jc w:val="right"/>
              <w:spacing w:before="10" w:after="10"/>
            </w:pPr>
            <w:r/>
            <w:r>
              <w:rPr>
                <w:sz w:val="16"/>
              </w:rPr>
              <w:t>$0.109</w:t>
            </w:r>
          </w:p>
        </w:tc>
        <w:tc>
          <w:tcPr>
            <w:tcW w:w="900" w:type="dxa"/>
          </w:tcPr>
          <w:p>
            <w:pPr>
              <w:jc w:val="right"/>
              <w:spacing w:before="10" w:after="10"/>
            </w:pPr>
            <w:r/>
            <w:r>
              <w:rPr>
                <w:sz w:val="16"/>
              </w:rPr>
              <w:t>$0.054</w:t>
            </w:r>
          </w:p>
        </w:tc>
        <w:tc>
          <w:tcPr>
            <w:tcW w:w="500" w:type="dxa"/>
          </w:tcPr>
          <w:p>
            <w:pPr>
              <w:jc w:val="right"/>
              <w:spacing w:before="10" w:after="10"/>
            </w:pPr>
            <w:r/>
            <w:r>
              <w:rPr>
                <w:sz w:val="16"/>
              </w:rPr>
              <w:t>1.25</w:t>
            </w:r>
          </w:p>
        </w:tc>
        <w:tc>
          <w:tcPr>
            <w:tcW w:w="850" w:type="dxa"/>
          </w:tcPr>
          <w:p>
            <w:pPr>
              <w:jc w:val="right"/>
              <w:spacing w:before="10" w:after="10"/>
            </w:pPr>
            <w:r/>
            <w:r>
              <w:rPr>
                <w:sz w:val="16"/>
              </w:rPr>
              <w:t>$0.125</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63</w:t>
            </w:r>
          </w:p>
        </w:tc>
        <w:tc>
          <w:tcPr>
            <w:tcW w:w="1500" w:type="dxa"/>
          </w:tcPr>
          <w:p>
            <w:pPr>
              <w:spacing w:before="10" w:after="10"/>
            </w:pPr>
            <w:r/>
            <w:r>
              <w:rPr>
                <w:sz w:val="16"/>
              </w:rPr>
              <w:t>Ghana</w:t>
            </w:r>
          </w:p>
        </w:tc>
        <w:tc>
          <w:tcPr>
            <w:tcW w:w="900" w:type="dxa"/>
          </w:tcPr>
          <w:p>
            <w:pPr>
              <w:jc w:val="right"/>
              <w:spacing w:before="10" w:after="10"/>
            </w:pPr>
            <w:r/>
            <w:r>
              <w:rPr>
                <w:sz w:val="16"/>
              </w:rPr>
              <w:t>$1.22</w:t>
            </w:r>
          </w:p>
        </w:tc>
        <w:tc>
          <w:tcPr>
            <w:tcW w:w="900" w:type="dxa"/>
          </w:tcPr>
          <w:p>
            <w:pPr>
              <w:jc w:val="right"/>
              <w:spacing w:before="10" w:after="10"/>
            </w:pPr>
            <w:r/>
            <w:r>
              <w:rPr>
                <w:sz w:val="16"/>
              </w:rPr>
              <w:t>$0.110</w:t>
            </w:r>
          </w:p>
        </w:tc>
        <w:tc>
          <w:tcPr>
            <w:tcW w:w="900" w:type="dxa"/>
          </w:tcPr>
          <w:p>
            <w:pPr>
              <w:jc w:val="right"/>
              <w:spacing w:before="10" w:after="10"/>
            </w:pPr>
            <w:r/>
            <w:r>
              <w:rPr>
                <w:sz w:val="16"/>
              </w:rPr>
              <w:t>$0.053</w:t>
            </w:r>
          </w:p>
        </w:tc>
        <w:tc>
          <w:tcPr>
            <w:tcW w:w="500" w:type="dxa"/>
          </w:tcPr>
          <w:p>
            <w:pPr>
              <w:jc w:val="right"/>
              <w:spacing w:before="10" w:after="10"/>
            </w:pPr>
            <w:r/>
            <w:r>
              <w:rPr>
                <w:sz w:val="16"/>
              </w:rPr>
              <w:t>1.31</w:t>
            </w:r>
          </w:p>
        </w:tc>
        <w:tc>
          <w:tcPr>
            <w:tcW w:w="850" w:type="dxa"/>
          </w:tcPr>
          <w:p>
            <w:pPr>
              <w:jc w:val="right"/>
              <w:spacing w:before="10" w:after="10"/>
            </w:pPr>
            <w:r/>
            <w:r>
              <w:rPr>
                <w:sz w:val="16"/>
              </w:rPr>
              <w:t>$0.120</w:t>
            </w:r>
          </w:p>
        </w:tc>
        <w:tc>
          <w:tcPr>
            <w:tcW w:w="750" w:type="dxa"/>
          </w:tcPr>
          <w:p>
            <w:pPr>
              <w:jc w:val="right"/>
              <w:spacing w:before="10" w:after="10"/>
            </w:pPr>
            <w:r/>
            <w:r>
              <w:rPr>
                <w:sz w:val="16"/>
              </w:rPr>
              <w:t>—</w:t>
            </w:r>
          </w:p>
        </w:tc>
        <w:tc>
          <w:tcPr>
            <w:tcW w:w="750" w:type="dxa"/>
          </w:tcPr>
          <w:p>
            <w:pPr>
              <w:spacing w:before="10" w:after="10"/>
            </w:pPr>
            <w:r/>
            <w:r>
              <w:rPr>
                <w:sz w:val="16"/>
              </w:rPr>
              <w:t>hybrid</w:t>
            </w:r>
          </w:p>
        </w:tc>
      </w:tr>
      <w:tr>
        <w:tc>
          <w:tcPr>
            <w:tcW w:w="550" w:type="dxa"/>
          </w:tcPr>
          <w:p>
            <w:pPr>
              <w:spacing w:before="10" w:after="10"/>
            </w:pPr>
            <w:r/>
            <w:r>
              <w:rPr>
                <w:sz w:val="16"/>
              </w:rPr>
              <w:t>65</w:t>
            </w:r>
          </w:p>
        </w:tc>
        <w:tc>
          <w:tcPr>
            <w:tcW w:w="1500" w:type="dxa"/>
          </w:tcPr>
          <w:p>
            <w:pPr>
              <w:spacing w:before="10" w:after="10"/>
            </w:pPr>
            <w:r/>
            <w:r>
              <w:rPr>
                <w:sz w:val="16"/>
              </w:rPr>
              <w:t>Denmark</w:t>
            </w:r>
          </w:p>
        </w:tc>
        <w:tc>
          <w:tcPr>
            <w:tcW w:w="900" w:type="dxa"/>
          </w:tcPr>
          <w:p>
            <w:pPr>
              <w:jc w:val="right"/>
              <w:spacing w:before="10" w:after="10"/>
            </w:pPr>
            <w:r/>
            <w:r>
              <w:rPr>
                <w:sz w:val="16"/>
              </w:rPr>
              <w:t>$1.22</w:t>
            </w:r>
          </w:p>
        </w:tc>
        <w:tc>
          <w:tcPr>
            <w:tcW w:w="900" w:type="dxa"/>
          </w:tcPr>
          <w:p>
            <w:pPr>
              <w:jc w:val="right"/>
              <w:spacing w:before="10" w:after="10"/>
            </w:pPr>
            <w:r/>
            <w:r>
              <w:rPr>
                <w:sz w:val="16"/>
              </w:rPr>
              <w:t>$0.101</w:t>
            </w:r>
          </w:p>
        </w:tc>
        <w:tc>
          <w:tcPr>
            <w:tcW w:w="900" w:type="dxa"/>
          </w:tcPr>
          <w:p>
            <w:pPr>
              <w:jc w:val="right"/>
              <w:spacing w:before="10" w:after="10"/>
            </w:pPr>
            <w:r/>
            <w:r>
              <w:rPr>
                <w:sz w:val="16"/>
              </w:rPr>
              <w:t>$0.064</w:t>
            </w:r>
          </w:p>
        </w:tc>
        <w:tc>
          <w:tcPr>
            <w:tcW w:w="500" w:type="dxa"/>
          </w:tcPr>
          <w:p>
            <w:pPr>
              <w:jc w:val="right"/>
              <w:spacing w:before="10" w:after="10"/>
            </w:pPr>
            <w:r/>
            <w:r>
              <w:rPr>
                <w:sz w:val="16"/>
              </w:rPr>
              <w:t>1.11</w:t>
            </w:r>
          </w:p>
        </w:tc>
        <w:tc>
          <w:tcPr>
            <w:tcW w:w="850" w:type="dxa"/>
          </w:tcPr>
          <w:p>
            <w:pPr>
              <w:jc w:val="right"/>
              <w:spacing w:before="10" w:after="10"/>
            </w:pPr>
            <w:r/>
            <w:r>
              <w:rPr>
                <w:sz w:val="16"/>
              </w:rPr>
              <w:t>$0.129</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67</w:t>
            </w:r>
          </w:p>
        </w:tc>
        <w:tc>
          <w:tcPr>
            <w:tcW w:w="1500" w:type="dxa"/>
          </w:tcPr>
          <w:p>
            <w:pPr>
              <w:spacing w:before="10" w:after="10"/>
            </w:pPr>
            <w:r/>
            <w:r>
              <w:rPr>
                <w:sz w:val="16"/>
              </w:rPr>
              <w:t>Luxembourg</w:t>
            </w:r>
          </w:p>
        </w:tc>
        <w:tc>
          <w:tcPr>
            <w:tcW w:w="900" w:type="dxa"/>
          </w:tcPr>
          <w:p>
            <w:pPr>
              <w:jc w:val="right"/>
              <w:spacing w:before="10" w:after="10"/>
            </w:pPr>
            <w:r/>
            <w:r>
              <w:rPr>
                <w:sz w:val="16"/>
              </w:rPr>
              <w:t>$1.23</w:t>
            </w:r>
          </w:p>
        </w:tc>
        <w:tc>
          <w:tcPr>
            <w:tcW w:w="900" w:type="dxa"/>
          </w:tcPr>
          <w:p>
            <w:pPr>
              <w:jc w:val="right"/>
              <w:spacing w:before="10" w:after="10"/>
            </w:pPr>
            <w:r/>
            <w:r>
              <w:rPr>
                <w:sz w:val="16"/>
              </w:rPr>
              <w:t>$0.101</w:t>
            </w:r>
          </w:p>
        </w:tc>
        <w:tc>
          <w:tcPr>
            <w:tcW w:w="900" w:type="dxa"/>
          </w:tcPr>
          <w:p>
            <w:pPr>
              <w:jc w:val="right"/>
              <w:spacing w:before="10" w:after="10"/>
            </w:pPr>
            <w:r/>
            <w:r>
              <w:rPr>
                <w:sz w:val="16"/>
              </w:rPr>
              <w:t>$0.071</w:t>
            </w:r>
          </w:p>
        </w:tc>
        <w:tc>
          <w:tcPr>
            <w:tcW w:w="500" w:type="dxa"/>
          </w:tcPr>
          <w:p>
            <w:pPr>
              <w:jc w:val="right"/>
              <w:spacing w:before="10" w:after="10"/>
            </w:pPr>
            <w:r/>
            <w:r>
              <w:rPr>
                <w:sz w:val="16"/>
              </w:rPr>
              <w:t>1.12</w:t>
            </w:r>
          </w:p>
        </w:tc>
        <w:tc>
          <w:tcPr>
            <w:tcW w:w="850" w:type="dxa"/>
          </w:tcPr>
          <w:p>
            <w:pPr>
              <w:jc w:val="right"/>
              <w:spacing w:before="10" w:after="10"/>
            </w:pPr>
            <w:r/>
            <w:r>
              <w:rPr>
                <w:sz w:val="16"/>
              </w:rPr>
              <w:t>$0.128</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71</w:t>
            </w:r>
          </w:p>
        </w:tc>
        <w:tc>
          <w:tcPr>
            <w:tcW w:w="1500" w:type="dxa"/>
          </w:tcPr>
          <w:p>
            <w:pPr>
              <w:spacing w:before="10" w:after="10"/>
            </w:pPr>
            <w:r/>
            <w:r>
              <w:rPr>
                <w:sz w:val="16"/>
              </w:rPr>
              <w:t>Germany</w:t>
            </w:r>
          </w:p>
        </w:tc>
        <w:tc>
          <w:tcPr>
            <w:tcW w:w="900" w:type="dxa"/>
          </w:tcPr>
          <w:p>
            <w:pPr>
              <w:jc w:val="right"/>
              <w:spacing w:before="10" w:after="10"/>
            </w:pPr>
            <w:r/>
            <w:r>
              <w:rPr>
                <w:sz w:val="16"/>
              </w:rPr>
              <w:t>$1.24</w:t>
            </w:r>
          </w:p>
        </w:tc>
        <w:tc>
          <w:tcPr>
            <w:tcW w:w="900" w:type="dxa"/>
          </w:tcPr>
          <w:p>
            <w:pPr>
              <w:jc w:val="right"/>
              <w:spacing w:before="10" w:after="10"/>
            </w:pPr>
            <w:r/>
            <w:r>
              <w:rPr>
                <w:sz w:val="16"/>
              </w:rPr>
              <w:t>$0.124</w:t>
            </w:r>
          </w:p>
        </w:tc>
        <w:tc>
          <w:tcPr>
            <w:tcW w:w="900" w:type="dxa"/>
          </w:tcPr>
          <w:p>
            <w:pPr>
              <w:jc w:val="right"/>
              <w:spacing w:before="10" w:after="10"/>
            </w:pPr>
            <w:r/>
            <w:r>
              <w:rPr>
                <w:sz w:val="16"/>
              </w:rPr>
              <w:t>$0.061</w:t>
            </w:r>
          </w:p>
        </w:tc>
        <w:tc>
          <w:tcPr>
            <w:tcW w:w="500" w:type="dxa"/>
          </w:tcPr>
          <w:p>
            <w:pPr>
              <w:jc w:val="right"/>
              <w:spacing w:before="10" w:after="10"/>
            </w:pPr>
            <w:r/>
            <w:r>
              <w:rPr>
                <w:sz w:val="16"/>
              </w:rPr>
              <w:t>1.14</w:t>
            </w:r>
          </w:p>
        </w:tc>
        <w:tc>
          <w:tcPr>
            <w:tcW w:w="850" w:type="dxa"/>
          </w:tcPr>
          <w:p>
            <w:pPr>
              <w:jc w:val="right"/>
              <w:spacing w:before="10" w:after="10"/>
            </w:pPr>
            <w:r/>
            <w:r>
              <w:rPr>
                <w:sz w:val="16"/>
              </w:rPr>
              <w:t>$0.155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73</w:t>
            </w:r>
          </w:p>
        </w:tc>
        <w:tc>
          <w:tcPr>
            <w:tcW w:w="1500" w:type="dxa"/>
          </w:tcPr>
          <w:p>
            <w:pPr>
              <w:spacing w:before="10" w:after="10"/>
            </w:pPr>
            <w:r/>
            <w:r>
              <w:rPr>
                <w:sz w:val="16"/>
              </w:rPr>
              <w:t>Greece</w:t>
            </w:r>
          </w:p>
        </w:tc>
        <w:tc>
          <w:tcPr>
            <w:tcW w:w="900" w:type="dxa"/>
          </w:tcPr>
          <w:p>
            <w:pPr>
              <w:jc w:val="right"/>
              <w:spacing w:before="10" w:after="10"/>
            </w:pPr>
            <w:r/>
            <w:r>
              <w:rPr>
                <w:sz w:val="16"/>
              </w:rPr>
              <w:t>$1.24</w:t>
            </w:r>
          </w:p>
        </w:tc>
        <w:tc>
          <w:tcPr>
            <w:tcW w:w="900" w:type="dxa"/>
          </w:tcPr>
          <w:p>
            <w:pPr>
              <w:jc w:val="right"/>
              <w:spacing w:before="10" w:after="10"/>
            </w:pPr>
            <w:r/>
            <w:r>
              <w:rPr>
                <w:sz w:val="16"/>
              </w:rPr>
              <w:t>$0.144</w:t>
            </w:r>
          </w:p>
        </w:tc>
        <w:tc>
          <w:tcPr>
            <w:tcW w:w="900" w:type="dxa"/>
          </w:tcPr>
          <w:p>
            <w:pPr>
              <w:jc w:val="right"/>
              <w:spacing w:before="10" w:after="10"/>
            </w:pPr>
            <w:r/>
            <w:r>
              <w:rPr>
                <w:sz w:val="16"/>
              </w:rPr>
              <w:t>$0.042</w:t>
            </w:r>
          </w:p>
        </w:tc>
        <w:tc>
          <w:tcPr>
            <w:tcW w:w="500" w:type="dxa"/>
          </w:tcPr>
          <w:p>
            <w:pPr>
              <w:jc w:val="right"/>
              <w:spacing w:before="10" w:after="10"/>
            </w:pPr>
            <w:r/>
            <w:r>
              <w:rPr>
                <w:sz w:val="16"/>
              </w:rPr>
              <w:t>1.25</w:t>
            </w:r>
          </w:p>
        </w:tc>
        <w:tc>
          <w:tcPr>
            <w:tcW w:w="850" w:type="dxa"/>
          </w:tcPr>
          <w:p>
            <w:pPr>
              <w:jc w:val="right"/>
              <w:spacing w:before="10" w:after="10"/>
            </w:pPr>
            <w:r/>
            <w:r>
              <w:rPr>
                <w:sz w:val="16"/>
              </w:rPr>
              <w:t>$0.165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74</w:t>
            </w:r>
          </w:p>
        </w:tc>
        <w:tc>
          <w:tcPr>
            <w:tcW w:w="1500" w:type="dxa"/>
          </w:tcPr>
          <w:p>
            <w:pPr>
              <w:spacing w:before="10" w:after="10"/>
            </w:pPr>
            <w:r/>
            <w:r>
              <w:rPr>
                <w:sz w:val="16"/>
              </w:rPr>
              <w:t>Austria</w:t>
            </w:r>
          </w:p>
        </w:tc>
        <w:tc>
          <w:tcPr>
            <w:tcW w:w="900" w:type="dxa"/>
          </w:tcPr>
          <w:p>
            <w:pPr>
              <w:jc w:val="right"/>
              <w:spacing w:before="10" w:after="10"/>
            </w:pPr>
            <w:r/>
            <w:r>
              <w:rPr>
                <w:sz w:val="16"/>
              </w:rPr>
              <w:t>$1.25</w:t>
            </w:r>
          </w:p>
        </w:tc>
        <w:tc>
          <w:tcPr>
            <w:tcW w:w="900" w:type="dxa"/>
          </w:tcPr>
          <w:p>
            <w:pPr>
              <w:jc w:val="right"/>
              <w:spacing w:before="10" w:after="10"/>
            </w:pPr>
            <w:r/>
            <w:r>
              <w:rPr>
                <w:sz w:val="16"/>
              </w:rPr>
              <w:t>$0.127</w:t>
            </w:r>
          </w:p>
        </w:tc>
        <w:tc>
          <w:tcPr>
            <w:tcW w:w="900" w:type="dxa"/>
          </w:tcPr>
          <w:p>
            <w:pPr>
              <w:jc w:val="right"/>
              <w:spacing w:before="10" w:after="10"/>
            </w:pPr>
            <w:r/>
            <w:r>
              <w:rPr>
                <w:sz w:val="16"/>
              </w:rPr>
              <w:t>$0.063</w:t>
            </w:r>
          </w:p>
        </w:tc>
        <w:tc>
          <w:tcPr>
            <w:tcW w:w="500" w:type="dxa"/>
          </w:tcPr>
          <w:p>
            <w:pPr>
              <w:jc w:val="right"/>
              <w:spacing w:before="10" w:after="10"/>
            </w:pPr>
            <w:r/>
            <w:r>
              <w:rPr>
                <w:sz w:val="16"/>
              </w:rPr>
              <w:t>1.13</w:t>
            </w:r>
          </w:p>
        </w:tc>
        <w:tc>
          <w:tcPr>
            <w:tcW w:w="850" w:type="dxa"/>
          </w:tcPr>
          <w:p>
            <w:pPr>
              <w:jc w:val="right"/>
              <w:spacing w:before="10" w:after="10"/>
            </w:pPr>
            <w:r/>
            <w:r>
              <w:rPr>
                <w:sz w:val="16"/>
              </w:rPr>
              <w:t>$0.160</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75</w:t>
            </w:r>
          </w:p>
        </w:tc>
        <w:tc>
          <w:tcPr>
            <w:tcW w:w="1500" w:type="dxa"/>
          </w:tcPr>
          <w:p>
            <w:pPr>
              <w:spacing w:before="10" w:after="10"/>
            </w:pPr>
            <w:r/>
            <w:r>
              <w:rPr>
                <w:sz w:val="16"/>
              </w:rPr>
              <w:t>Italy</w:t>
            </w:r>
          </w:p>
        </w:tc>
        <w:tc>
          <w:tcPr>
            <w:tcW w:w="900" w:type="dxa"/>
          </w:tcPr>
          <w:p>
            <w:pPr>
              <w:jc w:val="right"/>
              <w:spacing w:before="10" w:after="10"/>
            </w:pPr>
            <w:r/>
            <w:r>
              <w:rPr>
                <w:sz w:val="16"/>
              </w:rPr>
              <w:t>$1.25</w:t>
            </w:r>
          </w:p>
        </w:tc>
        <w:tc>
          <w:tcPr>
            <w:tcW w:w="900" w:type="dxa"/>
          </w:tcPr>
          <w:p>
            <w:pPr>
              <w:jc w:val="right"/>
              <w:spacing w:before="10" w:after="10"/>
            </w:pPr>
            <w:r/>
            <w:r>
              <w:rPr>
                <w:sz w:val="16"/>
              </w:rPr>
              <w:t>$0.138</w:t>
            </w:r>
          </w:p>
        </w:tc>
        <w:tc>
          <w:tcPr>
            <w:tcW w:w="900" w:type="dxa"/>
          </w:tcPr>
          <w:p>
            <w:pPr>
              <w:jc w:val="right"/>
              <w:spacing w:before="10" w:after="10"/>
            </w:pPr>
            <w:r/>
            <w:r>
              <w:rPr>
                <w:sz w:val="16"/>
              </w:rPr>
              <w:t>$0.052</w:t>
            </w:r>
          </w:p>
        </w:tc>
        <w:tc>
          <w:tcPr>
            <w:tcW w:w="500" w:type="dxa"/>
          </w:tcPr>
          <w:p>
            <w:pPr>
              <w:jc w:val="right"/>
              <w:spacing w:before="10" w:after="10"/>
            </w:pPr>
            <w:r/>
            <w:r>
              <w:rPr>
                <w:sz w:val="16"/>
              </w:rPr>
              <w:t>1.22</w:t>
            </w:r>
          </w:p>
        </w:tc>
        <w:tc>
          <w:tcPr>
            <w:tcW w:w="850" w:type="dxa"/>
          </w:tcPr>
          <w:p>
            <w:pPr>
              <w:jc w:val="right"/>
              <w:spacing w:before="10" w:after="10"/>
            </w:pPr>
            <w:r/>
            <w:r>
              <w:rPr>
                <w:sz w:val="16"/>
              </w:rPr>
              <w:t>$0.162</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77</w:t>
            </w:r>
          </w:p>
        </w:tc>
        <w:tc>
          <w:tcPr>
            <w:tcW w:w="1500" w:type="dxa"/>
          </w:tcPr>
          <w:p>
            <w:pPr>
              <w:spacing w:before="10" w:after="10"/>
            </w:pPr>
            <w:r/>
            <w:r>
              <w:rPr>
                <w:sz w:val="16"/>
              </w:rPr>
              <w:t>Japan</w:t>
            </w:r>
          </w:p>
        </w:tc>
        <w:tc>
          <w:tcPr>
            <w:tcW w:w="900" w:type="dxa"/>
          </w:tcPr>
          <w:p>
            <w:pPr>
              <w:jc w:val="right"/>
              <w:spacing w:before="10" w:after="10"/>
            </w:pPr>
            <w:r/>
            <w:r>
              <w:rPr>
                <w:sz w:val="16"/>
              </w:rPr>
              <w:t>$1.25</w:t>
            </w:r>
          </w:p>
        </w:tc>
        <w:tc>
          <w:tcPr>
            <w:tcW w:w="900" w:type="dxa"/>
          </w:tcPr>
          <w:p>
            <w:pPr>
              <w:jc w:val="right"/>
              <w:spacing w:before="10" w:after="10"/>
            </w:pPr>
            <w:r/>
            <w:r>
              <w:rPr>
                <w:sz w:val="16"/>
              </w:rPr>
              <w:t>$0.117</w:t>
            </w:r>
          </w:p>
        </w:tc>
        <w:tc>
          <w:tcPr>
            <w:tcW w:w="900" w:type="dxa"/>
          </w:tcPr>
          <w:p>
            <w:pPr>
              <w:jc w:val="right"/>
              <w:spacing w:before="10" w:after="10"/>
            </w:pPr>
            <w:r/>
            <w:r>
              <w:rPr>
                <w:sz w:val="16"/>
              </w:rPr>
              <w:t>$0.078</w:t>
            </w:r>
          </w:p>
        </w:tc>
        <w:tc>
          <w:tcPr>
            <w:tcW w:w="500" w:type="dxa"/>
          </w:tcPr>
          <w:p>
            <w:pPr>
              <w:jc w:val="right"/>
              <w:spacing w:before="10" w:after="10"/>
            </w:pPr>
            <w:r/>
            <w:r>
              <w:rPr>
                <w:sz w:val="16"/>
              </w:rPr>
              <w:t>1.23</w:t>
            </w:r>
          </w:p>
        </w:tc>
        <w:tc>
          <w:tcPr>
            <w:tcW w:w="850" w:type="dxa"/>
          </w:tcPr>
          <w:p>
            <w:pPr>
              <w:jc w:val="right"/>
              <w:spacing w:before="10" w:after="10"/>
            </w:pPr>
            <w:r/>
            <w:r>
              <w:rPr>
                <w:sz w:val="16"/>
              </w:rPr>
              <w:t>$0.135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79</w:t>
            </w:r>
          </w:p>
        </w:tc>
        <w:tc>
          <w:tcPr>
            <w:tcW w:w="1500" w:type="dxa"/>
          </w:tcPr>
          <w:p>
            <w:pPr>
              <w:spacing w:before="10" w:after="10"/>
            </w:pPr>
            <w:r/>
            <w:r>
              <w:rPr>
                <w:sz w:val="16"/>
              </w:rPr>
              <w:t>Switzerland</w:t>
            </w:r>
          </w:p>
        </w:tc>
        <w:tc>
          <w:tcPr>
            <w:tcW w:w="900" w:type="dxa"/>
          </w:tcPr>
          <w:p>
            <w:pPr>
              <w:jc w:val="right"/>
              <w:spacing w:before="10" w:after="10"/>
            </w:pPr>
            <w:r/>
            <w:r>
              <w:rPr>
                <w:sz w:val="16"/>
              </w:rPr>
              <w:t>$1.25</w:t>
            </w:r>
          </w:p>
        </w:tc>
        <w:tc>
          <w:tcPr>
            <w:tcW w:w="900" w:type="dxa"/>
          </w:tcPr>
          <w:p>
            <w:pPr>
              <w:jc w:val="right"/>
              <w:spacing w:before="10" w:after="10"/>
            </w:pPr>
            <w:r/>
            <w:r>
              <w:rPr>
                <w:sz w:val="16"/>
              </w:rPr>
              <w:t>$0.122</w:t>
            </w:r>
          </w:p>
        </w:tc>
        <w:tc>
          <w:tcPr>
            <w:tcW w:w="900" w:type="dxa"/>
          </w:tcPr>
          <w:p>
            <w:pPr>
              <w:jc w:val="right"/>
              <w:spacing w:before="10" w:after="10"/>
            </w:pPr>
            <w:r/>
            <w:r>
              <w:rPr>
                <w:sz w:val="16"/>
              </w:rPr>
              <w:t>$0.076</w:t>
            </w:r>
          </w:p>
        </w:tc>
        <w:tc>
          <w:tcPr>
            <w:tcW w:w="500" w:type="dxa"/>
          </w:tcPr>
          <w:p>
            <w:pPr>
              <w:jc w:val="right"/>
              <w:spacing w:before="10" w:after="10"/>
            </w:pPr>
            <w:r/>
            <w:r>
              <w:rPr>
                <w:sz w:val="16"/>
              </w:rPr>
              <w:t>1.09</w:t>
            </w:r>
          </w:p>
        </w:tc>
        <w:tc>
          <w:tcPr>
            <w:tcW w:w="850" w:type="dxa"/>
          </w:tcPr>
          <w:p>
            <w:pPr>
              <w:jc w:val="right"/>
              <w:spacing w:before="10" w:after="10"/>
            </w:pPr>
            <w:r/>
            <w:r>
              <w:rPr>
                <w:sz w:val="16"/>
              </w:rPr>
              <w:t>$0.160</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81</w:t>
            </w:r>
          </w:p>
        </w:tc>
        <w:tc>
          <w:tcPr>
            <w:tcW w:w="1500" w:type="dxa"/>
          </w:tcPr>
          <w:p>
            <w:pPr>
              <w:spacing w:before="10" w:after="10"/>
            </w:pPr>
            <w:r/>
            <w:r>
              <w:rPr>
                <w:sz w:val="16"/>
              </w:rPr>
              <w:t>Singapore</w:t>
            </w:r>
          </w:p>
        </w:tc>
        <w:tc>
          <w:tcPr>
            <w:tcW w:w="900" w:type="dxa"/>
          </w:tcPr>
          <w:p>
            <w:pPr>
              <w:jc w:val="right"/>
              <w:spacing w:before="10" w:after="10"/>
            </w:pPr>
            <w:r/>
            <w:r>
              <w:rPr>
                <w:sz w:val="16"/>
              </w:rPr>
              <w:t>$1.26</w:t>
            </w:r>
          </w:p>
        </w:tc>
        <w:tc>
          <w:tcPr>
            <w:tcW w:w="900" w:type="dxa"/>
          </w:tcPr>
          <w:p>
            <w:pPr>
              <w:jc w:val="right"/>
              <w:spacing w:before="10" w:after="10"/>
            </w:pPr>
            <w:r/>
            <w:r>
              <w:rPr>
                <w:sz w:val="16"/>
              </w:rPr>
              <w:t>$0.130</w:t>
            </w:r>
          </w:p>
        </w:tc>
        <w:tc>
          <w:tcPr>
            <w:tcW w:w="900" w:type="dxa"/>
          </w:tcPr>
          <w:p>
            <w:pPr>
              <w:jc w:val="right"/>
              <w:spacing w:before="10" w:after="10"/>
            </w:pPr>
            <w:r/>
            <w:r>
              <w:rPr>
                <w:sz w:val="16"/>
              </w:rPr>
              <w:t>$0.077</w:t>
            </w:r>
          </w:p>
        </w:tc>
        <w:tc>
          <w:tcPr>
            <w:tcW w:w="500" w:type="dxa"/>
          </w:tcPr>
          <w:p>
            <w:pPr>
              <w:jc w:val="right"/>
              <w:spacing w:before="10" w:after="10"/>
            </w:pPr>
            <w:r/>
            <w:r>
              <w:rPr>
                <w:sz w:val="16"/>
              </w:rPr>
              <w:t>1.28</w:t>
            </w:r>
          </w:p>
        </w:tc>
        <w:tc>
          <w:tcPr>
            <w:tcW w:w="850" w:type="dxa"/>
          </w:tcPr>
          <w:p>
            <w:pPr>
              <w:jc w:val="right"/>
              <w:spacing w:before="10" w:after="10"/>
            </w:pPr>
            <w:r/>
            <w:r>
              <w:rPr>
                <w:sz w:val="16"/>
              </w:rPr>
              <w:t>$0.145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82</w:t>
            </w:r>
          </w:p>
        </w:tc>
        <w:tc>
          <w:tcPr>
            <w:tcW w:w="1500" w:type="dxa"/>
          </w:tcPr>
          <w:p>
            <w:pPr>
              <w:spacing w:before="10" w:after="10"/>
            </w:pPr>
            <w:r/>
            <w:r>
              <w:rPr>
                <w:sz w:val="16"/>
              </w:rPr>
              <w:t>Senegal</w:t>
            </w:r>
          </w:p>
        </w:tc>
        <w:tc>
          <w:tcPr>
            <w:tcW w:w="900" w:type="dxa"/>
          </w:tcPr>
          <w:p>
            <w:pPr>
              <w:jc w:val="right"/>
              <w:spacing w:before="10" w:after="10"/>
            </w:pPr>
            <w:r/>
            <w:r>
              <w:rPr>
                <w:sz w:val="16"/>
              </w:rPr>
              <w:t>$1.27</w:t>
            </w:r>
          </w:p>
        </w:tc>
        <w:tc>
          <w:tcPr>
            <w:tcW w:w="900" w:type="dxa"/>
          </w:tcPr>
          <w:p>
            <w:pPr>
              <w:jc w:val="right"/>
              <w:spacing w:before="10" w:after="10"/>
            </w:pPr>
            <w:r/>
            <w:r>
              <w:rPr>
                <w:sz w:val="16"/>
              </w:rPr>
              <w:t>$0.169</w:t>
            </w:r>
          </w:p>
        </w:tc>
        <w:tc>
          <w:tcPr>
            <w:tcW w:w="900" w:type="dxa"/>
          </w:tcPr>
          <w:p>
            <w:pPr>
              <w:jc w:val="right"/>
              <w:spacing w:before="10" w:after="10"/>
            </w:pPr>
            <w:r/>
            <w:r>
              <w:rPr>
                <w:sz w:val="16"/>
              </w:rPr>
              <w:t>$0.050</w:t>
            </w:r>
          </w:p>
        </w:tc>
        <w:tc>
          <w:tcPr>
            <w:tcW w:w="500" w:type="dxa"/>
          </w:tcPr>
          <w:p>
            <w:pPr>
              <w:jc w:val="right"/>
              <w:spacing w:before="10" w:after="10"/>
            </w:pPr>
            <w:r/>
            <w:r>
              <w:rPr>
                <w:sz w:val="16"/>
              </w:rPr>
              <w:t>1.34</w:t>
            </w:r>
          </w:p>
        </w:tc>
        <w:tc>
          <w:tcPr>
            <w:tcW w:w="850" w:type="dxa"/>
          </w:tcPr>
          <w:p>
            <w:pPr>
              <w:jc w:val="right"/>
              <w:spacing w:before="10" w:after="10"/>
            </w:pPr>
            <w:r/>
            <w:r>
              <w:rPr>
                <w:sz w:val="16"/>
              </w:rPr>
              <w:t>$0.180</w:t>
            </w:r>
          </w:p>
        </w:tc>
        <w:tc>
          <w:tcPr>
            <w:tcW w:w="750" w:type="dxa"/>
          </w:tcPr>
          <w:p>
            <w:pPr>
              <w:jc w:val="right"/>
              <w:spacing w:before="10" w:after="10"/>
            </w:pPr>
            <w:r/>
            <w:r>
              <w:rPr>
                <w:sz w:val="16"/>
              </w:rPr>
              <w:t>—</w:t>
            </w:r>
          </w:p>
        </w:tc>
        <w:tc>
          <w:tcPr>
            <w:tcW w:w="750" w:type="dxa"/>
          </w:tcPr>
          <w:p>
            <w:pPr>
              <w:spacing w:before="10" w:after="10"/>
            </w:pPr>
            <w:r/>
            <w:r>
              <w:rPr>
                <w:sz w:val="16"/>
              </w:rPr>
              <w:t>n/a</w:t>
            </w:r>
          </w:p>
        </w:tc>
      </w:tr>
      <w:tr>
        <w:tc>
          <w:tcPr>
            <w:tcW w:w="550" w:type="dxa"/>
          </w:tcPr>
          <w:p>
            <w:pPr>
              <w:spacing w:before="10" w:after="10"/>
            </w:pPr>
            <w:r/>
            <w:r>
              <w:rPr>
                <w:sz w:val="16"/>
              </w:rPr>
              <w:t>83</w:t>
            </w:r>
          </w:p>
        </w:tc>
        <w:tc>
          <w:tcPr>
            <w:tcW w:w="1500" w:type="dxa"/>
          </w:tcPr>
          <w:p>
            <w:pPr>
              <w:spacing w:before="10" w:after="10"/>
            </w:pPr>
            <w:r/>
            <w:r>
              <w:rPr>
                <w:sz w:val="16"/>
              </w:rPr>
              <w:t>Cyprus</w:t>
            </w:r>
          </w:p>
        </w:tc>
        <w:tc>
          <w:tcPr>
            <w:tcW w:w="900" w:type="dxa"/>
          </w:tcPr>
          <w:p>
            <w:pPr>
              <w:jc w:val="right"/>
              <w:spacing w:before="10" w:after="10"/>
            </w:pPr>
            <w:r/>
            <w:r>
              <w:rPr>
                <w:sz w:val="16"/>
              </w:rPr>
              <w:t>$1.28</w:t>
            </w:r>
          </w:p>
        </w:tc>
        <w:tc>
          <w:tcPr>
            <w:tcW w:w="900" w:type="dxa"/>
          </w:tcPr>
          <w:p>
            <w:pPr>
              <w:jc w:val="right"/>
              <w:spacing w:before="10" w:after="10"/>
            </w:pPr>
            <w:r/>
            <w:r>
              <w:rPr>
                <w:sz w:val="16"/>
              </w:rPr>
              <w:t>$0.165</w:t>
            </w:r>
          </w:p>
        </w:tc>
        <w:tc>
          <w:tcPr>
            <w:tcW w:w="900" w:type="dxa"/>
          </w:tcPr>
          <w:p>
            <w:pPr>
              <w:jc w:val="right"/>
              <w:spacing w:before="10" w:after="10"/>
            </w:pPr>
            <w:r/>
            <w:r>
              <w:rPr>
                <w:sz w:val="16"/>
              </w:rPr>
              <w:t>$0.060</w:t>
            </w:r>
          </w:p>
        </w:tc>
        <w:tc>
          <w:tcPr>
            <w:tcW w:w="500" w:type="dxa"/>
          </w:tcPr>
          <w:p>
            <w:pPr>
              <w:jc w:val="right"/>
              <w:spacing w:before="10" w:after="10"/>
            </w:pPr>
            <w:r/>
            <w:r>
              <w:rPr>
                <w:sz w:val="16"/>
              </w:rPr>
              <w:t>1.27</w:t>
            </w:r>
          </w:p>
        </w:tc>
        <w:tc>
          <w:tcPr>
            <w:tcW w:w="850" w:type="dxa"/>
          </w:tcPr>
          <w:p>
            <w:pPr>
              <w:jc w:val="right"/>
              <w:spacing w:before="10" w:after="10"/>
            </w:pPr>
            <w:r/>
            <w:r>
              <w:rPr>
                <w:sz w:val="16"/>
              </w:rPr>
              <w:t>$0.185</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W w:w="550" w:type="dxa"/>
          </w:tcPr>
          <w:p>
            <w:pPr>
              <w:spacing w:before="10" w:after="10"/>
            </w:pPr>
            <w:r/>
            <w:r>
              <w:rPr>
                <w:sz w:val="16"/>
              </w:rPr>
              <w:t>84</w:t>
            </w:r>
          </w:p>
        </w:tc>
        <w:tc>
          <w:tcPr>
            <w:tcW w:w="1500" w:type="dxa"/>
          </w:tcPr>
          <w:p>
            <w:pPr>
              <w:spacing w:before="10" w:after="10"/>
            </w:pPr>
            <w:r/>
            <w:r>
              <w:rPr>
                <w:sz w:val="16"/>
              </w:rPr>
              <w:t>Ireland</w:t>
            </w:r>
          </w:p>
        </w:tc>
        <w:tc>
          <w:tcPr>
            <w:tcW w:w="900" w:type="dxa"/>
          </w:tcPr>
          <w:p>
            <w:pPr>
              <w:jc w:val="right"/>
              <w:spacing w:before="10" w:after="10"/>
            </w:pPr>
            <w:r/>
            <w:r>
              <w:rPr>
                <w:sz w:val="16"/>
              </w:rPr>
              <w:t>$1.28</w:t>
            </w:r>
          </w:p>
        </w:tc>
        <w:tc>
          <w:tcPr>
            <w:tcW w:w="900" w:type="dxa"/>
          </w:tcPr>
          <w:p>
            <w:pPr>
              <w:jc w:val="right"/>
              <w:spacing w:before="10" w:after="10"/>
            </w:pPr>
            <w:r/>
            <w:r>
              <w:rPr>
                <w:sz w:val="16"/>
              </w:rPr>
              <w:t>$0.173</w:t>
            </w:r>
          </w:p>
        </w:tc>
        <w:tc>
          <w:tcPr>
            <w:tcW w:w="900" w:type="dxa"/>
          </w:tcPr>
          <w:p>
            <w:pPr>
              <w:jc w:val="right"/>
              <w:spacing w:before="10" w:after="10"/>
            </w:pPr>
            <w:r/>
            <w:r>
              <w:rPr>
                <w:sz w:val="16"/>
              </w:rPr>
              <w:t>$0.053</w:t>
            </w:r>
          </w:p>
        </w:tc>
        <w:tc>
          <w:tcPr>
            <w:tcW w:w="500" w:type="dxa"/>
          </w:tcPr>
          <w:p>
            <w:pPr>
              <w:jc w:val="right"/>
              <w:spacing w:before="10" w:after="10"/>
            </w:pPr>
            <w:r/>
            <w:r>
              <w:rPr>
                <w:sz w:val="16"/>
              </w:rPr>
              <w:t>1.08</w:t>
            </w:r>
          </w:p>
        </w:tc>
        <w:tc>
          <w:tcPr>
            <w:tcW w:w="850" w:type="dxa"/>
          </w:tcPr>
          <w:p>
            <w:pPr>
              <w:jc w:val="right"/>
              <w:spacing w:before="10" w:after="10"/>
            </w:pPr>
            <w:r/>
            <w:r>
              <w:rPr>
                <w:sz w:val="16"/>
              </w:rPr>
              <w:t>$0.228</w:t>
            </w:r>
          </w:p>
        </w:tc>
        <w:tc>
          <w:tcPr>
            <w:tcW w:w="750" w:type="dxa"/>
          </w:tcPr>
          <w:p>
            <w:pPr>
              <w:jc w:val="right"/>
              <w:spacing w:before="10" w:after="10"/>
            </w:pPr>
            <w:r/>
            <w:r>
              <w:rPr>
                <w:sz w:val="16"/>
              </w:rPr>
              <w:t>—</w:t>
            </w:r>
          </w:p>
        </w:tc>
        <w:tc>
          <w:tcPr>
            <w:tcW w:w="750" w:type="dxa"/>
          </w:tcPr>
          <w:p>
            <w:pPr>
              <w:spacing w:before="10" w:after="10"/>
            </w:pPr>
            <w:r/>
            <w:r>
              <w:rPr>
                <w:sz w:val="16"/>
              </w:rPr>
              <w:t>import</w:t>
            </w:r>
          </w:p>
        </w:tc>
      </w:tr>
      <w:tr>
        <w:tc>
          <w:tcPr>
            <w:tcBorders>
              <w:bottom w:val="single" w:sz="4" w:space="0" w:color="auto"/>
            </w:tcBorders>
            <w:tcW w:w="550" w:type="dxa"/>
          </w:tcPr>
          <w:p>
            <w:pPr>
              <w:spacing w:before="10" w:after="10"/>
            </w:pPr>
            <w:r/>
            <w:r>
              <w:rPr>
                <w:sz w:val="16"/>
              </w:rPr>
              <w:t>86</w:t>
            </w:r>
          </w:p>
        </w:tc>
        <w:tc>
          <w:tcPr>
            <w:tcBorders>
              <w:bottom w:val="single" w:sz="4" w:space="0" w:color="auto"/>
            </w:tcBorders>
            <w:tcW w:w="1500" w:type="dxa"/>
          </w:tcPr>
          <w:p>
            <w:pPr>
              <w:spacing w:before="10" w:after="10"/>
            </w:pPr>
            <w:r/>
            <w:r>
              <w:rPr>
                <w:sz w:val="16"/>
              </w:rPr>
              <w:t>Greenland</w:t>
            </w:r>
          </w:p>
        </w:tc>
        <w:tc>
          <w:tcPr>
            <w:tcBorders>
              <w:bottom w:val="single" w:sz="4" w:space="0" w:color="auto"/>
            </w:tcBorders>
            <w:tcW w:w="900" w:type="dxa"/>
          </w:tcPr>
          <w:p>
            <w:pPr>
              <w:jc w:val="right"/>
              <w:spacing w:before="10" w:after="10"/>
            </w:pPr>
            <w:r/>
            <w:r>
              <w:rPr>
                <w:sz w:val="16"/>
              </w:rPr>
              <w:t>$1.32</w:t>
            </w:r>
          </w:p>
        </w:tc>
        <w:tc>
          <w:tcPr>
            <w:tcBorders>
              <w:bottom w:val="single" w:sz="4" w:space="0" w:color="auto"/>
            </w:tcBorders>
            <w:tcW w:w="900" w:type="dxa"/>
          </w:tcPr>
          <w:p>
            <w:pPr>
              <w:jc w:val="right"/>
              <w:spacing w:before="10" w:after="10"/>
            </w:pPr>
            <w:r/>
            <w:r>
              <w:rPr>
                <w:sz w:val="16"/>
              </w:rPr>
              <w:t>$0.199</w:t>
            </w:r>
          </w:p>
        </w:tc>
        <w:tc>
          <w:tcPr>
            <w:tcBorders>
              <w:bottom w:val="single" w:sz="4" w:space="0" w:color="auto"/>
            </w:tcBorders>
            <w:tcW w:w="900" w:type="dxa"/>
          </w:tcPr>
          <w:p>
            <w:pPr>
              <w:jc w:val="right"/>
              <w:spacing w:before="10" w:after="10"/>
            </w:pPr>
            <w:r/>
            <w:r>
              <w:rPr>
                <w:sz w:val="16"/>
              </w:rPr>
              <w:t>$0.066</w:t>
            </w:r>
          </w:p>
        </w:tc>
        <w:tc>
          <w:tcPr>
            <w:tcBorders>
              <w:bottom w:val="single" w:sz="4" w:space="0" w:color="auto"/>
            </w:tcBorders>
            <w:tcW w:w="500" w:type="dxa"/>
          </w:tcPr>
          <w:p>
            <w:pPr>
              <w:jc w:val="right"/>
              <w:spacing w:before="10" w:after="10"/>
            </w:pPr>
            <w:r/>
            <w:r>
              <w:rPr>
                <w:sz w:val="16"/>
              </w:rPr>
              <w:t>1.08</w:t>
            </w:r>
          </w:p>
        </w:tc>
        <w:tc>
          <w:tcPr>
            <w:tcBorders>
              <w:bottom w:val="single" w:sz="4" w:space="0" w:color="auto"/>
            </w:tcBorders>
            <w:tcW w:w="850" w:type="dxa"/>
          </w:tcPr>
          <w:p>
            <w:pPr>
              <w:jc w:val="right"/>
              <w:spacing w:before="10" w:after="10"/>
            </w:pPr>
            <w:r/>
            <w:r>
              <w:rPr>
                <w:sz w:val="16"/>
              </w:rPr>
              <w:t>$0.263</w:t>
            </w:r>
          </w:p>
        </w:tc>
        <w:tc>
          <w:tcPr>
            <w:tcBorders>
              <w:bottom w:val="single" w:sz="4" w:space="0" w:color="auto"/>
            </w:tcBorders>
            <w:tcW w:w="750" w:type="dxa"/>
          </w:tcPr>
          <w:p>
            <w:pPr>
              <w:jc w:val="right"/>
              <w:spacing w:before="10" w:after="10"/>
            </w:pPr>
            <w:r/>
            <w:r>
              <w:rPr>
                <w:sz w:val="16"/>
              </w:rPr>
              <w:t>—</w:t>
            </w:r>
          </w:p>
        </w:tc>
        <w:tc>
          <w:tcPr>
            <w:tcBorders>
              <w:bottom w:val="single" w:sz="4" w:space="0" w:color="auto"/>
            </w:tcBorders>
            <w:tcW w:w="750" w:type="dxa"/>
          </w:tcPr>
          <w:p>
            <w:pPr>
              <w:spacing w:before="10" w:after="10"/>
            </w:pPr>
            <w:r/>
            <w:r>
              <w:rPr>
                <w:sz w:val="16"/>
              </w:rPr>
              <w:t>import</w:t>
            </w:r>
          </w:p>
        </w:tc>
      </w:tr>
    </w:tbl>
    <w:p>
      <w:pPr>
        <w:spacing w:before="0" w:after="0"/>
      </w:pPr>
      <w:r>
        <w:br w:type="page"/>
      </w:r>
    </w:p>
    <w:p>
      <w:pPr>
        <w:spacing w:before="0" w:after="60"/>
        <w:ind w:firstLine="0"/>
        <w:jc w:val="both"/>
      </w:pPr>
      <w:bookmarkStart w:id="102" w:name="TableA2"/>
      <w:r>
        <w:rPr>
          <w:b/>
          <w:sz w:val="20"/>
        </w:rPr>
        <w:t>Table A2</w:t>
      </w:r>
      <w:bookmarkEnd w:id="102"/>
      <w:r>
        <w:rPr>
          <w:b/>
          <w:sz w:val="20"/>
        </w:rPr>
        <w:t>. Data center counts and demand shares by country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500" w:type="dxa"/>
          </w:tcPr>
          <w:p>
            <w:pPr>
              <w:jc w:val="center"/>
              <w:spacing w:before="10" w:after="10"/>
            </w:pPr>
            <w:r/>
            <w:r>
              <w:rPr>
                <w:b/>
                <w:sz w:val="16"/>
              </w:rPr>
              <w:t>Rank</w:t>
            </w:r>
          </w:p>
        </w:tc>
        <w:tc>
          <w:tcPr>
            <w:tcBorders>
              <w:top w:val="single" w:sz="4" w:space="0" w:color="auto"/>
              <w:bottom w:val="single" w:sz="4" w:space="0" w:color="auto"/>
            </w:tcBorders>
            <w:tcW w:w="2200" w:type="dxa"/>
          </w:tcPr>
          <w:p>
            <w:pPr>
              <w:jc w:val="center"/>
              <w:spacing w:before="10" w:after="10"/>
            </w:pPr>
            <w:r/>
            <w:r>
              <w:rPr>
                <w:b/>
                <w:sz w:val="16"/>
              </w:rPr>
              <w:t>Country</w:t>
            </w:r>
          </w:p>
        </w:tc>
        <w:tc>
          <w:tcPr>
            <w:tcBorders>
              <w:top w:val="single" w:sz="4" w:space="0" w:color="auto"/>
              <w:bottom w:val="single" w:sz="4" w:space="0" w:color="auto"/>
            </w:tcBorders>
            <w:tcW w:w="1000" w:type="dxa"/>
          </w:tcPr>
          <w:p>
            <w:pPr>
              <w:jc w:val="center"/>
              <w:spacing w:before="10" w:after="10"/>
            </w:pPr>
            <w:r/>
            <w:r>
              <w:rPr>
                <w:b/>
                <w:sz w:val="16"/>
              </w:rPr>
              <w:t>Data</w:t>
              <w:br/>
              <w:t>Centers</w:t>
            </w:r>
          </w:p>
        </w:tc>
        <w:tc>
          <w:tcPr>
            <w:tcBorders>
              <w:top w:val="single" w:sz="4" w:space="0" w:color="auto"/>
              <w:bottom w:val="single" w:sz="4" w:space="0" w:color="auto"/>
            </w:tcBorders>
            <w:tcW w:w="1000" w:type="dxa"/>
          </w:tcPr>
          <w:p>
            <w:pPr>
              <w:jc w:val="center"/>
              <w:spacing w:before="10" w:after="10"/>
            </w:pPr>
            <w:r/>
            <w:r>
              <w:rPr>
                <w:b/>
                <w:sz w:val="16"/>
              </w:rPr>
              <w:t>Demand</w:t>
              <w:br/>
              <w:t>Share (%)</w:t>
            </w:r>
          </w:p>
        </w:tc>
        <w:tc>
          <w:tcPr>
            <w:tcBorders>
              <w:top w:val="single" w:sz="4" w:space="0" w:color="auto"/>
              <w:bottom w:val="single" w:sz="4" w:space="0" w:color="auto"/>
            </w:tcBorders>
            <w:tcW w:w="1900" w:type="dxa"/>
          </w:tcPr>
          <w:p>
            <w:pPr>
              <w:jc w:val="center"/>
              <w:spacing w:before="10" w:after="10"/>
            </w:pPr>
            <w:r/>
            <w:r>
              <w:rPr>
                <w:b/>
                <w:sz w:val="16"/>
              </w:rPr>
              <w:t>Source</w:t>
            </w:r>
          </w:p>
        </w:tc>
      </w:tr>
      <w:tr>
        <w:tc>
          <w:tcPr>
            <w:tcW w:w="500" w:type="dxa"/>
          </w:tcPr>
          <w:p>
            <w:pPr>
              <w:spacing w:before="10" w:after="10"/>
            </w:pPr>
            <w:r/>
            <w:r>
              <w:rPr>
                <w:sz w:val="16"/>
              </w:rPr>
              <w:t>1</w:t>
            </w:r>
          </w:p>
        </w:tc>
        <w:tc>
          <w:tcPr>
            <w:tcW w:w="2200" w:type="dxa"/>
          </w:tcPr>
          <w:p>
            <w:pPr>
              <w:spacing w:before="10" w:after="10"/>
            </w:pPr>
            <w:r/>
            <w:r>
              <w:rPr>
                <w:sz w:val="16"/>
              </w:rPr>
              <w:t>United States of Amer.</w:t>
            </w:r>
          </w:p>
        </w:tc>
        <w:tc>
          <w:tcPr>
            <w:tcW w:w="1000" w:type="dxa"/>
          </w:tcPr>
          <w:p>
            <w:pPr>
              <w:jc w:val="right"/>
              <w:spacing w:before="10" w:after="10"/>
            </w:pPr>
            <w:r/>
            <w:r>
              <w:rPr>
                <w:sz w:val="16"/>
              </w:rPr>
              <w:t>5427</w:t>
            </w:r>
          </w:p>
        </w:tc>
        <w:tc>
          <w:tcPr>
            <w:tcW w:w="1000" w:type="dxa"/>
          </w:tcPr>
          <w:p>
            <w:pPr>
              <w:jc w:val="right"/>
              <w:spacing w:before="10" w:after="10"/>
            </w:pPr>
            <w:r/>
            <w:r>
              <w:rPr>
                <w:sz w:val="16"/>
              </w:rPr>
              <w:t>47.1</w:t>
            </w:r>
          </w:p>
        </w:tc>
        <w:tc>
          <w:tcPr>
            <w:tcW w:w="1900" w:type="dxa"/>
          </w:tcPr>
          <w:p>
            <w:pPr>
              <w:jc w:val="right"/>
              <w:spacing w:before="10" w:after="10"/>
            </w:pPr>
            <w:r/>
            <w:r>
              <w:rPr>
                <w:sz w:val="16"/>
              </w:rPr>
              <w:t>Cloudscene</w:t>
            </w:r>
          </w:p>
        </w:tc>
      </w:tr>
      <w:tr>
        <w:tc>
          <w:tcPr>
            <w:tcW w:w="500" w:type="dxa"/>
          </w:tcPr>
          <w:p>
            <w:pPr>
              <w:spacing w:before="10" w:after="10"/>
            </w:pPr>
            <w:r/>
            <w:r>
              <w:rPr>
                <w:sz w:val="16"/>
              </w:rPr>
              <w:t>2</w:t>
            </w:r>
          </w:p>
        </w:tc>
        <w:tc>
          <w:tcPr>
            <w:tcW w:w="2200" w:type="dxa"/>
          </w:tcPr>
          <w:p>
            <w:pPr>
              <w:spacing w:before="10" w:after="10"/>
            </w:pPr>
            <w:r/>
            <w:r>
              <w:rPr>
                <w:sz w:val="16"/>
              </w:rPr>
              <w:t>Germany</w:t>
            </w:r>
          </w:p>
        </w:tc>
        <w:tc>
          <w:tcPr>
            <w:tcW w:w="1000" w:type="dxa"/>
          </w:tcPr>
          <w:p>
            <w:pPr>
              <w:jc w:val="right"/>
              <w:spacing w:before="10" w:after="10"/>
            </w:pPr>
            <w:r/>
            <w:r>
              <w:rPr>
                <w:sz w:val="16"/>
              </w:rPr>
              <w:t>529</w:t>
            </w:r>
          </w:p>
        </w:tc>
        <w:tc>
          <w:tcPr>
            <w:tcW w:w="1000" w:type="dxa"/>
          </w:tcPr>
          <w:p>
            <w:pPr>
              <w:jc w:val="right"/>
              <w:spacing w:before="10" w:after="10"/>
            </w:pPr>
            <w:r/>
            <w:r>
              <w:rPr>
                <w:sz w:val="16"/>
              </w:rPr>
              <w:t>4.6</w:t>
            </w:r>
          </w:p>
        </w:tc>
        <w:tc>
          <w:tcPr>
            <w:tcW w:w="1900" w:type="dxa"/>
          </w:tcPr>
          <w:p>
            <w:pPr>
              <w:jc w:val="right"/>
              <w:spacing w:before="10" w:after="10"/>
            </w:pPr>
            <w:r/>
            <w:r>
              <w:rPr>
                <w:sz w:val="16"/>
              </w:rPr>
              <w:t>Cloudscene</w:t>
            </w:r>
          </w:p>
        </w:tc>
      </w:tr>
      <w:tr>
        <w:tc>
          <w:tcPr>
            <w:tcW w:w="500" w:type="dxa"/>
          </w:tcPr>
          <w:p>
            <w:pPr>
              <w:spacing w:before="10" w:after="10"/>
            </w:pPr>
            <w:r/>
            <w:r>
              <w:rPr>
                <w:sz w:val="16"/>
              </w:rPr>
              <w:t>3</w:t>
            </w:r>
          </w:p>
        </w:tc>
        <w:tc>
          <w:tcPr>
            <w:tcW w:w="2200" w:type="dxa"/>
          </w:tcPr>
          <w:p>
            <w:pPr>
              <w:spacing w:before="10" w:after="10"/>
            </w:pPr>
            <w:r/>
            <w:r>
              <w:rPr>
                <w:sz w:val="16"/>
              </w:rPr>
              <w:t>United Kingdom</w:t>
            </w:r>
          </w:p>
        </w:tc>
        <w:tc>
          <w:tcPr>
            <w:tcW w:w="1000" w:type="dxa"/>
          </w:tcPr>
          <w:p>
            <w:pPr>
              <w:jc w:val="right"/>
              <w:spacing w:before="10" w:after="10"/>
            </w:pPr>
            <w:r/>
            <w:r>
              <w:rPr>
                <w:sz w:val="16"/>
              </w:rPr>
              <w:t>523</w:t>
            </w:r>
          </w:p>
        </w:tc>
        <w:tc>
          <w:tcPr>
            <w:tcW w:w="1000" w:type="dxa"/>
          </w:tcPr>
          <w:p>
            <w:pPr>
              <w:jc w:val="right"/>
              <w:spacing w:before="10" w:after="10"/>
            </w:pPr>
            <w:r/>
            <w:r>
              <w:rPr>
                <w:sz w:val="16"/>
              </w:rPr>
              <w:t>4.5</w:t>
            </w:r>
          </w:p>
        </w:tc>
        <w:tc>
          <w:tcPr>
            <w:tcW w:w="1900" w:type="dxa"/>
          </w:tcPr>
          <w:p>
            <w:pPr>
              <w:jc w:val="right"/>
              <w:spacing w:before="10" w:after="10"/>
            </w:pPr>
            <w:r/>
            <w:r>
              <w:rPr>
                <w:sz w:val="16"/>
              </w:rPr>
              <w:t>Cloudscene</w:t>
            </w:r>
          </w:p>
        </w:tc>
      </w:tr>
      <w:tr>
        <w:tc>
          <w:tcPr>
            <w:tcW w:w="500" w:type="dxa"/>
          </w:tcPr>
          <w:p>
            <w:pPr>
              <w:spacing w:before="10" w:after="10"/>
            </w:pPr>
            <w:r/>
            <w:r>
              <w:rPr>
                <w:sz w:val="16"/>
              </w:rPr>
              <w:t>4</w:t>
            </w:r>
          </w:p>
        </w:tc>
        <w:tc>
          <w:tcPr>
            <w:tcW w:w="2200" w:type="dxa"/>
          </w:tcPr>
          <w:p>
            <w:pPr>
              <w:spacing w:before="10" w:after="10"/>
            </w:pPr>
            <w:r/>
            <w:r>
              <w:rPr>
                <w:sz w:val="16"/>
              </w:rPr>
              <w:t>China</w:t>
            </w:r>
          </w:p>
        </w:tc>
        <w:tc>
          <w:tcPr>
            <w:tcW w:w="1000" w:type="dxa"/>
          </w:tcPr>
          <w:p>
            <w:pPr>
              <w:jc w:val="right"/>
              <w:spacing w:before="10" w:after="10"/>
            </w:pPr>
            <w:r/>
            <w:r>
              <w:rPr>
                <w:sz w:val="16"/>
              </w:rPr>
              <w:t>449</w:t>
            </w:r>
          </w:p>
        </w:tc>
        <w:tc>
          <w:tcPr>
            <w:tcW w:w="1000" w:type="dxa"/>
          </w:tcPr>
          <w:p>
            <w:pPr>
              <w:jc w:val="right"/>
              <w:spacing w:before="10" w:after="10"/>
            </w:pPr>
            <w:r/>
            <w:r>
              <w:rPr>
                <w:sz w:val="16"/>
              </w:rPr>
              <w:t>3.9</w:t>
            </w:r>
          </w:p>
        </w:tc>
        <w:tc>
          <w:tcPr>
            <w:tcW w:w="1900" w:type="dxa"/>
          </w:tcPr>
          <w:p>
            <w:pPr>
              <w:jc w:val="right"/>
              <w:spacing w:before="10" w:after="10"/>
            </w:pPr>
            <w:r/>
            <w:r>
              <w:rPr>
                <w:sz w:val="16"/>
              </w:rPr>
              <w:t>Cloudscene</w:t>
            </w:r>
          </w:p>
        </w:tc>
      </w:tr>
      <w:tr>
        <w:tc>
          <w:tcPr>
            <w:tcW w:w="500" w:type="dxa"/>
          </w:tcPr>
          <w:p>
            <w:pPr>
              <w:spacing w:before="10" w:after="10"/>
            </w:pPr>
            <w:r/>
            <w:r>
              <w:rPr>
                <w:sz w:val="16"/>
              </w:rPr>
              <w:t>5</w:t>
            </w:r>
          </w:p>
        </w:tc>
        <w:tc>
          <w:tcPr>
            <w:tcW w:w="2200" w:type="dxa"/>
          </w:tcPr>
          <w:p>
            <w:pPr>
              <w:spacing w:before="10" w:after="10"/>
            </w:pPr>
            <w:r/>
            <w:r>
              <w:rPr>
                <w:sz w:val="16"/>
              </w:rPr>
              <w:t>Canada</w:t>
            </w:r>
          </w:p>
        </w:tc>
        <w:tc>
          <w:tcPr>
            <w:tcW w:w="1000" w:type="dxa"/>
          </w:tcPr>
          <w:p>
            <w:pPr>
              <w:jc w:val="right"/>
              <w:spacing w:before="10" w:after="10"/>
            </w:pPr>
            <w:r/>
            <w:r>
              <w:rPr>
                <w:sz w:val="16"/>
              </w:rPr>
              <w:t>337</w:t>
            </w:r>
          </w:p>
        </w:tc>
        <w:tc>
          <w:tcPr>
            <w:tcW w:w="1000" w:type="dxa"/>
          </w:tcPr>
          <w:p>
            <w:pPr>
              <w:jc w:val="right"/>
              <w:spacing w:before="10" w:after="10"/>
            </w:pPr>
            <w:r/>
            <w:r>
              <w:rPr>
                <w:sz w:val="16"/>
              </w:rPr>
              <w:t>2.9</w:t>
            </w:r>
          </w:p>
        </w:tc>
        <w:tc>
          <w:tcPr>
            <w:tcW w:w="1900" w:type="dxa"/>
          </w:tcPr>
          <w:p>
            <w:pPr>
              <w:jc w:val="right"/>
              <w:spacing w:before="10" w:after="10"/>
            </w:pPr>
            <w:r/>
            <w:r>
              <w:rPr>
                <w:sz w:val="16"/>
              </w:rPr>
              <w:t>Cloudscene</w:t>
            </w:r>
          </w:p>
        </w:tc>
      </w:tr>
      <w:tr>
        <w:tc>
          <w:tcPr>
            <w:tcW w:w="500" w:type="dxa"/>
          </w:tcPr>
          <w:p>
            <w:pPr>
              <w:spacing w:before="10" w:after="10"/>
            </w:pPr>
            <w:r/>
            <w:r>
              <w:rPr>
                <w:sz w:val="16"/>
              </w:rPr>
              <w:t>6</w:t>
            </w:r>
          </w:p>
        </w:tc>
        <w:tc>
          <w:tcPr>
            <w:tcW w:w="2200" w:type="dxa"/>
          </w:tcPr>
          <w:p>
            <w:pPr>
              <w:spacing w:before="10" w:after="10"/>
            </w:pPr>
            <w:r/>
            <w:r>
              <w:rPr>
                <w:sz w:val="16"/>
              </w:rPr>
              <w:t>France</w:t>
            </w:r>
          </w:p>
        </w:tc>
        <w:tc>
          <w:tcPr>
            <w:tcW w:w="1000" w:type="dxa"/>
          </w:tcPr>
          <w:p>
            <w:pPr>
              <w:jc w:val="right"/>
              <w:spacing w:before="10" w:after="10"/>
            </w:pPr>
            <w:r/>
            <w:r>
              <w:rPr>
                <w:sz w:val="16"/>
              </w:rPr>
              <w:t>322</w:t>
            </w:r>
          </w:p>
        </w:tc>
        <w:tc>
          <w:tcPr>
            <w:tcW w:w="1000" w:type="dxa"/>
          </w:tcPr>
          <w:p>
            <w:pPr>
              <w:jc w:val="right"/>
              <w:spacing w:before="10" w:after="10"/>
            </w:pPr>
            <w:r/>
            <w:r>
              <w:rPr>
                <w:sz w:val="16"/>
              </w:rPr>
              <w:t>2.8</w:t>
            </w:r>
          </w:p>
        </w:tc>
        <w:tc>
          <w:tcPr>
            <w:tcW w:w="1900" w:type="dxa"/>
          </w:tcPr>
          <w:p>
            <w:pPr>
              <w:jc w:val="right"/>
              <w:spacing w:before="10" w:after="10"/>
            </w:pPr>
            <w:r/>
            <w:r>
              <w:rPr>
                <w:sz w:val="16"/>
              </w:rPr>
              <w:t>Cloudscene</w:t>
            </w:r>
          </w:p>
        </w:tc>
      </w:tr>
      <w:tr>
        <w:tc>
          <w:tcPr>
            <w:tcW w:w="500" w:type="dxa"/>
          </w:tcPr>
          <w:p>
            <w:pPr>
              <w:spacing w:before="10" w:after="10"/>
            </w:pPr>
            <w:r/>
            <w:r>
              <w:rPr>
                <w:sz w:val="16"/>
              </w:rPr>
              <w:t>7</w:t>
            </w:r>
          </w:p>
        </w:tc>
        <w:tc>
          <w:tcPr>
            <w:tcW w:w="2200" w:type="dxa"/>
          </w:tcPr>
          <w:p>
            <w:pPr>
              <w:spacing w:before="10" w:after="10"/>
            </w:pPr>
            <w:r/>
            <w:r>
              <w:rPr>
                <w:sz w:val="16"/>
              </w:rPr>
              <w:t>Australia</w:t>
            </w:r>
          </w:p>
        </w:tc>
        <w:tc>
          <w:tcPr>
            <w:tcW w:w="1000" w:type="dxa"/>
          </w:tcPr>
          <w:p>
            <w:pPr>
              <w:jc w:val="right"/>
              <w:spacing w:before="10" w:after="10"/>
            </w:pPr>
            <w:r/>
            <w:r>
              <w:rPr>
                <w:sz w:val="16"/>
              </w:rPr>
              <w:t>314</w:t>
            </w:r>
          </w:p>
        </w:tc>
        <w:tc>
          <w:tcPr>
            <w:tcW w:w="1000" w:type="dxa"/>
          </w:tcPr>
          <w:p>
            <w:pPr>
              <w:jc w:val="right"/>
              <w:spacing w:before="10" w:after="10"/>
            </w:pPr>
            <w:r/>
            <w:r>
              <w:rPr>
                <w:sz w:val="16"/>
              </w:rPr>
              <w:t>2.7</w:t>
            </w:r>
          </w:p>
        </w:tc>
        <w:tc>
          <w:tcPr>
            <w:tcW w:w="1900" w:type="dxa"/>
          </w:tcPr>
          <w:p>
            <w:pPr>
              <w:jc w:val="right"/>
              <w:spacing w:before="10" w:after="10"/>
            </w:pPr>
            <w:r/>
            <w:r>
              <w:rPr>
                <w:sz w:val="16"/>
              </w:rPr>
              <w:t>Cloudscene</w:t>
            </w:r>
          </w:p>
        </w:tc>
      </w:tr>
      <w:tr>
        <w:tc>
          <w:tcPr>
            <w:tcW w:w="500" w:type="dxa"/>
          </w:tcPr>
          <w:p>
            <w:pPr>
              <w:spacing w:before="10" w:after="10"/>
            </w:pPr>
            <w:r/>
            <w:r>
              <w:rPr>
                <w:sz w:val="16"/>
              </w:rPr>
              <w:t>8</w:t>
            </w:r>
          </w:p>
        </w:tc>
        <w:tc>
          <w:tcPr>
            <w:tcW w:w="2200" w:type="dxa"/>
          </w:tcPr>
          <w:p>
            <w:pPr>
              <w:spacing w:before="10" w:after="10"/>
            </w:pPr>
            <w:r/>
            <w:r>
              <w:rPr>
                <w:sz w:val="16"/>
              </w:rPr>
              <w:t>Netherlands</w:t>
            </w:r>
          </w:p>
        </w:tc>
        <w:tc>
          <w:tcPr>
            <w:tcW w:w="1000" w:type="dxa"/>
          </w:tcPr>
          <w:p>
            <w:pPr>
              <w:jc w:val="right"/>
              <w:spacing w:before="10" w:after="10"/>
            </w:pPr>
            <w:r/>
            <w:r>
              <w:rPr>
                <w:sz w:val="16"/>
              </w:rPr>
              <w:t>298</w:t>
            </w:r>
          </w:p>
        </w:tc>
        <w:tc>
          <w:tcPr>
            <w:tcW w:w="1000" w:type="dxa"/>
          </w:tcPr>
          <w:p>
            <w:pPr>
              <w:jc w:val="right"/>
              <w:spacing w:before="10" w:after="10"/>
            </w:pPr>
            <w:r/>
            <w:r>
              <w:rPr>
                <w:sz w:val="16"/>
              </w:rPr>
              <w:t>2.6</w:t>
            </w:r>
          </w:p>
        </w:tc>
        <w:tc>
          <w:tcPr>
            <w:tcW w:w="1900" w:type="dxa"/>
          </w:tcPr>
          <w:p>
            <w:pPr>
              <w:jc w:val="right"/>
              <w:spacing w:before="10" w:after="10"/>
            </w:pPr>
            <w:r/>
            <w:r>
              <w:rPr>
                <w:sz w:val="16"/>
              </w:rPr>
              <w:t>Cloudscene</w:t>
            </w:r>
          </w:p>
        </w:tc>
      </w:tr>
      <w:tr>
        <w:tc>
          <w:tcPr>
            <w:tcW w:w="500" w:type="dxa"/>
          </w:tcPr>
          <w:p>
            <w:pPr>
              <w:spacing w:before="10" w:after="10"/>
            </w:pPr>
            <w:r/>
            <w:r>
              <w:rPr>
                <w:sz w:val="16"/>
              </w:rPr>
              <w:t>9</w:t>
            </w:r>
          </w:p>
        </w:tc>
        <w:tc>
          <w:tcPr>
            <w:tcW w:w="2200" w:type="dxa"/>
          </w:tcPr>
          <w:p>
            <w:pPr>
              <w:spacing w:before="10" w:after="10"/>
            </w:pPr>
            <w:r/>
            <w:r>
              <w:rPr>
                <w:sz w:val="16"/>
              </w:rPr>
              <w:t>Russia</w:t>
            </w:r>
          </w:p>
        </w:tc>
        <w:tc>
          <w:tcPr>
            <w:tcW w:w="1000" w:type="dxa"/>
          </w:tcPr>
          <w:p>
            <w:pPr>
              <w:jc w:val="right"/>
              <w:spacing w:before="10" w:after="10"/>
            </w:pPr>
            <w:r/>
            <w:r>
              <w:rPr>
                <w:sz w:val="16"/>
              </w:rPr>
              <w:t>251</w:t>
            </w:r>
          </w:p>
        </w:tc>
        <w:tc>
          <w:tcPr>
            <w:tcW w:w="1000" w:type="dxa"/>
          </w:tcPr>
          <w:p>
            <w:pPr>
              <w:jc w:val="right"/>
              <w:spacing w:before="10" w:after="10"/>
            </w:pPr>
            <w:r/>
            <w:r>
              <w:rPr>
                <w:sz w:val="16"/>
              </w:rPr>
              <w:t>2.2</w:t>
            </w:r>
          </w:p>
        </w:tc>
        <w:tc>
          <w:tcPr>
            <w:tcW w:w="1900" w:type="dxa"/>
          </w:tcPr>
          <w:p>
            <w:pPr>
              <w:jc w:val="right"/>
              <w:spacing w:before="10" w:after="10"/>
            </w:pPr>
            <w:r/>
            <w:r>
              <w:rPr>
                <w:sz w:val="16"/>
              </w:rPr>
              <w:t>Cloudscene</w:t>
            </w:r>
          </w:p>
        </w:tc>
      </w:tr>
      <w:tr>
        <w:tc>
          <w:tcPr>
            <w:tcW w:w="500" w:type="dxa"/>
          </w:tcPr>
          <w:p>
            <w:pPr>
              <w:spacing w:before="10" w:after="10"/>
            </w:pPr>
            <w:r/>
            <w:r>
              <w:rPr>
                <w:sz w:val="16"/>
              </w:rPr>
              <w:t>10</w:t>
            </w:r>
          </w:p>
        </w:tc>
        <w:tc>
          <w:tcPr>
            <w:tcW w:w="2200" w:type="dxa"/>
          </w:tcPr>
          <w:p>
            <w:pPr>
              <w:spacing w:before="10" w:after="10"/>
            </w:pPr>
            <w:r/>
            <w:r>
              <w:rPr>
                <w:sz w:val="16"/>
              </w:rPr>
              <w:t>Japan</w:t>
            </w:r>
          </w:p>
        </w:tc>
        <w:tc>
          <w:tcPr>
            <w:tcW w:w="1000" w:type="dxa"/>
          </w:tcPr>
          <w:p>
            <w:pPr>
              <w:jc w:val="right"/>
              <w:spacing w:before="10" w:after="10"/>
            </w:pPr>
            <w:r/>
            <w:r>
              <w:rPr>
                <w:sz w:val="16"/>
              </w:rPr>
              <w:t>222</w:t>
            </w:r>
          </w:p>
        </w:tc>
        <w:tc>
          <w:tcPr>
            <w:tcW w:w="1000" w:type="dxa"/>
          </w:tcPr>
          <w:p>
            <w:pPr>
              <w:jc w:val="right"/>
              <w:spacing w:before="10" w:after="10"/>
            </w:pPr>
            <w:r/>
            <w:r>
              <w:rPr>
                <w:sz w:val="16"/>
              </w:rPr>
              <w:t>1.9</w:t>
            </w:r>
          </w:p>
        </w:tc>
        <w:tc>
          <w:tcPr>
            <w:tcW w:w="1900" w:type="dxa"/>
          </w:tcPr>
          <w:p>
            <w:pPr>
              <w:jc w:val="right"/>
              <w:spacing w:before="10" w:after="10"/>
            </w:pPr>
            <w:r/>
            <w:r>
              <w:rPr>
                <w:sz w:val="16"/>
              </w:rPr>
              <w:t>Cloudscene</w:t>
            </w:r>
          </w:p>
        </w:tc>
      </w:tr>
      <w:tr>
        <w:tc>
          <w:tcPr>
            <w:tcW w:w="500" w:type="dxa"/>
          </w:tcPr>
          <w:p>
            <w:pPr>
              <w:spacing w:before="10" w:after="10"/>
            </w:pPr>
            <w:r/>
            <w:r>
              <w:rPr>
                <w:sz w:val="16"/>
              </w:rPr>
              <w:t>11</w:t>
            </w:r>
          </w:p>
        </w:tc>
        <w:tc>
          <w:tcPr>
            <w:tcW w:w="2200" w:type="dxa"/>
          </w:tcPr>
          <w:p>
            <w:pPr>
              <w:spacing w:before="10" w:after="10"/>
            </w:pPr>
            <w:r/>
            <w:r>
              <w:rPr>
                <w:sz w:val="16"/>
              </w:rPr>
              <w:t>Brazil</w:t>
            </w:r>
          </w:p>
        </w:tc>
        <w:tc>
          <w:tcPr>
            <w:tcW w:w="1000" w:type="dxa"/>
          </w:tcPr>
          <w:p>
            <w:pPr>
              <w:jc w:val="right"/>
              <w:spacing w:before="10" w:after="10"/>
            </w:pPr>
            <w:r/>
            <w:r>
              <w:rPr>
                <w:sz w:val="16"/>
              </w:rPr>
              <w:t>197</w:t>
            </w:r>
          </w:p>
        </w:tc>
        <w:tc>
          <w:tcPr>
            <w:tcW w:w="1000" w:type="dxa"/>
          </w:tcPr>
          <w:p>
            <w:pPr>
              <w:jc w:val="right"/>
              <w:spacing w:before="10" w:after="10"/>
            </w:pPr>
            <w:r/>
            <w:r>
              <w:rPr>
                <w:sz w:val="16"/>
              </w:rPr>
              <w:t>1.7</w:t>
            </w:r>
          </w:p>
        </w:tc>
        <w:tc>
          <w:tcPr>
            <w:tcW w:w="1900" w:type="dxa"/>
          </w:tcPr>
          <w:p>
            <w:pPr>
              <w:jc w:val="right"/>
              <w:spacing w:before="10" w:after="10"/>
            </w:pPr>
            <w:r/>
            <w:r>
              <w:rPr>
                <w:sz w:val="16"/>
              </w:rPr>
              <w:t>Cloudscene</w:t>
            </w:r>
          </w:p>
        </w:tc>
      </w:tr>
      <w:tr>
        <w:tc>
          <w:tcPr>
            <w:tcW w:w="500" w:type="dxa"/>
          </w:tcPr>
          <w:p>
            <w:pPr>
              <w:spacing w:before="10" w:after="10"/>
            </w:pPr>
            <w:r/>
            <w:r>
              <w:rPr>
                <w:sz w:val="16"/>
              </w:rPr>
              <w:t>12</w:t>
            </w:r>
          </w:p>
        </w:tc>
        <w:tc>
          <w:tcPr>
            <w:tcW w:w="2200" w:type="dxa"/>
          </w:tcPr>
          <w:p>
            <w:pPr>
              <w:spacing w:before="10" w:after="10"/>
            </w:pPr>
            <w:r/>
            <w:r>
              <w:rPr>
                <w:sz w:val="16"/>
              </w:rPr>
              <w:t>Mexico</w:t>
            </w:r>
          </w:p>
        </w:tc>
        <w:tc>
          <w:tcPr>
            <w:tcW w:w="1000" w:type="dxa"/>
          </w:tcPr>
          <w:p>
            <w:pPr>
              <w:jc w:val="right"/>
              <w:spacing w:before="10" w:after="10"/>
            </w:pPr>
            <w:r/>
            <w:r>
              <w:rPr>
                <w:sz w:val="16"/>
              </w:rPr>
              <w:t>173</w:t>
            </w:r>
          </w:p>
        </w:tc>
        <w:tc>
          <w:tcPr>
            <w:tcW w:w="1000" w:type="dxa"/>
          </w:tcPr>
          <w:p>
            <w:pPr>
              <w:jc w:val="right"/>
              <w:spacing w:before="10" w:after="10"/>
            </w:pPr>
            <w:r/>
            <w:r>
              <w:rPr>
                <w:sz w:val="16"/>
              </w:rPr>
              <w:t>1.5</w:t>
            </w:r>
          </w:p>
        </w:tc>
        <w:tc>
          <w:tcPr>
            <w:tcW w:w="1900" w:type="dxa"/>
          </w:tcPr>
          <w:p>
            <w:pPr>
              <w:jc w:val="right"/>
              <w:spacing w:before="10" w:after="10"/>
            </w:pPr>
            <w:r/>
            <w:r>
              <w:rPr>
                <w:sz w:val="16"/>
              </w:rPr>
              <w:t>Cloudscene</w:t>
            </w:r>
          </w:p>
        </w:tc>
      </w:tr>
      <w:tr>
        <w:tc>
          <w:tcPr>
            <w:tcW w:w="500" w:type="dxa"/>
          </w:tcPr>
          <w:p>
            <w:pPr>
              <w:spacing w:before="10" w:after="10"/>
            </w:pPr>
            <w:r/>
            <w:r>
              <w:rPr>
                <w:sz w:val="16"/>
              </w:rPr>
              <w:t>13</w:t>
            </w:r>
          </w:p>
        </w:tc>
        <w:tc>
          <w:tcPr>
            <w:tcW w:w="2200" w:type="dxa"/>
          </w:tcPr>
          <w:p>
            <w:pPr>
              <w:spacing w:before="10" w:after="10"/>
            </w:pPr>
            <w:r/>
            <w:r>
              <w:rPr>
                <w:sz w:val="16"/>
              </w:rPr>
              <w:t>Italy</w:t>
            </w:r>
          </w:p>
        </w:tc>
        <w:tc>
          <w:tcPr>
            <w:tcW w:w="1000" w:type="dxa"/>
          </w:tcPr>
          <w:p>
            <w:pPr>
              <w:jc w:val="right"/>
              <w:spacing w:before="10" w:after="10"/>
            </w:pPr>
            <w:r/>
            <w:r>
              <w:rPr>
                <w:sz w:val="16"/>
              </w:rPr>
              <w:t>168</w:t>
            </w:r>
          </w:p>
        </w:tc>
        <w:tc>
          <w:tcPr>
            <w:tcW w:w="1000" w:type="dxa"/>
          </w:tcPr>
          <w:p>
            <w:pPr>
              <w:jc w:val="right"/>
              <w:spacing w:before="10" w:after="10"/>
            </w:pPr>
            <w:r/>
            <w:r>
              <w:rPr>
                <w:sz w:val="16"/>
              </w:rPr>
              <w:t>1.5</w:t>
            </w:r>
          </w:p>
        </w:tc>
        <w:tc>
          <w:tcPr>
            <w:tcW w:w="1900" w:type="dxa"/>
          </w:tcPr>
          <w:p>
            <w:pPr>
              <w:jc w:val="right"/>
              <w:spacing w:before="10" w:after="10"/>
            </w:pPr>
            <w:r/>
            <w:r>
              <w:rPr>
                <w:sz w:val="16"/>
              </w:rPr>
              <w:t>Cloudscene</w:t>
            </w:r>
          </w:p>
        </w:tc>
      </w:tr>
      <w:tr>
        <w:tc>
          <w:tcPr>
            <w:tcW w:w="500" w:type="dxa"/>
          </w:tcPr>
          <w:p>
            <w:pPr>
              <w:spacing w:before="10" w:after="10"/>
            </w:pPr>
            <w:r/>
            <w:r>
              <w:rPr>
                <w:sz w:val="16"/>
              </w:rPr>
              <w:t>14</w:t>
            </w:r>
          </w:p>
        </w:tc>
        <w:tc>
          <w:tcPr>
            <w:tcW w:w="2200" w:type="dxa"/>
          </w:tcPr>
          <w:p>
            <w:pPr>
              <w:spacing w:before="10" w:after="10"/>
            </w:pPr>
            <w:r/>
            <w:r>
              <w:rPr>
                <w:sz w:val="16"/>
              </w:rPr>
              <w:t>India</w:t>
            </w:r>
          </w:p>
        </w:tc>
        <w:tc>
          <w:tcPr>
            <w:tcW w:w="1000" w:type="dxa"/>
          </w:tcPr>
          <w:p>
            <w:pPr>
              <w:jc w:val="right"/>
              <w:spacing w:before="10" w:after="10"/>
            </w:pPr>
            <w:r/>
            <w:r>
              <w:rPr>
                <w:sz w:val="16"/>
              </w:rPr>
              <w:t>153</w:t>
            </w:r>
          </w:p>
        </w:tc>
        <w:tc>
          <w:tcPr>
            <w:tcW w:w="1000" w:type="dxa"/>
          </w:tcPr>
          <w:p>
            <w:pPr>
              <w:jc w:val="right"/>
              <w:spacing w:before="10" w:after="10"/>
            </w:pPr>
            <w:r/>
            <w:r>
              <w:rPr>
                <w:sz w:val="16"/>
              </w:rPr>
              <w:t>1.3</w:t>
            </w:r>
          </w:p>
        </w:tc>
        <w:tc>
          <w:tcPr>
            <w:tcW w:w="1900" w:type="dxa"/>
          </w:tcPr>
          <w:p>
            <w:pPr>
              <w:jc w:val="right"/>
              <w:spacing w:before="10" w:after="10"/>
            </w:pPr>
            <w:r/>
            <w:r>
              <w:rPr>
                <w:sz w:val="16"/>
              </w:rPr>
              <w:t>Cloudscene</w:t>
            </w:r>
          </w:p>
        </w:tc>
      </w:tr>
      <w:tr>
        <w:tc>
          <w:tcPr>
            <w:tcW w:w="500" w:type="dxa"/>
          </w:tcPr>
          <w:p>
            <w:pPr>
              <w:spacing w:before="10" w:after="10"/>
            </w:pPr>
            <w:r/>
            <w:r>
              <w:rPr>
                <w:sz w:val="16"/>
              </w:rPr>
              <w:t>15</w:t>
            </w:r>
          </w:p>
        </w:tc>
        <w:tc>
          <w:tcPr>
            <w:tcW w:w="2200" w:type="dxa"/>
          </w:tcPr>
          <w:p>
            <w:pPr>
              <w:spacing w:before="10" w:after="10"/>
            </w:pPr>
            <w:r/>
            <w:r>
              <w:rPr>
                <w:sz w:val="16"/>
              </w:rPr>
              <w:t>Poland</w:t>
            </w:r>
          </w:p>
        </w:tc>
        <w:tc>
          <w:tcPr>
            <w:tcW w:w="1000" w:type="dxa"/>
          </w:tcPr>
          <w:p>
            <w:pPr>
              <w:jc w:val="right"/>
              <w:spacing w:before="10" w:after="10"/>
            </w:pPr>
            <w:r/>
            <w:r>
              <w:rPr>
                <w:sz w:val="16"/>
              </w:rPr>
              <w:t>144</w:t>
            </w:r>
          </w:p>
        </w:tc>
        <w:tc>
          <w:tcPr>
            <w:tcW w:w="1000" w:type="dxa"/>
          </w:tcPr>
          <w:p>
            <w:pPr>
              <w:jc w:val="right"/>
              <w:spacing w:before="10" w:after="10"/>
            </w:pPr>
            <w:r/>
            <w:r>
              <w:rPr>
                <w:sz w:val="16"/>
              </w:rPr>
              <w:t>1.2</w:t>
            </w:r>
          </w:p>
        </w:tc>
        <w:tc>
          <w:tcPr>
            <w:tcW w:w="1900" w:type="dxa"/>
          </w:tcPr>
          <w:p>
            <w:pPr>
              <w:jc w:val="right"/>
              <w:spacing w:before="10" w:after="10"/>
            </w:pPr>
            <w:r/>
            <w:r>
              <w:rPr>
                <w:sz w:val="16"/>
              </w:rPr>
              <w:t>Cloudscene</w:t>
            </w:r>
          </w:p>
        </w:tc>
      </w:tr>
      <w:tr>
        <w:tc>
          <w:tcPr>
            <w:tcW w:w="500" w:type="dxa"/>
          </w:tcPr>
          <w:p>
            <w:pPr>
              <w:spacing w:before="10" w:after="10"/>
            </w:pPr>
            <w:r/>
            <w:r>
              <w:rPr>
                <w:sz w:val="16"/>
              </w:rPr>
              <w:t>16</w:t>
            </w:r>
          </w:p>
        </w:tc>
        <w:tc>
          <w:tcPr>
            <w:tcW w:w="2200" w:type="dxa"/>
          </w:tcPr>
          <w:p>
            <w:pPr>
              <w:spacing w:before="10" w:after="10"/>
            </w:pPr>
            <w:r/>
            <w:r>
              <w:rPr>
                <w:sz w:val="16"/>
              </w:rPr>
              <w:t>Spain</w:t>
            </w:r>
          </w:p>
        </w:tc>
        <w:tc>
          <w:tcPr>
            <w:tcW w:w="1000" w:type="dxa"/>
          </w:tcPr>
          <w:p>
            <w:pPr>
              <w:jc w:val="right"/>
              <w:spacing w:before="10" w:after="10"/>
            </w:pPr>
            <w:r/>
            <w:r>
              <w:rPr>
                <w:sz w:val="16"/>
              </w:rPr>
              <w:t>144</w:t>
            </w:r>
          </w:p>
        </w:tc>
        <w:tc>
          <w:tcPr>
            <w:tcW w:w="1000" w:type="dxa"/>
          </w:tcPr>
          <w:p>
            <w:pPr>
              <w:jc w:val="right"/>
              <w:spacing w:before="10" w:after="10"/>
            </w:pPr>
            <w:r/>
            <w:r>
              <w:rPr>
                <w:sz w:val="16"/>
              </w:rPr>
              <w:t>1.2</w:t>
            </w:r>
          </w:p>
        </w:tc>
        <w:tc>
          <w:tcPr>
            <w:tcW w:w="1900" w:type="dxa"/>
          </w:tcPr>
          <w:p>
            <w:pPr>
              <w:jc w:val="right"/>
              <w:spacing w:before="10" w:after="10"/>
            </w:pPr>
            <w:r/>
            <w:r>
              <w:rPr>
                <w:sz w:val="16"/>
              </w:rPr>
              <w:t>Cloudscene</w:t>
            </w:r>
          </w:p>
        </w:tc>
      </w:tr>
      <w:tr>
        <w:tc>
          <w:tcPr>
            <w:tcW w:w="500" w:type="dxa"/>
          </w:tcPr>
          <w:p>
            <w:pPr>
              <w:spacing w:before="10" w:after="10"/>
            </w:pPr>
            <w:r/>
            <w:r>
              <w:rPr>
                <w:sz w:val="16"/>
              </w:rPr>
              <w:t>17</w:t>
            </w:r>
          </w:p>
        </w:tc>
        <w:tc>
          <w:tcPr>
            <w:tcW w:w="2200" w:type="dxa"/>
          </w:tcPr>
          <w:p>
            <w:pPr>
              <w:spacing w:before="10" w:after="10"/>
            </w:pPr>
            <w:r/>
            <w:r>
              <w:rPr>
                <w:sz w:val="16"/>
              </w:rPr>
              <w:t>Switzerland</w:t>
            </w:r>
          </w:p>
        </w:tc>
        <w:tc>
          <w:tcPr>
            <w:tcW w:w="1000" w:type="dxa"/>
          </w:tcPr>
          <w:p>
            <w:pPr>
              <w:jc w:val="right"/>
              <w:spacing w:before="10" w:after="10"/>
            </w:pPr>
            <w:r/>
            <w:r>
              <w:rPr>
                <w:sz w:val="16"/>
              </w:rPr>
              <w:t>121</w:t>
            </w:r>
          </w:p>
        </w:tc>
        <w:tc>
          <w:tcPr>
            <w:tcW w:w="1000" w:type="dxa"/>
          </w:tcPr>
          <w:p>
            <w:pPr>
              <w:jc w:val="right"/>
              <w:spacing w:before="10" w:after="10"/>
            </w:pPr>
            <w:r/>
            <w:r>
              <w:rPr>
                <w:sz w:val="16"/>
              </w:rPr>
              <w:t>1.0</w:t>
            </w:r>
          </w:p>
        </w:tc>
        <w:tc>
          <w:tcPr>
            <w:tcW w:w="1900" w:type="dxa"/>
          </w:tcPr>
          <w:p>
            <w:pPr>
              <w:jc w:val="right"/>
              <w:spacing w:before="10" w:after="10"/>
            </w:pPr>
            <w:r/>
            <w:r>
              <w:rPr>
                <w:sz w:val="16"/>
              </w:rPr>
              <w:t>Cloudscene</w:t>
            </w:r>
          </w:p>
        </w:tc>
      </w:tr>
      <w:tr>
        <w:tc>
          <w:tcPr>
            <w:tcW w:w="500" w:type="dxa"/>
          </w:tcPr>
          <w:p>
            <w:pPr>
              <w:spacing w:before="10" w:after="10"/>
            </w:pPr>
            <w:r/>
            <w:r>
              <w:rPr>
                <w:sz w:val="16"/>
              </w:rPr>
              <w:t>18</w:t>
            </w:r>
          </w:p>
        </w:tc>
        <w:tc>
          <w:tcPr>
            <w:tcW w:w="2200" w:type="dxa"/>
          </w:tcPr>
          <w:p>
            <w:pPr>
              <w:spacing w:before="10" w:after="10"/>
            </w:pPr>
            <w:r/>
            <w:r>
              <w:rPr>
                <w:sz w:val="16"/>
              </w:rPr>
              <w:t>Singapore</w:t>
            </w:r>
          </w:p>
        </w:tc>
        <w:tc>
          <w:tcPr>
            <w:tcW w:w="1000" w:type="dxa"/>
          </w:tcPr>
          <w:p>
            <w:pPr>
              <w:jc w:val="right"/>
              <w:spacing w:before="10" w:after="10"/>
            </w:pPr>
            <w:r/>
            <w:r>
              <w:rPr>
                <w:sz w:val="16"/>
              </w:rPr>
              <w:t>99</w:t>
            </w:r>
          </w:p>
        </w:tc>
        <w:tc>
          <w:tcPr>
            <w:tcW w:w="1000" w:type="dxa"/>
          </w:tcPr>
          <w:p>
            <w:pPr>
              <w:jc w:val="right"/>
              <w:spacing w:before="10" w:after="10"/>
            </w:pPr>
            <w:r/>
            <w:r>
              <w:rPr>
                <w:sz w:val="16"/>
              </w:rPr>
              <w:t>0.9</w:t>
            </w:r>
          </w:p>
        </w:tc>
        <w:tc>
          <w:tcPr>
            <w:tcW w:w="1900" w:type="dxa"/>
          </w:tcPr>
          <w:p>
            <w:pPr>
              <w:jc w:val="right"/>
              <w:spacing w:before="10" w:after="10"/>
            </w:pPr>
            <w:r/>
            <w:r>
              <w:rPr>
                <w:sz w:val="16"/>
              </w:rPr>
              <w:t>Cloudscene</w:t>
            </w:r>
          </w:p>
        </w:tc>
      </w:tr>
      <w:tr>
        <w:tc>
          <w:tcPr>
            <w:tcW w:w="500" w:type="dxa"/>
          </w:tcPr>
          <w:p>
            <w:pPr>
              <w:spacing w:before="10" w:after="10"/>
            </w:pPr>
            <w:r/>
            <w:r>
              <w:rPr>
                <w:sz w:val="16"/>
              </w:rPr>
              <w:t>19</w:t>
            </w:r>
          </w:p>
        </w:tc>
        <w:tc>
          <w:tcPr>
            <w:tcW w:w="2200" w:type="dxa"/>
          </w:tcPr>
          <w:p>
            <w:pPr>
              <w:spacing w:before="10" w:after="10"/>
            </w:pPr>
            <w:r/>
            <w:r>
              <w:rPr>
                <w:sz w:val="16"/>
              </w:rPr>
              <w:t>Sweden</w:t>
            </w:r>
          </w:p>
        </w:tc>
        <w:tc>
          <w:tcPr>
            <w:tcW w:w="1000" w:type="dxa"/>
          </w:tcPr>
          <w:p>
            <w:pPr>
              <w:jc w:val="right"/>
              <w:spacing w:before="10" w:after="10"/>
            </w:pPr>
            <w:r/>
            <w:r>
              <w:rPr>
                <w:sz w:val="16"/>
              </w:rPr>
              <w:t>95</w:t>
            </w:r>
          </w:p>
        </w:tc>
        <w:tc>
          <w:tcPr>
            <w:tcW w:w="1000" w:type="dxa"/>
          </w:tcPr>
          <w:p>
            <w:pPr>
              <w:jc w:val="right"/>
              <w:spacing w:before="10" w:after="10"/>
            </w:pPr>
            <w:r/>
            <w:r>
              <w:rPr>
                <w:sz w:val="16"/>
              </w:rPr>
              <w:t>0.8</w:t>
            </w:r>
          </w:p>
        </w:tc>
        <w:tc>
          <w:tcPr>
            <w:tcW w:w="1900" w:type="dxa"/>
          </w:tcPr>
          <w:p>
            <w:pPr>
              <w:jc w:val="right"/>
              <w:spacing w:before="10" w:after="10"/>
            </w:pPr>
            <w:r/>
            <w:r>
              <w:rPr>
                <w:sz w:val="16"/>
              </w:rPr>
              <w:t>Cloudscene</w:t>
            </w:r>
          </w:p>
        </w:tc>
      </w:tr>
      <w:tr>
        <w:tc>
          <w:tcPr>
            <w:tcW w:w="500" w:type="dxa"/>
          </w:tcPr>
          <w:p>
            <w:pPr>
              <w:spacing w:before="10" w:after="10"/>
            </w:pPr>
            <w:r/>
            <w:r>
              <w:rPr>
                <w:sz w:val="16"/>
              </w:rPr>
              <w:t>20</w:t>
            </w:r>
          </w:p>
        </w:tc>
        <w:tc>
          <w:tcPr>
            <w:tcW w:w="2200" w:type="dxa"/>
          </w:tcPr>
          <w:p>
            <w:pPr>
              <w:spacing w:before="10" w:after="10"/>
            </w:pPr>
            <w:r/>
            <w:r>
              <w:rPr>
                <w:sz w:val="16"/>
              </w:rPr>
              <w:t>Indonesia</w:t>
            </w:r>
          </w:p>
        </w:tc>
        <w:tc>
          <w:tcPr>
            <w:tcW w:w="1000" w:type="dxa"/>
          </w:tcPr>
          <w:p>
            <w:pPr>
              <w:jc w:val="right"/>
              <w:spacing w:before="10" w:after="10"/>
            </w:pPr>
            <w:r/>
            <w:r>
              <w:rPr>
                <w:sz w:val="16"/>
              </w:rPr>
              <w:t>88</w:t>
            </w:r>
          </w:p>
        </w:tc>
        <w:tc>
          <w:tcPr>
            <w:tcW w:w="1000" w:type="dxa"/>
          </w:tcPr>
          <w:p>
            <w:pPr>
              <w:jc w:val="right"/>
              <w:spacing w:before="10" w:after="10"/>
            </w:pPr>
            <w:r/>
            <w:r>
              <w:rPr>
                <w:sz w:val="16"/>
              </w:rPr>
              <w:t>0.8</w:t>
            </w:r>
          </w:p>
        </w:tc>
        <w:tc>
          <w:tcPr>
            <w:tcW w:w="1900" w:type="dxa"/>
          </w:tcPr>
          <w:p>
            <w:pPr>
              <w:jc w:val="right"/>
              <w:spacing w:before="10" w:after="10"/>
            </w:pPr>
            <w:r/>
            <w:r>
              <w:rPr>
                <w:sz w:val="16"/>
              </w:rPr>
              <w:t>Cloudscene</w:t>
            </w:r>
          </w:p>
        </w:tc>
      </w:tr>
      <w:tr>
        <w:tc>
          <w:tcPr>
            <w:tcW w:w="500" w:type="dxa"/>
          </w:tcPr>
          <w:p>
            <w:pPr>
              <w:spacing w:before="10" w:after="10"/>
            </w:pPr>
            <w:r/>
            <w:r>
              <w:rPr>
                <w:sz w:val="16"/>
              </w:rPr>
              <w:t>21</w:t>
            </w:r>
          </w:p>
        </w:tc>
        <w:tc>
          <w:tcPr>
            <w:tcW w:w="2200" w:type="dxa"/>
          </w:tcPr>
          <w:p>
            <w:pPr>
              <w:spacing w:before="10" w:after="10"/>
            </w:pPr>
            <w:r/>
            <w:r>
              <w:rPr>
                <w:sz w:val="16"/>
              </w:rPr>
              <w:t>New Zealand</w:t>
            </w:r>
          </w:p>
        </w:tc>
        <w:tc>
          <w:tcPr>
            <w:tcW w:w="1000" w:type="dxa"/>
          </w:tcPr>
          <w:p>
            <w:pPr>
              <w:jc w:val="right"/>
              <w:spacing w:before="10" w:after="10"/>
            </w:pPr>
            <w:r/>
            <w:r>
              <w:rPr>
                <w:sz w:val="16"/>
              </w:rPr>
              <w:t>83</w:t>
            </w:r>
          </w:p>
        </w:tc>
        <w:tc>
          <w:tcPr>
            <w:tcW w:w="1000" w:type="dxa"/>
          </w:tcPr>
          <w:p>
            <w:pPr>
              <w:jc w:val="right"/>
              <w:spacing w:before="10" w:after="10"/>
            </w:pPr>
            <w:r/>
            <w:r>
              <w:rPr>
                <w:sz w:val="16"/>
              </w:rPr>
              <w:t>0.7</w:t>
            </w:r>
          </w:p>
        </w:tc>
        <w:tc>
          <w:tcPr>
            <w:tcW w:w="1900" w:type="dxa"/>
          </w:tcPr>
          <w:p>
            <w:pPr>
              <w:jc w:val="right"/>
              <w:spacing w:before="10" w:after="10"/>
            </w:pPr>
            <w:r/>
            <w:r>
              <w:rPr>
                <w:sz w:val="16"/>
              </w:rPr>
              <w:t>Cloudscene</w:t>
            </w:r>
          </w:p>
        </w:tc>
      </w:tr>
      <w:tr>
        <w:tc>
          <w:tcPr>
            <w:tcW w:w="500" w:type="dxa"/>
          </w:tcPr>
          <w:p>
            <w:pPr>
              <w:spacing w:before="10" w:after="10"/>
            </w:pPr>
            <w:r/>
            <w:r>
              <w:rPr>
                <w:sz w:val="16"/>
              </w:rPr>
              <w:t>22</w:t>
            </w:r>
          </w:p>
        </w:tc>
        <w:tc>
          <w:tcPr>
            <w:tcW w:w="2200" w:type="dxa"/>
          </w:tcPr>
          <w:p>
            <w:pPr>
              <w:spacing w:before="10" w:after="10"/>
            </w:pPr>
            <w:r/>
            <w:r>
              <w:rPr>
                <w:sz w:val="16"/>
              </w:rPr>
              <w:t>Belgium</w:t>
            </w:r>
          </w:p>
        </w:tc>
        <w:tc>
          <w:tcPr>
            <w:tcW w:w="1000" w:type="dxa"/>
          </w:tcPr>
          <w:p>
            <w:pPr>
              <w:jc w:val="right"/>
              <w:spacing w:before="10" w:after="10"/>
            </w:pPr>
            <w:r/>
            <w:r>
              <w:rPr>
                <w:sz w:val="16"/>
              </w:rPr>
              <w:t>81</w:t>
            </w:r>
          </w:p>
        </w:tc>
        <w:tc>
          <w:tcPr>
            <w:tcW w:w="1000" w:type="dxa"/>
          </w:tcPr>
          <w:p>
            <w:pPr>
              <w:jc w:val="right"/>
              <w:spacing w:before="10" w:after="10"/>
            </w:pPr>
            <w:r/>
            <w:r>
              <w:rPr>
                <w:sz w:val="16"/>
              </w:rPr>
              <w:t>0.7</w:t>
            </w:r>
          </w:p>
        </w:tc>
        <w:tc>
          <w:tcPr>
            <w:tcW w:w="1900" w:type="dxa"/>
          </w:tcPr>
          <w:p>
            <w:pPr>
              <w:jc w:val="right"/>
              <w:spacing w:before="10" w:after="10"/>
            </w:pPr>
            <w:r/>
            <w:r>
              <w:rPr>
                <w:sz w:val="16"/>
              </w:rPr>
              <w:t>Cloudscene</w:t>
            </w:r>
          </w:p>
        </w:tc>
      </w:tr>
      <w:tr>
        <w:tc>
          <w:tcPr>
            <w:tcW w:w="500" w:type="dxa"/>
          </w:tcPr>
          <w:p>
            <w:pPr>
              <w:spacing w:before="10" w:after="10"/>
            </w:pPr>
            <w:r/>
            <w:r>
              <w:rPr>
                <w:sz w:val="16"/>
              </w:rPr>
              <w:t>23</w:t>
            </w:r>
          </w:p>
        </w:tc>
        <w:tc>
          <w:tcPr>
            <w:tcW w:w="2200" w:type="dxa"/>
          </w:tcPr>
          <w:p>
            <w:pPr>
              <w:spacing w:before="10" w:after="10"/>
            </w:pPr>
            <w:r/>
            <w:r>
              <w:rPr>
                <w:sz w:val="16"/>
              </w:rPr>
              <w:t>Austria</w:t>
            </w:r>
          </w:p>
        </w:tc>
        <w:tc>
          <w:tcPr>
            <w:tcW w:w="1000" w:type="dxa"/>
          </w:tcPr>
          <w:p>
            <w:pPr>
              <w:jc w:val="right"/>
              <w:spacing w:before="10" w:after="10"/>
            </w:pPr>
            <w:r/>
            <w:r>
              <w:rPr>
                <w:sz w:val="16"/>
              </w:rPr>
              <w:t>68</w:t>
            </w:r>
          </w:p>
        </w:tc>
        <w:tc>
          <w:tcPr>
            <w:tcW w:w="1000" w:type="dxa"/>
          </w:tcPr>
          <w:p>
            <w:pPr>
              <w:jc w:val="right"/>
              <w:spacing w:before="10" w:after="10"/>
            </w:pPr>
            <w:r/>
            <w:r>
              <w:rPr>
                <w:sz w:val="16"/>
              </w:rPr>
              <w:t>0.6</w:t>
            </w:r>
          </w:p>
        </w:tc>
        <w:tc>
          <w:tcPr>
            <w:tcW w:w="1900" w:type="dxa"/>
          </w:tcPr>
          <w:p>
            <w:pPr>
              <w:jc w:val="right"/>
              <w:spacing w:before="10" w:after="10"/>
            </w:pPr>
            <w:r/>
            <w:r>
              <w:rPr>
                <w:sz w:val="16"/>
              </w:rPr>
              <w:t>Cloudscene</w:t>
            </w:r>
          </w:p>
        </w:tc>
      </w:tr>
      <w:tr>
        <w:tc>
          <w:tcPr>
            <w:tcW w:w="500" w:type="dxa"/>
          </w:tcPr>
          <w:p>
            <w:pPr>
              <w:spacing w:before="10" w:after="10"/>
            </w:pPr>
            <w:r/>
            <w:r>
              <w:rPr>
                <w:sz w:val="16"/>
              </w:rPr>
              <w:t>24</w:t>
            </w:r>
          </w:p>
        </w:tc>
        <w:tc>
          <w:tcPr>
            <w:tcW w:w="2200" w:type="dxa"/>
          </w:tcPr>
          <w:p>
            <w:pPr>
              <w:spacing w:before="10" w:after="10"/>
            </w:pPr>
            <w:r/>
            <w:r>
              <w:rPr>
                <w:sz w:val="16"/>
              </w:rPr>
              <w:t>Malaysia</w:t>
            </w:r>
          </w:p>
        </w:tc>
        <w:tc>
          <w:tcPr>
            <w:tcW w:w="1000" w:type="dxa"/>
          </w:tcPr>
          <w:p>
            <w:pPr>
              <w:jc w:val="right"/>
              <w:spacing w:before="10" w:after="10"/>
            </w:pPr>
            <w:r/>
            <w:r>
              <w:rPr>
                <w:sz w:val="16"/>
              </w:rPr>
              <w:t>62</w:t>
            </w:r>
          </w:p>
        </w:tc>
        <w:tc>
          <w:tcPr>
            <w:tcW w:w="1000" w:type="dxa"/>
          </w:tcPr>
          <w:p>
            <w:pPr>
              <w:jc w:val="right"/>
              <w:spacing w:before="10" w:after="10"/>
            </w:pPr>
            <w:r/>
            <w:r>
              <w:rPr>
                <w:sz w:val="16"/>
              </w:rPr>
              <w:t>0.5</w:t>
            </w:r>
          </w:p>
        </w:tc>
        <w:tc>
          <w:tcPr>
            <w:tcW w:w="1900" w:type="dxa"/>
          </w:tcPr>
          <w:p>
            <w:pPr>
              <w:jc w:val="right"/>
              <w:spacing w:before="10" w:after="10"/>
            </w:pPr>
            <w:r/>
            <w:r>
              <w:rPr>
                <w:sz w:val="16"/>
              </w:rPr>
              <w:t>Cloudscene</w:t>
            </w:r>
          </w:p>
        </w:tc>
      </w:tr>
      <w:tr>
        <w:tc>
          <w:tcPr>
            <w:tcW w:w="500" w:type="dxa"/>
          </w:tcPr>
          <w:p>
            <w:pPr>
              <w:spacing w:before="10" w:after="10"/>
            </w:pPr>
            <w:r/>
            <w:r>
              <w:rPr>
                <w:sz w:val="16"/>
              </w:rPr>
              <w:t>25</w:t>
            </w:r>
          </w:p>
        </w:tc>
        <w:tc>
          <w:tcPr>
            <w:tcW w:w="2200" w:type="dxa"/>
          </w:tcPr>
          <w:p>
            <w:pPr>
              <w:spacing w:before="10" w:after="10"/>
            </w:pPr>
            <w:r/>
            <w:r>
              <w:rPr>
                <w:sz w:val="16"/>
              </w:rPr>
              <w:t>Chile</w:t>
            </w:r>
          </w:p>
        </w:tc>
        <w:tc>
          <w:tcPr>
            <w:tcW w:w="1000" w:type="dxa"/>
          </w:tcPr>
          <w:p>
            <w:pPr>
              <w:jc w:val="right"/>
              <w:spacing w:before="10" w:after="10"/>
            </w:pPr>
            <w:r/>
            <w:r>
              <w:rPr>
                <w:sz w:val="16"/>
              </w:rPr>
              <w:t>59</w:t>
            </w:r>
          </w:p>
        </w:tc>
        <w:tc>
          <w:tcPr>
            <w:tcW w:w="1000" w:type="dxa"/>
          </w:tcPr>
          <w:p>
            <w:pPr>
              <w:jc w:val="right"/>
              <w:spacing w:before="10" w:after="10"/>
            </w:pPr>
            <w:r/>
            <w:r>
              <w:rPr>
                <w:sz w:val="16"/>
              </w:rPr>
              <w:t>0.5</w:t>
            </w:r>
          </w:p>
        </w:tc>
        <w:tc>
          <w:tcPr>
            <w:tcW w:w="1900" w:type="dxa"/>
          </w:tcPr>
          <w:p>
            <w:pPr>
              <w:jc w:val="right"/>
              <w:spacing w:before="10" w:after="10"/>
            </w:pPr>
            <w:r/>
            <w:r>
              <w:rPr>
                <w:sz w:val="16"/>
              </w:rPr>
              <w:t>Cloudscene</w:t>
            </w:r>
          </w:p>
        </w:tc>
      </w:tr>
      <w:tr>
        <w:tc>
          <w:tcPr>
            <w:tcW w:w="500" w:type="dxa"/>
          </w:tcPr>
          <w:p>
            <w:pPr>
              <w:spacing w:before="10" w:after="10"/>
            </w:pPr>
            <w:r/>
            <w:r>
              <w:rPr>
                <w:sz w:val="16"/>
              </w:rPr>
              <w:t>26</w:t>
            </w:r>
          </w:p>
        </w:tc>
        <w:tc>
          <w:tcPr>
            <w:tcW w:w="2200" w:type="dxa"/>
          </w:tcPr>
          <w:p>
            <w:pPr>
              <w:spacing w:before="10" w:after="10"/>
            </w:pPr>
            <w:r/>
            <w:r>
              <w:rPr>
                <w:sz w:val="16"/>
              </w:rPr>
              <w:t>Ukraine</w:t>
            </w:r>
          </w:p>
        </w:tc>
        <w:tc>
          <w:tcPr>
            <w:tcW w:w="1000" w:type="dxa"/>
          </w:tcPr>
          <w:p>
            <w:pPr>
              <w:jc w:val="right"/>
              <w:spacing w:before="10" w:after="10"/>
            </w:pPr>
            <w:r/>
            <w:r>
              <w:rPr>
                <w:sz w:val="16"/>
              </w:rPr>
              <w:t>58</w:t>
            </w:r>
          </w:p>
        </w:tc>
        <w:tc>
          <w:tcPr>
            <w:tcW w:w="1000" w:type="dxa"/>
          </w:tcPr>
          <w:p>
            <w:pPr>
              <w:jc w:val="right"/>
              <w:spacing w:before="10" w:after="10"/>
            </w:pPr>
            <w:r/>
            <w:r>
              <w:rPr>
                <w:sz w:val="16"/>
              </w:rPr>
              <w:t>0.5</w:t>
            </w:r>
          </w:p>
        </w:tc>
        <w:tc>
          <w:tcPr>
            <w:tcW w:w="1900" w:type="dxa"/>
          </w:tcPr>
          <w:p>
            <w:pPr>
              <w:jc w:val="right"/>
              <w:spacing w:before="10" w:after="10"/>
            </w:pPr>
            <w:r/>
            <w:r>
              <w:rPr>
                <w:sz w:val="16"/>
              </w:rPr>
              <w:t>Cloudscene</w:t>
            </w:r>
          </w:p>
        </w:tc>
      </w:tr>
      <w:tr>
        <w:tc>
          <w:tcPr>
            <w:tcW w:w="500" w:type="dxa"/>
          </w:tcPr>
          <w:p>
            <w:pPr>
              <w:spacing w:before="10" w:after="10"/>
            </w:pPr>
            <w:r/>
            <w:r>
              <w:rPr>
                <w:sz w:val="16"/>
              </w:rPr>
              <w:t>27</w:t>
            </w:r>
          </w:p>
        </w:tc>
        <w:tc>
          <w:tcPr>
            <w:tcW w:w="2200" w:type="dxa"/>
          </w:tcPr>
          <w:p>
            <w:pPr>
              <w:spacing w:before="10" w:after="10"/>
            </w:pPr>
            <w:r/>
            <w:r>
              <w:rPr>
                <w:sz w:val="16"/>
              </w:rPr>
              <w:t>South Africa</w:t>
            </w:r>
          </w:p>
        </w:tc>
        <w:tc>
          <w:tcPr>
            <w:tcW w:w="1000" w:type="dxa"/>
          </w:tcPr>
          <w:p>
            <w:pPr>
              <w:jc w:val="right"/>
              <w:spacing w:before="10" w:after="10"/>
            </w:pPr>
            <w:r/>
            <w:r>
              <w:rPr>
                <w:sz w:val="16"/>
              </w:rPr>
              <w:t>56</w:t>
            </w:r>
          </w:p>
        </w:tc>
        <w:tc>
          <w:tcPr>
            <w:tcW w:w="1000" w:type="dxa"/>
          </w:tcPr>
          <w:p>
            <w:pPr>
              <w:jc w:val="right"/>
              <w:spacing w:before="10" w:after="10"/>
            </w:pPr>
            <w:r/>
            <w:r>
              <w:rPr>
                <w:sz w:val="16"/>
              </w:rPr>
              <w:t>0.5</w:t>
            </w:r>
          </w:p>
        </w:tc>
        <w:tc>
          <w:tcPr>
            <w:tcW w:w="1900" w:type="dxa"/>
          </w:tcPr>
          <w:p>
            <w:pPr>
              <w:jc w:val="right"/>
              <w:spacing w:before="10" w:after="10"/>
            </w:pPr>
            <w:r/>
            <w:r>
              <w:rPr>
                <w:sz w:val="16"/>
              </w:rPr>
              <w:t>Arizton</w:t>
            </w:r>
          </w:p>
        </w:tc>
      </w:tr>
      <w:tr>
        <w:tc>
          <w:tcPr>
            <w:tcW w:w="500" w:type="dxa"/>
          </w:tcPr>
          <w:p>
            <w:pPr>
              <w:spacing w:before="10" w:after="10"/>
            </w:pPr>
            <w:r/>
            <w:r>
              <w:rPr>
                <w:sz w:val="16"/>
              </w:rPr>
              <w:t>28</w:t>
            </w:r>
          </w:p>
        </w:tc>
        <w:tc>
          <w:tcPr>
            <w:tcW w:w="2200" w:type="dxa"/>
          </w:tcPr>
          <w:p>
            <w:pPr>
              <w:spacing w:before="10" w:after="10"/>
            </w:pPr>
            <w:r/>
            <w:r>
              <w:rPr>
                <w:sz w:val="16"/>
              </w:rPr>
              <w:t>Ireland</w:t>
            </w:r>
          </w:p>
        </w:tc>
        <w:tc>
          <w:tcPr>
            <w:tcW w:w="1000" w:type="dxa"/>
          </w:tcPr>
          <w:p>
            <w:pPr>
              <w:jc w:val="right"/>
              <w:spacing w:before="10" w:after="10"/>
            </w:pPr>
            <w:r/>
            <w:r>
              <w:rPr>
                <w:sz w:val="16"/>
              </w:rPr>
              <w:t>55</w:t>
            </w:r>
          </w:p>
        </w:tc>
        <w:tc>
          <w:tcPr>
            <w:tcW w:w="1000" w:type="dxa"/>
          </w:tcPr>
          <w:p>
            <w:pPr>
              <w:jc w:val="right"/>
              <w:spacing w:before="10" w:after="10"/>
            </w:pPr>
            <w:r/>
            <w:r>
              <w:rPr>
                <w:sz w:val="16"/>
              </w:rPr>
              <w:t>0.5</w:t>
            </w:r>
          </w:p>
        </w:tc>
        <w:tc>
          <w:tcPr>
            <w:tcW w:w="1900" w:type="dxa"/>
          </w:tcPr>
          <w:p>
            <w:pPr>
              <w:jc w:val="right"/>
              <w:spacing w:before="10" w:after="10"/>
            </w:pPr>
            <w:r/>
            <w:r>
              <w:rPr>
                <w:sz w:val="16"/>
              </w:rPr>
              <w:t>Cloudscene</w:t>
            </w:r>
          </w:p>
        </w:tc>
      </w:tr>
      <w:tr>
        <w:tc>
          <w:tcPr>
            <w:tcW w:w="500" w:type="dxa"/>
          </w:tcPr>
          <w:p>
            <w:pPr>
              <w:spacing w:before="10" w:after="10"/>
            </w:pPr>
            <w:r/>
            <w:r>
              <w:rPr>
                <w:sz w:val="16"/>
              </w:rPr>
              <w:t>29</w:t>
            </w:r>
          </w:p>
        </w:tc>
        <w:tc>
          <w:tcPr>
            <w:tcW w:w="2200" w:type="dxa"/>
          </w:tcPr>
          <w:p>
            <w:pPr>
              <w:spacing w:before="10" w:after="10"/>
            </w:pPr>
            <w:r/>
            <w:r>
              <w:rPr>
                <w:sz w:val="16"/>
              </w:rPr>
              <w:t>Denmark</w:t>
            </w:r>
          </w:p>
        </w:tc>
        <w:tc>
          <w:tcPr>
            <w:tcW w:w="1000" w:type="dxa"/>
          </w:tcPr>
          <w:p>
            <w:pPr>
              <w:jc w:val="right"/>
              <w:spacing w:before="10" w:after="10"/>
            </w:pPr>
            <w:r/>
            <w:r>
              <w:rPr>
                <w:sz w:val="16"/>
              </w:rPr>
              <w:t>50</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30</w:t>
            </w:r>
          </w:p>
        </w:tc>
        <w:tc>
          <w:tcPr>
            <w:tcW w:w="2200" w:type="dxa"/>
          </w:tcPr>
          <w:p>
            <w:pPr>
              <w:spacing w:before="10" w:after="10"/>
            </w:pPr>
            <w:r/>
            <w:r>
              <w:rPr>
                <w:sz w:val="16"/>
              </w:rPr>
              <w:t>Finland</w:t>
            </w:r>
          </w:p>
        </w:tc>
        <w:tc>
          <w:tcPr>
            <w:tcW w:w="1000" w:type="dxa"/>
          </w:tcPr>
          <w:p>
            <w:pPr>
              <w:jc w:val="right"/>
              <w:spacing w:before="10" w:after="10"/>
            </w:pPr>
            <w:r/>
            <w:r>
              <w:rPr>
                <w:sz w:val="16"/>
              </w:rPr>
              <w:t>48</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31</w:t>
            </w:r>
          </w:p>
        </w:tc>
        <w:tc>
          <w:tcPr>
            <w:tcW w:w="2200" w:type="dxa"/>
          </w:tcPr>
          <w:p>
            <w:pPr>
              <w:spacing w:before="10" w:after="10"/>
            </w:pPr>
            <w:r/>
            <w:r>
              <w:rPr>
                <w:sz w:val="16"/>
              </w:rPr>
              <w:t>Norway</w:t>
            </w:r>
          </w:p>
        </w:tc>
        <w:tc>
          <w:tcPr>
            <w:tcW w:w="1000" w:type="dxa"/>
          </w:tcPr>
          <w:p>
            <w:pPr>
              <w:jc w:val="right"/>
              <w:spacing w:before="10" w:after="10"/>
            </w:pPr>
            <w:r/>
            <w:r>
              <w:rPr>
                <w:sz w:val="16"/>
              </w:rPr>
              <w:t>47</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32</w:t>
            </w:r>
          </w:p>
        </w:tc>
        <w:tc>
          <w:tcPr>
            <w:tcW w:w="2200" w:type="dxa"/>
          </w:tcPr>
          <w:p>
            <w:pPr>
              <w:spacing w:before="10" w:after="10"/>
            </w:pPr>
            <w:r/>
            <w:r>
              <w:rPr>
                <w:sz w:val="16"/>
              </w:rPr>
              <w:t>South Korea</w:t>
            </w:r>
          </w:p>
        </w:tc>
        <w:tc>
          <w:tcPr>
            <w:tcW w:w="1000" w:type="dxa"/>
          </w:tcPr>
          <w:p>
            <w:pPr>
              <w:jc w:val="right"/>
              <w:spacing w:before="10" w:after="10"/>
            </w:pPr>
            <w:r/>
            <w:r>
              <w:rPr>
                <w:sz w:val="16"/>
              </w:rPr>
              <w:t>43</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33</w:t>
            </w:r>
          </w:p>
        </w:tc>
        <w:tc>
          <w:tcPr>
            <w:tcW w:w="2200" w:type="dxa"/>
          </w:tcPr>
          <w:p>
            <w:pPr>
              <w:spacing w:before="10" w:after="10"/>
            </w:pPr>
            <w:r/>
            <w:r>
              <w:rPr>
                <w:sz w:val="16"/>
              </w:rPr>
              <w:t>Thailand</w:t>
            </w:r>
          </w:p>
        </w:tc>
        <w:tc>
          <w:tcPr>
            <w:tcW w:w="1000" w:type="dxa"/>
          </w:tcPr>
          <w:p>
            <w:pPr>
              <w:jc w:val="right"/>
              <w:spacing w:before="10" w:after="10"/>
            </w:pPr>
            <w:r/>
            <w:r>
              <w:rPr>
                <w:sz w:val="16"/>
              </w:rPr>
              <w:t>42</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34</w:t>
            </w:r>
          </w:p>
        </w:tc>
        <w:tc>
          <w:tcPr>
            <w:tcW w:w="2200" w:type="dxa"/>
          </w:tcPr>
          <w:p>
            <w:pPr>
              <w:spacing w:before="10" w:after="10"/>
            </w:pPr>
            <w:r/>
            <w:r>
              <w:rPr>
                <w:sz w:val="16"/>
              </w:rPr>
              <w:t>Colombia</w:t>
            </w:r>
          </w:p>
        </w:tc>
        <w:tc>
          <w:tcPr>
            <w:tcW w:w="1000" w:type="dxa"/>
          </w:tcPr>
          <w:p>
            <w:pPr>
              <w:jc w:val="right"/>
              <w:spacing w:before="10" w:after="10"/>
            </w:pPr>
            <w:r/>
            <w:r>
              <w:rPr>
                <w:sz w:val="16"/>
              </w:rPr>
              <w:t>41</w:t>
            </w:r>
          </w:p>
        </w:tc>
        <w:tc>
          <w:tcPr>
            <w:tcW w:w="1000" w:type="dxa"/>
          </w:tcPr>
          <w:p>
            <w:pPr>
              <w:jc w:val="right"/>
              <w:spacing w:before="10" w:after="10"/>
            </w:pPr>
            <w:r/>
            <w:r>
              <w:rPr>
                <w:sz w:val="16"/>
              </w:rPr>
              <w:t>0.4</w:t>
            </w:r>
          </w:p>
        </w:tc>
        <w:tc>
          <w:tcPr>
            <w:tcW w:w="1900" w:type="dxa"/>
          </w:tcPr>
          <w:p>
            <w:pPr>
              <w:jc w:val="right"/>
              <w:spacing w:before="10" w:after="10"/>
            </w:pPr>
            <w:r/>
            <w:r>
              <w:rPr>
                <w:sz w:val="16"/>
              </w:rPr>
              <w:t>Cloudscene</w:t>
            </w:r>
          </w:p>
        </w:tc>
      </w:tr>
      <w:tr>
        <w:tc>
          <w:tcPr>
            <w:tcW w:w="500" w:type="dxa"/>
          </w:tcPr>
          <w:p>
            <w:pPr>
              <w:spacing w:before="10" w:after="10"/>
            </w:pPr>
            <w:r/>
            <w:r>
              <w:rPr>
                <w:sz w:val="16"/>
              </w:rPr>
              <w:t>35</w:t>
            </w:r>
          </w:p>
        </w:tc>
        <w:tc>
          <w:tcPr>
            <w:tcW w:w="2200" w:type="dxa"/>
          </w:tcPr>
          <w:p>
            <w:pPr>
              <w:spacing w:before="10" w:after="10"/>
            </w:pPr>
            <w:r/>
            <w:r>
              <w:rPr>
                <w:sz w:val="16"/>
              </w:rPr>
              <w:t>Philippines</w:t>
            </w:r>
          </w:p>
        </w:tc>
        <w:tc>
          <w:tcPr>
            <w:tcW w:w="1000" w:type="dxa"/>
          </w:tcPr>
          <w:p>
            <w:pPr>
              <w:jc w:val="right"/>
              <w:spacing w:before="10" w:after="10"/>
            </w:pPr>
            <w:r/>
            <w:r>
              <w:rPr>
                <w:sz w:val="16"/>
              </w:rPr>
              <w:t>39</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36</w:t>
            </w:r>
          </w:p>
        </w:tc>
        <w:tc>
          <w:tcPr>
            <w:tcW w:w="2200" w:type="dxa"/>
          </w:tcPr>
          <w:p>
            <w:pPr>
              <w:spacing w:before="10" w:after="10"/>
            </w:pPr>
            <w:r/>
            <w:r>
              <w:rPr>
                <w:sz w:val="16"/>
              </w:rPr>
              <w:t>Turkey</w:t>
            </w:r>
          </w:p>
        </w:tc>
        <w:tc>
          <w:tcPr>
            <w:tcW w:w="1000" w:type="dxa"/>
          </w:tcPr>
          <w:p>
            <w:pPr>
              <w:jc w:val="right"/>
              <w:spacing w:before="10" w:after="10"/>
            </w:pPr>
            <w:r/>
            <w:r>
              <w:rPr>
                <w:sz w:val="16"/>
              </w:rPr>
              <w:t>35</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37</w:t>
            </w:r>
          </w:p>
        </w:tc>
        <w:tc>
          <w:tcPr>
            <w:tcW w:w="2200" w:type="dxa"/>
          </w:tcPr>
          <w:p>
            <w:pPr>
              <w:spacing w:before="10" w:after="10"/>
            </w:pPr>
            <w:r/>
            <w:r>
              <w:rPr>
                <w:sz w:val="16"/>
              </w:rPr>
              <w:t>Czechia</w:t>
            </w:r>
          </w:p>
        </w:tc>
        <w:tc>
          <w:tcPr>
            <w:tcW w:w="1000" w:type="dxa"/>
          </w:tcPr>
          <w:p>
            <w:pPr>
              <w:jc w:val="right"/>
              <w:spacing w:before="10" w:after="10"/>
            </w:pPr>
            <w:r/>
            <w:r>
              <w:rPr>
                <w:sz w:val="16"/>
              </w:rPr>
              <w:t>34</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38</w:t>
            </w:r>
          </w:p>
        </w:tc>
        <w:tc>
          <w:tcPr>
            <w:tcW w:w="2200" w:type="dxa"/>
          </w:tcPr>
          <w:p>
            <w:pPr>
              <w:spacing w:before="10" w:after="10"/>
            </w:pPr>
            <w:r/>
            <w:r>
              <w:rPr>
                <w:sz w:val="16"/>
              </w:rPr>
              <w:t>Vietnam</w:t>
            </w:r>
          </w:p>
        </w:tc>
        <w:tc>
          <w:tcPr>
            <w:tcW w:w="1000" w:type="dxa"/>
          </w:tcPr>
          <w:p>
            <w:pPr>
              <w:jc w:val="right"/>
              <w:spacing w:before="10" w:after="10"/>
            </w:pPr>
            <w:r/>
            <w:r>
              <w:rPr>
                <w:sz w:val="16"/>
              </w:rPr>
              <w:t>33</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39</w:t>
            </w:r>
          </w:p>
        </w:tc>
        <w:tc>
          <w:tcPr>
            <w:tcW w:w="2200" w:type="dxa"/>
          </w:tcPr>
          <w:p>
            <w:pPr>
              <w:spacing w:before="10" w:after="10"/>
            </w:pPr>
            <w:r/>
            <w:r>
              <w:rPr>
                <w:sz w:val="16"/>
              </w:rPr>
              <w:t>Romania</w:t>
            </w:r>
          </w:p>
        </w:tc>
        <w:tc>
          <w:tcPr>
            <w:tcW w:w="1000" w:type="dxa"/>
          </w:tcPr>
          <w:p>
            <w:pPr>
              <w:jc w:val="right"/>
              <w:spacing w:before="10" w:after="10"/>
            </w:pPr>
            <w:r/>
            <w:r>
              <w:rPr>
                <w:sz w:val="16"/>
              </w:rPr>
              <w:t>31</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40</w:t>
            </w:r>
          </w:p>
        </w:tc>
        <w:tc>
          <w:tcPr>
            <w:tcW w:w="2200" w:type="dxa"/>
          </w:tcPr>
          <w:p>
            <w:pPr>
              <w:spacing w:before="10" w:after="10"/>
            </w:pPr>
            <w:r/>
            <w:r>
              <w:rPr>
                <w:sz w:val="16"/>
              </w:rPr>
              <w:t>United Arab Emirates</w:t>
            </w:r>
          </w:p>
        </w:tc>
        <w:tc>
          <w:tcPr>
            <w:tcW w:w="1000" w:type="dxa"/>
          </w:tcPr>
          <w:p>
            <w:pPr>
              <w:jc w:val="right"/>
              <w:spacing w:before="10" w:after="10"/>
            </w:pPr>
            <w:r/>
            <w:r>
              <w:rPr>
                <w:sz w:val="16"/>
              </w:rPr>
              <w:t>30</w:t>
            </w:r>
          </w:p>
        </w:tc>
        <w:tc>
          <w:tcPr>
            <w:tcW w:w="1000" w:type="dxa"/>
          </w:tcPr>
          <w:p>
            <w:pPr>
              <w:jc w:val="right"/>
              <w:spacing w:before="10" w:after="10"/>
            </w:pPr>
            <w:r/>
            <w:r>
              <w:rPr>
                <w:sz w:val="16"/>
              </w:rPr>
              <w:t>0.3</w:t>
            </w:r>
          </w:p>
        </w:tc>
        <w:tc>
          <w:tcPr>
            <w:tcW w:w="1900" w:type="dxa"/>
          </w:tcPr>
          <w:p>
            <w:pPr>
              <w:jc w:val="right"/>
              <w:spacing w:before="10" w:after="10"/>
            </w:pPr>
            <w:r/>
            <w:r>
              <w:rPr>
                <w:sz w:val="16"/>
              </w:rPr>
              <w:t>Arizton</w:t>
            </w:r>
          </w:p>
        </w:tc>
      </w:tr>
      <w:tr>
        <w:tc>
          <w:tcPr>
            <w:tcW w:w="500" w:type="dxa"/>
          </w:tcPr>
          <w:p>
            <w:pPr>
              <w:spacing w:before="10" w:after="10"/>
            </w:pPr>
            <w:r/>
            <w:r>
              <w:rPr>
                <w:sz w:val="16"/>
              </w:rPr>
              <w:t>41</w:t>
            </w:r>
          </w:p>
        </w:tc>
        <w:tc>
          <w:tcPr>
            <w:tcW w:w="2200" w:type="dxa"/>
          </w:tcPr>
          <w:p>
            <w:pPr>
              <w:spacing w:before="10" w:after="10"/>
            </w:pPr>
            <w:r/>
            <w:r>
              <w:rPr>
                <w:sz w:val="16"/>
              </w:rPr>
              <w:t>Argentina</w:t>
            </w:r>
          </w:p>
        </w:tc>
        <w:tc>
          <w:tcPr>
            <w:tcW w:w="1000" w:type="dxa"/>
          </w:tcPr>
          <w:p>
            <w:pPr>
              <w:jc w:val="right"/>
              <w:spacing w:before="10" w:after="10"/>
            </w:pPr>
            <w:r/>
            <w:r>
              <w:rPr>
                <w:sz w:val="16"/>
              </w:rPr>
              <w:t>29</w:t>
            </w:r>
          </w:p>
        </w:tc>
        <w:tc>
          <w:tcPr>
            <w:tcW w:w="1000" w:type="dxa"/>
          </w:tcPr>
          <w:p>
            <w:pPr>
              <w:jc w:val="right"/>
              <w:spacing w:before="10" w:after="10"/>
            </w:pPr>
            <w:r/>
            <w:r>
              <w:rPr>
                <w:sz w:val="16"/>
              </w:rPr>
              <w:t>0.3</w:t>
            </w:r>
          </w:p>
        </w:tc>
        <w:tc>
          <w:tcPr>
            <w:tcW w:w="1900" w:type="dxa"/>
          </w:tcPr>
          <w:p>
            <w:pPr>
              <w:jc w:val="right"/>
              <w:spacing w:before="10" w:after="10"/>
            </w:pPr>
            <w:r/>
            <w:r>
              <w:rPr>
                <w:sz w:val="16"/>
              </w:rPr>
              <w:t>Cloudscene</w:t>
            </w:r>
          </w:p>
        </w:tc>
      </w:tr>
      <w:tr>
        <w:tc>
          <w:tcPr>
            <w:tcW w:w="500" w:type="dxa"/>
          </w:tcPr>
          <w:p>
            <w:pPr>
              <w:spacing w:before="10" w:after="10"/>
            </w:pPr>
            <w:r/>
            <w:r>
              <w:rPr>
                <w:sz w:val="16"/>
              </w:rPr>
              <w:t>42</w:t>
            </w:r>
          </w:p>
        </w:tc>
        <w:tc>
          <w:tcPr>
            <w:tcW w:w="2200" w:type="dxa"/>
          </w:tcPr>
          <w:p>
            <w:pPr>
              <w:spacing w:before="10" w:after="10"/>
            </w:pPr>
            <w:r/>
            <w:r>
              <w:rPr>
                <w:sz w:val="16"/>
              </w:rPr>
              <w:t>Latvia</w:t>
            </w:r>
          </w:p>
        </w:tc>
        <w:tc>
          <w:tcPr>
            <w:tcW w:w="1000" w:type="dxa"/>
          </w:tcPr>
          <w:p>
            <w:pPr>
              <w:jc w:val="right"/>
              <w:spacing w:before="10" w:after="10"/>
            </w:pPr>
            <w:r/>
            <w:r>
              <w:rPr>
                <w:sz w:val="16"/>
              </w:rPr>
              <w:t>27</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43</w:t>
            </w:r>
          </w:p>
        </w:tc>
        <w:tc>
          <w:tcPr>
            <w:tcW w:w="2200" w:type="dxa"/>
          </w:tcPr>
          <w:p>
            <w:pPr>
              <w:spacing w:before="10" w:after="10"/>
            </w:pPr>
            <w:r/>
            <w:r>
              <w:rPr>
                <w:sz w:val="16"/>
              </w:rPr>
              <w:t>Kazakhstan</w:t>
            </w:r>
          </w:p>
        </w:tc>
        <w:tc>
          <w:tcPr>
            <w:tcW w:w="1000" w:type="dxa"/>
          </w:tcPr>
          <w:p>
            <w:pPr>
              <w:jc w:val="right"/>
              <w:spacing w:before="10" w:after="10"/>
            </w:pPr>
            <w:r/>
            <w:r>
              <w:rPr>
                <w:sz w:val="16"/>
              </w:rPr>
              <w:t>25</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44</w:t>
            </w:r>
          </w:p>
        </w:tc>
        <w:tc>
          <w:tcPr>
            <w:tcW w:w="2200" w:type="dxa"/>
          </w:tcPr>
          <w:p>
            <w:pPr>
              <w:spacing w:before="10" w:after="10"/>
            </w:pPr>
            <w:r/>
            <w:r>
              <w:rPr>
                <w:sz w:val="16"/>
              </w:rPr>
              <w:t>Saudi Arabia</w:t>
            </w:r>
          </w:p>
        </w:tc>
        <w:tc>
          <w:tcPr>
            <w:tcW w:w="1000" w:type="dxa"/>
          </w:tcPr>
          <w:p>
            <w:pPr>
              <w:jc w:val="right"/>
              <w:spacing w:before="10" w:after="10"/>
            </w:pPr>
            <w:r/>
            <w:r>
              <w:rPr>
                <w:sz w:val="16"/>
              </w:rPr>
              <w:t>25</w:t>
            </w:r>
          </w:p>
        </w:tc>
        <w:tc>
          <w:tcPr>
            <w:tcW w:w="1000" w:type="dxa"/>
          </w:tcPr>
          <w:p>
            <w:pPr>
              <w:jc w:val="right"/>
              <w:spacing w:before="10" w:after="10"/>
            </w:pPr>
            <w:r/>
            <w:r>
              <w:rPr>
                <w:sz w:val="16"/>
              </w:rPr>
              <w:t>0.2</w:t>
            </w:r>
          </w:p>
        </w:tc>
        <w:tc>
          <w:tcPr>
            <w:tcW w:w="1900" w:type="dxa"/>
          </w:tcPr>
          <w:p>
            <w:pPr>
              <w:jc w:val="right"/>
              <w:spacing w:before="10" w:after="10"/>
            </w:pPr>
            <w:r/>
            <w:r>
              <w:rPr>
                <w:sz w:val="16"/>
              </w:rPr>
              <w:t>Arizton</w:t>
            </w:r>
          </w:p>
        </w:tc>
      </w:tr>
      <w:tr>
        <w:tc>
          <w:tcPr>
            <w:tcW w:w="500" w:type="dxa"/>
          </w:tcPr>
          <w:p>
            <w:pPr>
              <w:spacing w:before="10" w:after="10"/>
            </w:pPr>
            <w:r/>
            <w:r>
              <w:rPr>
                <w:sz w:val="16"/>
              </w:rPr>
              <w:t>45</w:t>
            </w:r>
          </w:p>
        </w:tc>
        <w:tc>
          <w:tcPr>
            <w:tcW w:w="2200" w:type="dxa"/>
          </w:tcPr>
          <w:p>
            <w:pPr>
              <w:spacing w:before="10" w:after="10"/>
            </w:pPr>
            <w:r/>
            <w:r>
              <w:rPr>
                <w:sz w:val="16"/>
              </w:rPr>
              <w:t>Bulgaria</w:t>
            </w:r>
          </w:p>
        </w:tc>
        <w:tc>
          <w:tcPr>
            <w:tcW w:w="1000" w:type="dxa"/>
          </w:tcPr>
          <w:p>
            <w:pPr>
              <w:jc w:val="right"/>
              <w:spacing w:before="10" w:after="10"/>
            </w:pPr>
            <w:r/>
            <w:r>
              <w:rPr>
                <w:sz w:val="16"/>
              </w:rPr>
              <w:t>24</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46</w:t>
            </w:r>
          </w:p>
        </w:tc>
        <w:tc>
          <w:tcPr>
            <w:tcW w:w="2200" w:type="dxa"/>
          </w:tcPr>
          <w:p>
            <w:pPr>
              <w:spacing w:before="10" w:after="10"/>
            </w:pPr>
            <w:r/>
            <w:r>
              <w:rPr>
                <w:sz w:val="16"/>
              </w:rPr>
              <w:t>Luxembourg</w:t>
            </w:r>
          </w:p>
        </w:tc>
        <w:tc>
          <w:tcPr>
            <w:tcW w:w="1000" w:type="dxa"/>
          </w:tcPr>
          <w:p>
            <w:pPr>
              <w:jc w:val="right"/>
              <w:spacing w:before="10" w:after="10"/>
            </w:pPr>
            <w:r/>
            <w:r>
              <w:rPr>
                <w:sz w:val="16"/>
              </w:rPr>
              <w:t>23</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47</w:t>
            </w:r>
          </w:p>
        </w:tc>
        <w:tc>
          <w:tcPr>
            <w:tcW w:w="2200" w:type="dxa"/>
          </w:tcPr>
          <w:p>
            <w:pPr>
              <w:spacing w:before="10" w:after="10"/>
            </w:pPr>
            <w:r/>
            <w:r>
              <w:rPr>
                <w:sz w:val="16"/>
              </w:rPr>
              <w:t>Portugal</w:t>
            </w:r>
          </w:p>
        </w:tc>
        <w:tc>
          <w:tcPr>
            <w:tcW w:w="1000" w:type="dxa"/>
          </w:tcPr>
          <w:p>
            <w:pPr>
              <w:jc w:val="right"/>
              <w:spacing w:before="10" w:after="10"/>
            </w:pPr>
            <w:r/>
            <w:r>
              <w:rPr>
                <w:sz w:val="16"/>
              </w:rPr>
              <w:t>21</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48</w:t>
            </w:r>
          </w:p>
        </w:tc>
        <w:tc>
          <w:tcPr>
            <w:tcW w:w="2200" w:type="dxa"/>
          </w:tcPr>
          <w:p>
            <w:pPr>
              <w:spacing w:before="10" w:after="10"/>
            </w:pPr>
            <w:r/>
            <w:r>
              <w:rPr>
                <w:sz w:val="16"/>
              </w:rPr>
              <w:t>Kenya</w:t>
            </w:r>
          </w:p>
        </w:tc>
        <w:tc>
          <w:tcPr>
            <w:tcW w:w="1000" w:type="dxa"/>
          </w:tcPr>
          <w:p>
            <w:pPr>
              <w:jc w:val="right"/>
              <w:spacing w:before="10" w:after="10"/>
            </w:pPr>
            <w:r/>
            <w:r>
              <w:rPr>
                <w:sz w:val="16"/>
              </w:rPr>
              <w:t>20</w:t>
            </w:r>
          </w:p>
        </w:tc>
        <w:tc>
          <w:tcPr>
            <w:tcW w:w="1000" w:type="dxa"/>
          </w:tcPr>
          <w:p>
            <w:pPr>
              <w:jc w:val="right"/>
              <w:spacing w:before="10" w:after="10"/>
            </w:pPr>
            <w:r/>
            <w:r>
              <w:rPr>
                <w:sz w:val="16"/>
              </w:rPr>
              <w:t>0.2</w:t>
            </w:r>
          </w:p>
        </w:tc>
        <w:tc>
          <w:tcPr>
            <w:tcW w:w="1900" w:type="dxa"/>
          </w:tcPr>
          <w:p>
            <w:pPr>
              <w:jc w:val="right"/>
              <w:spacing w:before="10" w:after="10"/>
            </w:pPr>
            <w:r/>
            <w:r>
              <w:rPr>
                <w:sz w:val="16"/>
              </w:rPr>
              <w:t>Arizton</w:t>
            </w:r>
          </w:p>
        </w:tc>
      </w:tr>
      <w:tr>
        <w:tc>
          <w:tcPr>
            <w:tcW w:w="500" w:type="dxa"/>
          </w:tcPr>
          <w:p>
            <w:pPr>
              <w:spacing w:before="10" w:after="10"/>
            </w:pPr>
            <w:r/>
            <w:r>
              <w:rPr>
                <w:sz w:val="16"/>
              </w:rPr>
              <w:t>49</w:t>
            </w:r>
          </w:p>
        </w:tc>
        <w:tc>
          <w:tcPr>
            <w:tcW w:w="2200" w:type="dxa"/>
          </w:tcPr>
          <w:p>
            <w:pPr>
              <w:spacing w:before="10" w:after="10"/>
            </w:pPr>
            <w:r/>
            <w:r>
              <w:rPr>
                <w:sz w:val="16"/>
              </w:rPr>
              <w:t>Israel</w:t>
            </w:r>
          </w:p>
        </w:tc>
        <w:tc>
          <w:tcPr>
            <w:tcW w:w="1000" w:type="dxa"/>
          </w:tcPr>
          <w:p>
            <w:pPr>
              <w:jc w:val="right"/>
              <w:spacing w:before="10" w:after="10"/>
            </w:pPr>
            <w:r/>
            <w:r>
              <w:rPr>
                <w:sz w:val="16"/>
              </w:rPr>
              <w:t>20</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50</w:t>
            </w:r>
          </w:p>
        </w:tc>
        <w:tc>
          <w:tcPr>
            <w:tcW w:w="2200" w:type="dxa"/>
          </w:tcPr>
          <w:p>
            <w:pPr>
              <w:spacing w:before="10" w:after="10"/>
            </w:pPr>
            <w:r/>
            <w:r>
              <w:rPr>
                <w:sz w:val="16"/>
              </w:rPr>
              <w:t>Nigeria</w:t>
            </w:r>
          </w:p>
        </w:tc>
        <w:tc>
          <w:tcPr>
            <w:tcW w:w="1000" w:type="dxa"/>
          </w:tcPr>
          <w:p>
            <w:pPr>
              <w:jc w:val="right"/>
              <w:spacing w:before="10" w:after="10"/>
            </w:pPr>
            <w:r/>
            <w:r>
              <w:rPr>
                <w:sz w:val="16"/>
              </w:rPr>
              <w:t>19</w:t>
            </w:r>
          </w:p>
        </w:tc>
        <w:tc>
          <w:tcPr>
            <w:tcW w:w="1000" w:type="dxa"/>
          </w:tcPr>
          <w:p>
            <w:pPr>
              <w:jc w:val="right"/>
              <w:spacing w:before="10" w:after="10"/>
            </w:pPr>
            <w:r/>
            <w:r>
              <w:rPr>
                <w:sz w:val="16"/>
              </w:rPr>
              <w:t>0.2</w:t>
            </w:r>
          </w:p>
        </w:tc>
        <w:tc>
          <w:tcPr>
            <w:tcW w:w="1900" w:type="dxa"/>
          </w:tcPr>
          <w:p>
            <w:pPr>
              <w:jc w:val="right"/>
              <w:spacing w:before="10" w:after="10"/>
            </w:pPr>
            <w:r/>
            <w:r>
              <w:rPr>
                <w:sz w:val="16"/>
              </w:rPr>
              <w:t>Arizton</w:t>
            </w:r>
          </w:p>
        </w:tc>
      </w:tr>
      <w:tr>
        <w:tc>
          <w:tcPr>
            <w:tcW w:w="500" w:type="dxa"/>
          </w:tcPr>
          <w:p>
            <w:pPr>
              <w:spacing w:before="10" w:after="10"/>
            </w:pPr>
            <w:r/>
            <w:r>
              <w:rPr>
                <w:sz w:val="16"/>
              </w:rPr>
              <w:t>51</w:t>
            </w:r>
          </w:p>
        </w:tc>
        <w:tc>
          <w:tcPr>
            <w:tcW w:w="2200" w:type="dxa"/>
          </w:tcPr>
          <w:p>
            <w:pPr>
              <w:spacing w:before="10" w:after="10"/>
            </w:pPr>
            <w:r/>
            <w:r>
              <w:rPr>
                <w:sz w:val="16"/>
              </w:rPr>
              <w:t>Taiwan</w:t>
            </w:r>
          </w:p>
        </w:tc>
        <w:tc>
          <w:tcPr>
            <w:tcW w:w="1000" w:type="dxa"/>
          </w:tcPr>
          <w:p>
            <w:pPr>
              <w:jc w:val="right"/>
              <w:spacing w:before="10" w:after="10"/>
            </w:pPr>
            <w:r/>
            <w:r>
              <w:rPr>
                <w:sz w:val="16"/>
              </w:rPr>
              <w:t>19</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52</w:t>
            </w:r>
          </w:p>
        </w:tc>
        <w:tc>
          <w:tcPr>
            <w:tcW w:w="2200" w:type="dxa"/>
          </w:tcPr>
          <w:p>
            <w:pPr>
              <w:spacing w:before="10" w:after="10"/>
            </w:pPr>
            <w:r/>
            <w:r>
              <w:rPr>
                <w:sz w:val="16"/>
              </w:rPr>
              <w:t>Lithuania</w:t>
            </w:r>
          </w:p>
        </w:tc>
        <w:tc>
          <w:tcPr>
            <w:tcW w:w="1000" w:type="dxa"/>
          </w:tcPr>
          <w:p>
            <w:pPr>
              <w:jc w:val="right"/>
              <w:spacing w:before="10" w:after="10"/>
            </w:pPr>
            <w:r/>
            <w:r>
              <w:rPr>
                <w:sz w:val="16"/>
              </w:rPr>
              <w:t>18</w:t>
            </w:r>
          </w:p>
        </w:tc>
        <w:tc>
          <w:tcPr>
            <w:tcW w:w="1000" w:type="dxa"/>
          </w:tcPr>
          <w:p>
            <w:pPr>
              <w:jc w:val="right"/>
              <w:spacing w:before="10" w:after="10"/>
            </w:pPr>
            <w:r/>
            <w:r>
              <w:rPr>
                <w:sz w:val="16"/>
              </w:rPr>
              <w:t>0.2</w:t>
            </w:r>
          </w:p>
        </w:tc>
        <w:tc>
          <w:tcPr>
            <w:tcW w:w="1900" w:type="dxa"/>
          </w:tcPr>
          <w:p>
            <w:pPr>
              <w:jc w:val="right"/>
              <w:spacing w:before="10" w:after="10"/>
            </w:pPr>
            <w:r/>
            <w:r>
              <w:rPr>
                <w:sz w:val="16"/>
              </w:rPr>
              <w:t>Cloudscene</w:t>
            </w:r>
          </w:p>
        </w:tc>
      </w:tr>
      <w:tr>
        <w:tc>
          <w:tcPr>
            <w:tcW w:w="500" w:type="dxa"/>
          </w:tcPr>
          <w:p>
            <w:pPr>
              <w:spacing w:before="10" w:after="10"/>
            </w:pPr>
            <w:r/>
            <w:r>
              <w:rPr>
                <w:sz w:val="16"/>
              </w:rPr>
              <w:t>53</w:t>
            </w:r>
          </w:p>
        </w:tc>
        <w:tc>
          <w:tcPr>
            <w:tcW w:w="2200" w:type="dxa"/>
          </w:tcPr>
          <w:p>
            <w:pPr>
              <w:spacing w:before="10" w:after="10"/>
            </w:pPr>
            <w:r/>
            <w:r>
              <w:rPr>
                <w:sz w:val="16"/>
              </w:rPr>
              <w:t>Estonia</w:t>
            </w:r>
          </w:p>
        </w:tc>
        <w:tc>
          <w:tcPr>
            <w:tcW w:w="1000" w:type="dxa"/>
          </w:tcPr>
          <w:p>
            <w:pPr>
              <w:jc w:val="right"/>
              <w:spacing w:before="10" w:after="10"/>
            </w:pPr>
            <w:r/>
            <w:r>
              <w:rPr>
                <w:sz w:val="16"/>
              </w:rPr>
              <w:t>16</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54</w:t>
            </w:r>
          </w:p>
        </w:tc>
        <w:tc>
          <w:tcPr>
            <w:tcW w:w="2200" w:type="dxa"/>
          </w:tcPr>
          <w:p>
            <w:pPr>
              <w:spacing w:before="10" w:after="10"/>
            </w:pPr>
            <w:r/>
            <w:r>
              <w:rPr>
                <w:sz w:val="16"/>
              </w:rPr>
              <w:t>Hungary</w:t>
            </w:r>
          </w:p>
        </w:tc>
        <w:tc>
          <w:tcPr>
            <w:tcW w:w="1000" w:type="dxa"/>
          </w:tcPr>
          <w:p>
            <w:pPr>
              <w:jc w:val="right"/>
              <w:spacing w:before="10" w:after="10"/>
            </w:pPr>
            <w:r/>
            <w:r>
              <w:rPr>
                <w:sz w:val="16"/>
              </w:rPr>
              <w:t>15</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55</w:t>
            </w:r>
          </w:p>
        </w:tc>
        <w:tc>
          <w:tcPr>
            <w:tcW w:w="2200" w:type="dxa"/>
          </w:tcPr>
          <w:p>
            <w:pPr>
              <w:spacing w:before="10" w:after="10"/>
            </w:pPr>
            <w:r/>
            <w:r>
              <w:rPr>
                <w:sz w:val="16"/>
              </w:rPr>
              <w:t>Egypt</w:t>
            </w:r>
          </w:p>
        </w:tc>
        <w:tc>
          <w:tcPr>
            <w:tcW w:w="1000" w:type="dxa"/>
          </w:tcPr>
          <w:p>
            <w:pPr>
              <w:jc w:val="right"/>
              <w:spacing w:before="10" w:after="10"/>
            </w:pPr>
            <w:r/>
            <w:r>
              <w:rPr>
                <w:sz w:val="16"/>
              </w:rPr>
              <w:t>15</w:t>
            </w:r>
          </w:p>
        </w:tc>
        <w:tc>
          <w:tcPr>
            <w:tcW w:w="1000" w:type="dxa"/>
          </w:tcPr>
          <w:p>
            <w:pPr>
              <w:jc w:val="right"/>
              <w:spacing w:before="10" w:after="10"/>
            </w:pPr>
            <w:r/>
            <w:r>
              <w:rPr>
                <w:sz w:val="16"/>
              </w:rPr>
              <w:t>0.1</w:t>
            </w:r>
          </w:p>
        </w:tc>
        <w:tc>
          <w:tcPr>
            <w:tcW w:w="1900" w:type="dxa"/>
          </w:tcPr>
          <w:p>
            <w:pPr>
              <w:jc w:val="right"/>
              <w:spacing w:before="10" w:after="10"/>
            </w:pPr>
            <w:r/>
            <w:r>
              <w:rPr>
                <w:sz w:val="16"/>
              </w:rPr>
              <w:t>Arizton</w:t>
            </w:r>
          </w:p>
        </w:tc>
      </w:tr>
      <w:tr>
        <w:tc>
          <w:tcPr>
            <w:tcW w:w="500" w:type="dxa"/>
          </w:tcPr>
          <w:p>
            <w:pPr>
              <w:spacing w:before="10" w:after="10"/>
            </w:pPr>
            <w:r/>
            <w:r>
              <w:rPr>
                <w:sz w:val="16"/>
              </w:rPr>
              <w:t>56</w:t>
            </w:r>
          </w:p>
        </w:tc>
        <w:tc>
          <w:tcPr>
            <w:tcW w:w="2200" w:type="dxa"/>
          </w:tcPr>
          <w:p>
            <w:pPr>
              <w:spacing w:before="10" w:after="10"/>
            </w:pPr>
            <w:r/>
            <w:r>
              <w:rPr>
                <w:sz w:val="16"/>
              </w:rPr>
              <w:t>Slovakia</w:t>
            </w:r>
          </w:p>
        </w:tc>
        <w:tc>
          <w:tcPr>
            <w:tcW w:w="1000" w:type="dxa"/>
          </w:tcPr>
          <w:p>
            <w:pPr>
              <w:jc w:val="right"/>
              <w:spacing w:before="10" w:after="10"/>
            </w:pPr>
            <w:r/>
            <w:r>
              <w:rPr>
                <w:sz w:val="16"/>
              </w:rPr>
              <w:t>14</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57</w:t>
            </w:r>
          </w:p>
        </w:tc>
        <w:tc>
          <w:tcPr>
            <w:tcW w:w="2200" w:type="dxa"/>
          </w:tcPr>
          <w:p>
            <w:pPr>
              <w:spacing w:before="10" w:after="10"/>
            </w:pPr>
            <w:r/>
            <w:r>
              <w:rPr>
                <w:sz w:val="16"/>
              </w:rPr>
              <w:t>Greece</w:t>
            </w:r>
          </w:p>
        </w:tc>
        <w:tc>
          <w:tcPr>
            <w:tcW w:w="1000" w:type="dxa"/>
          </w:tcPr>
          <w:p>
            <w:pPr>
              <w:jc w:val="right"/>
              <w:spacing w:before="10" w:after="10"/>
            </w:pPr>
            <w:r/>
            <w:r>
              <w:rPr>
                <w:sz w:val="16"/>
              </w:rPr>
              <w:t>14</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58</w:t>
            </w:r>
          </w:p>
        </w:tc>
        <w:tc>
          <w:tcPr>
            <w:tcW w:w="2200" w:type="dxa"/>
          </w:tcPr>
          <w:p>
            <w:pPr>
              <w:spacing w:before="10" w:after="10"/>
            </w:pPr>
            <w:r/>
            <w:r>
              <w:rPr>
                <w:sz w:val="16"/>
              </w:rPr>
              <w:t>Slovenia</w:t>
            </w:r>
          </w:p>
        </w:tc>
        <w:tc>
          <w:tcPr>
            <w:tcW w:w="1000" w:type="dxa"/>
          </w:tcPr>
          <w:p>
            <w:pPr>
              <w:jc w:val="right"/>
              <w:spacing w:before="10" w:after="10"/>
            </w:pPr>
            <w:r/>
            <w:r>
              <w:rPr>
                <w:sz w:val="16"/>
              </w:rPr>
              <w:t>13</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59</w:t>
            </w:r>
          </w:p>
        </w:tc>
        <w:tc>
          <w:tcPr>
            <w:tcW w:w="2200" w:type="dxa"/>
          </w:tcPr>
          <w:p>
            <w:pPr>
              <w:spacing w:before="10" w:after="10"/>
            </w:pPr>
            <w:r/>
            <w:r>
              <w:rPr>
                <w:sz w:val="16"/>
              </w:rPr>
              <w:t>Serbia</w:t>
            </w:r>
          </w:p>
        </w:tc>
        <w:tc>
          <w:tcPr>
            <w:tcW w:w="1000" w:type="dxa"/>
          </w:tcPr>
          <w:p>
            <w:pPr>
              <w:jc w:val="right"/>
              <w:spacing w:before="10" w:after="10"/>
            </w:pPr>
            <w:r/>
            <w:r>
              <w:rPr>
                <w:sz w:val="16"/>
              </w:rPr>
              <w:t>12</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60</w:t>
            </w:r>
          </w:p>
        </w:tc>
        <w:tc>
          <w:tcPr>
            <w:tcW w:w="2200" w:type="dxa"/>
          </w:tcPr>
          <w:p>
            <w:pPr>
              <w:spacing w:before="10" w:after="10"/>
            </w:pPr>
            <w:r/>
            <w:r>
              <w:rPr>
                <w:sz w:val="16"/>
              </w:rPr>
              <w:t>Morocco</w:t>
            </w:r>
          </w:p>
        </w:tc>
        <w:tc>
          <w:tcPr>
            <w:tcW w:w="1000" w:type="dxa"/>
          </w:tcPr>
          <w:p>
            <w:pPr>
              <w:jc w:val="right"/>
              <w:spacing w:before="10" w:after="10"/>
            </w:pPr>
            <w:r/>
            <w:r>
              <w:rPr>
                <w:sz w:val="16"/>
              </w:rPr>
              <w:t>12</w:t>
            </w:r>
          </w:p>
        </w:tc>
        <w:tc>
          <w:tcPr>
            <w:tcW w:w="1000" w:type="dxa"/>
          </w:tcPr>
          <w:p>
            <w:pPr>
              <w:jc w:val="right"/>
              <w:spacing w:before="10" w:after="10"/>
            </w:pPr>
            <w:r/>
            <w:r>
              <w:rPr>
                <w:sz w:val="16"/>
              </w:rPr>
              <w:t>0.1</w:t>
            </w:r>
          </w:p>
        </w:tc>
        <w:tc>
          <w:tcPr>
            <w:tcW w:w="1900" w:type="dxa"/>
          </w:tcPr>
          <w:p>
            <w:pPr>
              <w:jc w:val="right"/>
              <w:spacing w:before="10" w:after="10"/>
            </w:pPr>
            <w:r/>
            <w:r>
              <w:rPr>
                <w:sz w:val="16"/>
              </w:rPr>
              <w:t>Arizton</w:t>
            </w:r>
          </w:p>
        </w:tc>
      </w:tr>
      <w:tr>
        <w:tc>
          <w:tcPr>
            <w:tcW w:w="500" w:type="dxa"/>
          </w:tcPr>
          <w:p>
            <w:pPr>
              <w:spacing w:before="10" w:after="10"/>
            </w:pPr>
            <w:r/>
            <w:r>
              <w:rPr>
                <w:sz w:val="16"/>
              </w:rPr>
              <w:t>61</w:t>
            </w:r>
          </w:p>
        </w:tc>
        <w:tc>
          <w:tcPr>
            <w:tcW w:w="2200" w:type="dxa"/>
          </w:tcPr>
          <w:p>
            <w:pPr>
              <w:spacing w:before="10" w:after="10"/>
            </w:pPr>
            <w:r/>
            <w:r>
              <w:rPr>
                <w:sz w:val="16"/>
              </w:rPr>
              <w:t>Pakistan</w:t>
            </w:r>
          </w:p>
        </w:tc>
        <w:tc>
          <w:tcPr>
            <w:tcW w:w="1000" w:type="dxa"/>
          </w:tcPr>
          <w:p>
            <w:pPr>
              <w:jc w:val="right"/>
              <w:spacing w:before="10" w:after="10"/>
            </w:pPr>
            <w:r/>
            <w:r>
              <w:rPr>
                <w:sz w:val="16"/>
              </w:rPr>
              <w:t>11</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62</w:t>
            </w:r>
          </w:p>
        </w:tc>
        <w:tc>
          <w:tcPr>
            <w:tcW w:w="2200" w:type="dxa"/>
          </w:tcPr>
          <w:p>
            <w:pPr>
              <w:spacing w:before="10" w:after="10"/>
            </w:pPr>
            <w:r/>
            <w:r>
              <w:rPr>
                <w:sz w:val="16"/>
              </w:rPr>
              <w:t>Belarus</w:t>
            </w:r>
          </w:p>
        </w:tc>
        <w:tc>
          <w:tcPr>
            <w:tcW w:w="1000" w:type="dxa"/>
          </w:tcPr>
          <w:p>
            <w:pPr>
              <w:jc w:val="right"/>
              <w:spacing w:before="10" w:after="10"/>
            </w:pPr>
            <w:r/>
            <w:r>
              <w:rPr>
                <w:sz w:val="16"/>
              </w:rPr>
              <w:t>9</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63</w:t>
            </w:r>
          </w:p>
        </w:tc>
        <w:tc>
          <w:tcPr>
            <w:tcW w:w="2200" w:type="dxa"/>
          </w:tcPr>
          <w:p>
            <w:pPr>
              <w:spacing w:before="10" w:after="10"/>
            </w:pPr>
            <w:r/>
            <w:r>
              <w:rPr>
                <w:sz w:val="16"/>
              </w:rPr>
              <w:t>Croatia</w:t>
            </w:r>
          </w:p>
        </w:tc>
        <w:tc>
          <w:tcPr>
            <w:tcW w:w="1000" w:type="dxa"/>
          </w:tcPr>
          <w:p>
            <w:pPr>
              <w:jc w:val="right"/>
              <w:spacing w:before="10" w:after="10"/>
            </w:pPr>
            <w:r/>
            <w:r>
              <w:rPr>
                <w:sz w:val="16"/>
              </w:rPr>
              <w:t>9</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64</w:t>
            </w:r>
          </w:p>
        </w:tc>
        <w:tc>
          <w:tcPr>
            <w:tcW w:w="2200" w:type="dxa"/>
          </w:tcPr>
          <w:p>
            <w:pPr>
              <w:spacing w:before="10" w:after="10"/>
            </w:pPr>
            <w:r/>
            <w:r>
              <w:rPr>
                <w:sz w:val="16"/>
              </w:rPr>
              <w:t>Qatar</w:t>
            </w:r>
          </w:p>
        </w:tc>
        <w:tc>
          <w:tcPr>
            <w:tcW w:w="1000" w:type="dxa"/>
          </w:tcPr>
          <w:p>
            <w:pPr>
              <w:jc w:val="right"/>
              <w:spacing w:before="10" w:after="10"/>
            </w:pPr>
            <w:r/>
            <w:r>
              <w:rPr>
                <w:sz w:val="16"/>
              </w:rPr>
              <w:t>8</w:t>
            </w:r>
          </w:p>
        </w:tc>
        <w:tc>
          <w:tcPr>
            <w:tcW w:w="1000" w:type="dxa"/>
          </w:tcPr>
          <w:p>
            <w:pPr>
              <w:jc w:val="right"/>
              <w:spacing w:before="10" w:after="10"/>
            </w:pPr>
            <w:r/>
            <w:r>
              <w:rPr>
                <w:sz w:val="16"/>
              </w:rPr>
              <w:t>0.1</w:t>
            </w:r>
          </w:p>
        </w:tc>
        <w:tc>
          <w:tcPr>
            <w:tcW w:w="1900" w:type="dxa"/>
          </w:tcPr>
          <w:p>
            <w:pPr>
              <w:jc w:val="right"/>
              <w:spacing w:before="10" w:after="10"/>
            </w:pPr>
            <w:r/>
            <w:r>
              <w:rPr>
                <w:sz w:val="16"/>
              </w:rPr>
              <w:t>Arizton</w:t>
            </w:r>
          </w:p>
        </w:tc>
      </w:tr>
      <w:tr>
        <w:tc>
          <w:tcPr>
            <w:tcW w:w="500" w:type="dxa"/>
          </w:tcPr>
          <w:p>
            <w:pPr>
              <w:spacing w:before="10" w:after="10"/>
            </w:pPr>
            <w:r/>
            <w:r>
              <w:rPr>
                <w:sz w:val="16"/>
              </w:rPr>
              <w:t>65</w:t>
            </w:r>
          </w:p>
        </w:tc>
        <w:tc>
          <w:tcPr>
            <w:tcW w:w="2200" w:type="dxa"/>
          </w:tcPr>
          <w:p>
            <w:pPr>
              <w:spacing w:before="10" w:after="10"/>
            </w:pPr>
            <w:r/>
            <w:r>
              <w:rPr>
                <w:sz w:val="16"/>
              </w:rPr>
              <w:t>Moldova</w:t>
            </w:r>
          </w:p>
        </w:tc>
        <w:tc>
          <w:tcPr>
            <w:tcW w:w="1000" w:type="dxa"/>
          </w:tcPr>
          <w:p>
            <w:pPr>
              <w:jc w:val="right"/>
              <w:spacing w:before="10" w:after="10"/>
            </w:pPr>
            <w:r/>
            <w:r>
              <w:rPr>
                <w:sz w:val="16"/>
              </w:rPr>
              <w:t>7</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66</w:t>
            </w:r>
          </w:p>
        </w:tc>
        <w:tc>
          <w:tcPr>
            <w:tcW w:w="2200" w:type="dxa"/>
          </w:tcPr>
          <w:p>
            <w:pPr>
              <w:spacing w:before="10" w:after="10"/>
            </w:pPr>
            <w:r/>
            <w:r>
              <w:rPr>
                <w:sz w:val="16"/>
              </w:rPr>
              <w:t>North Macedonia</w:t>
            </w:r>
          </w:p>
        </w:tc>
        <w:tc>
          <w:tcPr>
            <w:tcW w:w="1000" w:type="dxa"/>
          </w:tcPr>
          <w:p>
            <w:pPr>
              <w:jc w:val="right"/>
              <w:spacing w:before="10" w:after="10"/>
            </w:pPr>
            <w:r/>
            <w:r>
              <w:rPr>
                <w:sz w:val="16"/>
              </w:rPr>
              <w:t>6</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67</w:t>
            </w:r>
          </w:p>
        </w:tc>
        <w:tc>
          <w:tcPr>
            <w:tcW w:w="2200" w:type="dxa"/>
          </w:tcPr>
          <w:p>
            <w:pPr>
              <w:spacing w:before="10" w:after="10"/>
            </w:pPr>
            <w:r/>
            <w:r>
              <w:rPr>
                <w:sz w:val="16"/>
              </w:rPr>
              <w:t>Iceland</w:t>
            </w:r>
          </w:p>
        </w:tc>
        <w:tc>
          <w:tcPr>
            <w:tcW w:w="1000" w:type="dxa"/>
          </w:tcPr>
          <w:p>
            <w:pPr>
              <w:jc w:val="right"/>
              <w:spacing w:before="10" w:after="10"/>
            </w:pPr>
            <w:r/>
            <w:r>
              <w:rPr>
                <w:sz w:val="16"/>
              </w:rPr>
              <w:t>6</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68</w:t>
            </w:r>
          </w:p>
        </w:tc>
        <w:tc>
          <w:tcPr>
            <w:tcW w:w="2200" w:type="dxa"/>
          </w:tcPr>
          <w:p>
            <w:pPr>
              <w:spacing w:before="10" w:after="10"/>
            </w:pPr>
            <w:r/>
            <w:r>
              <w:rPr>
                <w:sz w:val="16"/>
              </w:rPr>
              <w:t>Malta</w:t>
            </w:r>
          </w:p>
        </w:tc>
        <w:tc>
          <w:tcPr>
            <w:tcW w:w="1000" w:type="dxa"/>
          </w:tcPr>
          <w:p>
            <w:pPr>
              <w:jc w:val="right"/>
              <w:spacing w:before="10" w:after="10"/>
            </w:pPr>
            <w:r/>
            <w:r>
              <w:rPr>
                <w:sz w:val="16"/>
              </w:rPr>
              <w:t>6</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69</w:t>
            </w:r>
          </w:p>
        </w:tc>
        <w:tc>
          <w:tcPr>
            <w:tcW w:w="2200" w:type="dxa"/>
          </w:tcPr>
          <w:p>
            <w:pPr>
              <w:spacing w:before="10" w:after="10"/>
            </w:pPr>
            <w:r/>
            <w:r>
              <w:rPr>
                <w:sz w:val="16"/>
              </w:rPr>
              <w:t>Cyprus</w:t>
            </w:r>
          </w:p>
        </w:tc>
        <w:tc>
          <w:tcPr>
            <w:tcW w:w="1000" w:type="dxa"/>
          </w:tcPr>
          <w:p>
            <w:pPr>
              <w:jc w:val="right"/>
              <w:spacing w:before="10" w:after="10"/>
            </w:pPr>
            <w:r/>
            <w:r>
              <w:rPr>
                <w:sz w:val="16"/>
              </w:rPr>
              <w:t>6</w:t>
            </w:r>
          </w:p>
        </w:tc>
        <w:tc>
          <w:tcPr>
            <w:tcW w:w="1000" w:type="dxa"/>
          </w:tcPr>
          <w:p>
            <w:pPr>
              <w:jc w:val="right"/>
              <w:spacing w:before="10" w:after="10"/>
            </w:pPr>
            <w:r/>
            <w:r>
              <w:rPr>
                <w:sz w:val="16"/>
              </w:rPr>
              <w:t>0.1</w:t>
            </w:r>
          </w:p>
        </w:tc>
        <w:tc>
          <w:tcPr>
            <w:tcW w:w="1900" w:type="dxa"/>
          </w:tcPr>
          <w:p>
            <w:pPr>
              <w:jc w:val="right"/>
              <w:spacing w:before="10" w:after="10"/>
            </w:pPr>
            <w:r/>
            <w:r>
              <w:rPr>
                <w:sz w:val="16"/>
              </w:rPr>
              <w:t>Cloudscene</w:t>
            </w:r>
          </w:p>
        </w:tc>
      </w:tr>
      <w:tr>
        <w:tc>
          <w:tcPr>
            <w:tcW w:w="500" w:type="dxa"/>
          </w:tcPr>
          <w:p>
            <w:pPr>
              <w:spacing w:before="10" w:after="10"/>
            </w:pPr>
            <w:r/>
            <w:r>
              <w:rPr>
                <w:sz w:val="16"/>
              </w:rPr>
              <w:t>70</w:t>
            </w:r>
          </w:p>
        </w:tc>
        <w:tc>
          <w:tcPr>
            <w:tcW w:w="2200" w:type="dxa"/>
          </w:tcPr>
          <w:p>
            <w:pPr>
              <w:spacing w:before="10" w:after="10"/>
            </w:pPr>
            <w:r/>
            <w:r>
              <w:rPr>
                <w:sz w:val="16"/>
              </w:rPr>
              <w:t>Uzbekistan</w:t>
            </w:r>
          </w:p>
        </w:tc>
        <w:tc>
          <w:tcPr>
            <w:tcW w:w="1000" w:type="dxa"/>
          </w:tcPr>
          <w:p>
            <w:pPr>
              <w:jc w:val="right"/>
              <w:spacing w:before="10" w:after="10"/>
            </w:pPr>
            <w:r/>
            <w:r>
              <w:rPr>
                <w:sz w:val="16"/>
              </w:rPr>
              <w:t>5</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W w:w="500" w:type="dxa"/>
          </w:tcPr>
          <w:p>
            <w:pPr>
              <w:spacing w:before="10" w:after="10"/>
            </w:pPr>
            <w:r/>
            <w:r>
              <w:rPr>
                <w:sz w:val="16"/>
              </w:rPr>
              <w:t>71</w:t>
            </w:r>
          </w:p>
        </w:tc>
        <w:tc>
          <w:tcPr>
            <w:tcW w:w="2200" w:type="dxa"/>
          </w:tcPr>
          <w:p>
            <w:pPr>
              <w:spacing w:before="10" w:after="10"/>
            </w:pPr>
            <w:r/>
            <w:r>
              <w:rPr>
                <w:sz w:val="16"/>
              </w:rPr>
              <w:t>Algeria</w:t>
            </w:r>
          </w:p>
        </w:tc>
        <w:tc>
          <w:tcPr>
            <w:tcW w:w="1000" w:type="dxa"/>
          </w:tcPr>
          <w:p>
            <w:pPr>
              <w:jc w:val="right"/>
              <w:spacing w:before="10" w:after="10"/>
            </w:pPr>
            <w:r/>
            <w:r>
              <w:rPr>
                <w:sz w:val="16"/>
              </w:rPr>
              <w:t>5</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72</w:t>
            </w:r>
          </w:p>
        </w:tc>
        <w:tc>
          <w:tcPr>
            <w:tcW w:w="2200" w:type="dxa"/>
          </w:tcPr>
          <w:p>
            <w:pPr>
              <w:spacing w:before="10" w:after="10"/>
            </w:pPr>
            <w:r/>
            <w:r>
              <w:rPr>
                <w:sz w:val="16"/>
              </w:rPr>
              <w:t>Georgia</w:t>
            </w:r>
          </w:p>
        </w:tc>
        <w:tc>
          <w:tcPr>
            <w:tcW w:w="1000" w:type="dxa"/>
          </w:tcPr>
          <w:p>
            <w:pPr>
              <w:jc w:val="right"/>
              <w:spacing w:before="10" w:after="10"/>
            </w:pPr>
            <w:r/>
            <w:r>
              <w:rPr>
                <w:sz w:val="16"/>
              </w:rPr>
              <w:t>4</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W w:w="500" w:type="dxa"/>
          </w:tcPr>
          <w:p>
            <w:pPr>
              <w:spacing w:before="10" w:after="10"/>
            </w:pPr>
            <w:r/>
            <w:r>
              <w:rPr>
                <w:sz w:val="16"/>
              </w:rPr>
              <w:t>73</w:t>
            </w:r>
          </w:p>
        </w:tc>
        <w:tc>
          <w:tcPr>
            <w:tcW w:w="2200" w:type="dxa"/>
          </w:tcPr>
          <w:p>
            <w:pPr>
              <w:spacing w:before="10" w:after="10"/>
            </w:pPr>
            <w:r/>
            <w:r>
              <w:rPr>
                <w:sz w:val="16"/>
              </w:rPr>
              <w:t>Ghana</w:t>
            </w:r>
          </w:p>
        </w:tc>
        <w:tc>
          <w:tcPr>
            <w:tcW w:w="1000" w:type="dxa"/>
          </w:tcPr>
          <w:p>
            <w:pPr>
              <w:jc w:val="right"/>
              <w:spacing w:before="10" w:after="10"/>
            </w:pPr>
            <w:r/>
            <w:r>
              <w:rPr>
                <w:sz w:val="16"/>
              </w:rPr>
              <w:t>3</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74</w:t>
            </w:r>
          </w:p>
        </w:tc>
        <w:tc>
          <w:tcPr>
            <w:tcW w:w="2200" w:type="dxa"/>
          </w:tcPr>
          <w:p>
            <w:pPr>
              <w:spacing w:before="10" w:after="10"/>
            </w:pPr>
            <w:r/>
            <w:r>
              <w:rPr>
                <w:sz w:val="16"/>
              </w:rPr>
              <w:t>Bosnia and Herz.</w:t>
            </w:r>
          </w:p>
        </w:tc>
        <w:tc>
          <w:tcPr>
            <w:tcW w:w="1000" w:type="dxa"/>
          </w:tcPr>
          <w:p>
            <w:pPr>
              <w:jc w:val="right"/>
              <w:spacing w:before="10" w:after="10"/>
            </w:pPr>
            <w:r/>
            <w:r>
              <w:rPr>
                <w:sz w:val="16"/>
              </w:rPr>
              <w:t>2</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W w:w="500" w:type="dxa"/>
          </w:tcPr>
          <w:p>
            <w:pPr>
              <w:spacing w:before="10" w:after="10"/>
            </w:pPr>
            <w:r/>
            <w:r>
              <w:rPr>
                <w:sz w:val="16"/>
              </w:rPr>
              <w:t>75</w:t>
            </w:r>
          </w:p>
        </w:tc>
        <w:tc>
          <w:tcPr>
            <w:tcW w:w="2200" w:type="dxa"/>
          </w:tcPr>
          <w:p>
            <w:pPr>
              <w:spacing w:before="10" w:after="10"/>
            </w:pPr>
            <w:r/>
            <w:r>
              <w:rPr>
                <w:sz w:val="16"/>
              </w:rPr>
              <w:t>Armenia</w:t>
            </w:r>
          </w:p>
        </w:tc>
        <w:tc>
          <w:tcPr>
            <w:tcW w:w="1000" w:type="dxa"/>
          </w:tcPr>
          <w:p>
            <w:pPr>
              <w:jc w:val="right"/>
              <w:spacing w:before="10" w:after="10"/>
            </w:pPr>
            <w:r/>
            <w:r>
              <w:rPr>
                <w:sz w:val="16"/>
              </w:rPr>
              <w:t>2</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76</w:t>
            </w:r>
          </w:p>
        </w:tc>
        <w:tc>
          <w:tcPr>
            <w:tcW w:w="2200" w:type="dxa"/>
          </w:tcPr>
          <w:p>
            <w:pPr>
              <w:spacing w:before="10" w:after="10"/>
            </w:pPr>
            <w:r/>
            <w:r>
              <w:rPr>
                <w:sz w:val="16"/>
              </w:rPr>
              <w:t>Iran</w:t>
            </w:r>
          </w:p>
        </w:tc>
        <w:tc>
          <w:tcPr>
            <w:tcW w:w="1000" w:type="dxa"/>
          </w:tcPr>
          <w:p>
            <w:pPr>
              <w:jc w:val="right"/>
              <w:spacing w:before="10" w:after="10"/>
            </w:pPr>
            <w:r/>
            <w:r>
              <w:rPr>
                <w:sz w:val="16"/>
              </w:rPr>
              <w:t>2</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W w:w="500" w:type="dxa"/>
          </w:tcPr>
          <w:p>
            <w:pPr>
              <w:spacing w:before="10" w:after="10"/>
            </w:pPr>
            <w:r/>
            <w:r>
              <w:rPr>
                <w:sz w:val="16"/>
              </w:rPr>
              <w:t>77</w:t>
            </w:r>
          </w:p>
        </w:tc>
        <w:tc>
          <w:tcPr>
            <w:tcW w:w="2200" w:type="dxa"/>
          </w:tcPr>
          <w:p>
            <w:pPr>
              <w:spacing w:before="10" w:after="10"/>
            </w:pPr>
            <w:r/>
            <w:r>
              <w:rPr>
                <w:sz w:val="16"/>
              </w:rPr>
              <w:t>Ethiopia</w:t>
            </w:r>
          </w:p>
        </w:tc>
        <w:tc>
          <w:tcPr>
            <w:tcW w:w="1000" w:type="dxa"/>
          </w:tcPr>
          <w:p>
            <w:pPr>
              <w:jc w:val="right"/>
              <w:spacing w:before="10" w:after="10"/>
            </w:pPr>
            <w:r/>
            <w:r>
              <w:rPr>
                <w:sz w:val="16"/>
              </w:rPr>
              <w:t>2</w:t>
            </w:r>
          </w:p>
        </w:tc>
        <w:tc>
          <w:tcPr>
            <w:tcW w:w="1000" w:type="dxa"/>
          </w:tcPr>
          <w:p>
            <w:pPr>
              <w:jc w:val="right"/>
              <w:spacing w:before="10" w:after="10"/>
            </w:pPr>
            <w:r/>
            <w:r>
              <w:rPr>
                <w:sz w:val="16"/>
              </w:rPr>
              <w:t>0.0</w:t>
            </w:r>
          </w:p>
        </w:tc>
        <w:tc>
          <w:tcPr>
            <w:tcW w:w="1900" w:type="dxa"/>
          </w:tcPr>
          <w:p>
            <w:pPr>
              <w:jc w:val="right"/>
              <w:spacing w:before="10" w:after="10"/>
            </w:pPr>
            <w:r/>
            <w:r>
              <w:rPr>
                <w:sz w:val="16"/>
              </w:rPr>
              <w:t>Arizton</w:t>
            </w:r>
          </w:p>
        </w:tc>
      </w:tr>
      <w:tr>
        <w:tc>
          <w:tcPr>
            <w:tcW w:w="500" w:type="dxa"/>
          </w:tcPr>
          <w:p>
            <w:pPr>
              <w:spacing w:before="10" w:after="10"/>
            </w:pPr>
            <w:r/>
            <w:r>
              <w:rPr>
                <w:sz w:val="16"/>
              </w:rPr>
              <w:t>78</w:t>
            </w:r>
          </w:p>
        </w:tc>
        <w:tc>
          <w:tcPr>
            <w:tcW w:w="2200" w:type="dxa"/>
          </w:tcPr>
          <w:p>
            <w:pPr>
              <w:spacing w:before="10" w:after="10"/>
            </w:pPr>
            <w:r/>
            <w:r>
              <w:rPr>
                <w:sz w:val="16"/>
              </w:rPr>
              <w:t>Senegal</w:t>
            </w:r>
          </w:p>
        </w:tc>
        <w:tc>
          <w:tcPr>
            <w:tcW w:w="1000" w:type="dxa"/>
          </w:tcPr>
          <w:p>
            <w:pPr>
              <w:jc w:val="right"/>
              <w:spacing w:before="10" w:after="10"/>
            </w:pPr>
            <w:r/>
            <w:r>
              <w:rPr>
                <w:sz w:val="16"/>
              </w:rPr>
              <w:t>2</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79</w:t>
            </w:r>
          </w:p>
        </w:tc>
        <w:tc>
          <w:tcPr>
            <w:tcW w:w="2200" w:type="dxa"/>
          </w:tcPr>
          <w:p>
            <w:pPr>
              <w:spacing w:before="10" w:after="10"/>
            </w:pPr>
            <w:r/>
            <w:r>
              <w:rPr>
                <w:sz w:val="16"/>
              </w:rPr>
              <w:t>Turkmenistan</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80</w:t>
            </w:r>
          </w:p>
        </w:tc>
        <w:tc>
          <w:tcPr>
            <w:tcW w:w="2200" w:type="dxa"/>
          </w:tcPr>
          <w:p>
            <w:pPr>
              <w:spacing w:before="10" w:after="10"/>
            </w:pPr>
            <w:r/>
            <w:r>
              <w:rPr>
                <w:sz w:val="16"/>
              </w:rPr>
              <w:t>Kyrgyzstan</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81</w:t>
            </w:r>
          </w:p>
        </w:tc>
        <w:tc>
          <w:tcPr>
            <w:tcW w:w="2200" w:type="dxa"/>
          </w:tcPr>
          <w:p>
            <w:pPr>
              <w:spacing w:before="10" w:after="10"/>
            </w:pPr>
            <w:r/>
            <w:r>
              <w:rPr>
                <w:sz w:val="16"/>
              </w:rPr>
              <w:t>Kosovo</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82</w:t>
            </w:r>
          </w:p>
        </w:tc>
        <w:tc>
          <w:tcPr>
            <w:tcW w:w="2200" w:type="dxa"/>
          </w:tcPr>
          <w:p>
            <w:pPr>
              <w:spacing w:before="10" w:after="10"/>
            </w:pPr>
            <w:r/>
            <w:r>
              <w:rPr>
                <w:sz w:val="16"/>
              </w:rPr>
              <w:t>Tajikistan</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83</w:t>
            </w:r>
          </w:p>
        </w:tc>
        <w:tc>
          <w:tcPr>
            <w:tcW w:w="2200" w:type="dxa"/>
          </w:tcPr>
          <w:p>
            <w:pPr>
              <w:spacing w:before="10" w:after="10"/>
            </w:pPr>
            <w:r/>
            <w:r>
              <w:rPr>
                <w:sz w:val="16"/>
              </w:rPr>
              <w:t>Montenegro</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DCMap est.</w:t>
            </w:r>
          </w:p>
        </w:tc>
      </w:tr>
      <w:tr>
        <w:tc>
          <w:tcPr>
            <w:tcW w:w="500" w:type="dxa"/>
          </w:tcPr>
          <w:p>
            <w:pPr>
              <w:spacing w:before="10" w:after="10"/>
            </w:pPr>
            <w:r/>
            <w:r>
              <w:rPr>
                <w:sz w:val="16"/>
              </w:rPr>
              <w:t>84</w:t>
            </w:r>
          </w:p>
        </w:tc>
        <w:tc>
          <w:tcPr>
            <w:tcW w:w="2200" w:type="dxa"/>
          </w:tcPr>
          <w:p>
            <w:pPr>
              <w:spacing w:before="10" w:after="10"/>
            </w:pPr>
            <w:r/>
            <w:r>
              <w:rPr>
                <w:sz w:val="16"/>
              </w:rPr>
              <w:t>Azerbaijan</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W w:w="500" w:type="dxa"/>
          </w:tcPr>
          <w:p>
            <w:pPr>
              <w:spacing w:before="10" w:after="10"/>
            </w:pPr>
            <w:r/>
            <w:r>
              <w:rPr>
                <w:sz w:val="16"/>
              </w:rPr>
              <w:t>85</w:t>
            </w:r>
          </w:p>
        </w:tc>
        <w:tc>
          <w:tcPr>
            <w:tcW w:w="2200" w:type="dxa"/>
          </w:tcPr>
          <w:p>
            <w:pPr>
              <w:spacing w:before="10" w:after="10"/>
            </w:pPr>
            <w:r/>
            <w:r>
              <w:rPr>
                <w:sz w:val="16"/>
              </w:rPr>
              <w:t>Albania</w:t>
            </w:r>
          </w:p>
        </w:tc>
        <w:tc>
          <w:tcPr>
            <w:tcW w:w="1000" w:type="dxa"/>
          </w:tcPr>
          <w:p>
            <w:pPr>
              <w:jc w:val="right"/>
              <w:spacing w:before="10" w:after="10"/>
            </w:pPr>
            <w:r/>
            <w:r>
              <w:rPr>
                <w:sz w:val="16"/>
              </w:rPr>
              <w:t>1</w:t>
            </w:r>
          </w:p>
        </w:tc>
        <w:tc>
          <w:tcPr>
            <w:tcW w:w="1000" w:type="dxa"/>
          </w:tcPr>
          <w:p>
            <w:pPr>
              <w:jc w:val="right"/>
              <w:spacing w:before="10" w:after="10"/>
            </w:pPr>
            <w:r/>
            <w:r>
              <w:rPr>
                <w:sz w:val="16"/>
              </w:rPr>
              <w:t>0.0</w:t>
            </w:r>
          </w:p>
        </w:tc>
        <w:tc>
          <w:tcPr>
            <w:tcW w:w="1900" w:type="dxa"/>
          </w:tcPr>
          <w:p>
            <w:pPr>
              <w:jc w:val="right"/>
              <w:spacing w:before="10" w:after="10"/>
            </w:pPr>
            <w:r/>
            <w:r>
              <w:rPr>
                <w:sz w:val="16"/>
              </w:rPr>
              <w:t>Cloudscene</w:t>
            </w:r>
          </w:p>
        </w:tc>
      </w:tr>
      <w:tr>
        <w:tc>
          <w:tcPr>
            <w:tcBorders>
              <w:bottom w:val="single" w:sz="4" w:space="0" w:color="auto"/>
            </w:tcBorders>
            <w:tcW w:w="500" w:type="dxa"/>
          </w:tcPr>
          <w:p>
            <w:pPr>
              <w:spacing w:before="10" w:after="10"/>
            </w:pPr>
            <w:r/>
            <w:r>
              <w:rPr>
                <w:sz w:val="16"/>
              </w:rPr>
              <w:t>86</w:t>
            </w:r>
          </w:p>
        </w:tc>
        <w:tc>
          <w:tcPr>
            <w:tcBorders>
              <w:bottom w:val="single" w:sz="4" w:space="0" w:color="auto"/>
            </w:tcBorders>
            <w:tcW w:w="2200" w:type="dxa"/>
          </w:tcPr>
          <w:p>
            <w:pPr>
              <w:spacing w:before="10" w:after="10"/>
            </w:pPr>
            <w:r/>
            <w:r>
              <w:rPr>
                <w:sz w:val="16"/>
              </w:rPr>
              <w:t>Greenland</w:t>
            </w:r>
          </w:p>
        </w:tc>
        <w:tc>
          <w:tcPr>
            <w:tcBorders>
              <w:bottom w:val="single" w:sz="4" w:space="0" w:color="auto"/>
            </w:tcBorders>
            <w:tcW w:w="1000" w:type="dxa"/>
          </w:tcPr>
          <w:p>
            <w:pPr>
              <w:jc w:val="right"/>
              <w:spacing w:before="10" w:after="10"/>
            </w:pPr>
            <w:r/>
            <w:r>
              <w:rPr>
                <w:sz w:val="16"/>
              </w:rPr>
              <w:t>1</w:t>
            </w:r>
          </w:p>
        </w:tc>
        <w:tc>
          <w:tcPr>
            <w:tcBorders>
              <w:bottom w:val="single" w:sz="4" w:space="0" w:color="auto"/>
            </w:tcBorders>
            <w:tcW w:w="1000" w:type="dxa"/>
          </w:tcPr>
          <w:p>
            <w:pPr>
              <w:jc w:val="right"/>
              <w:spacing w:before="10" w:after="10"/>
            </w:pPr>
            <w:r/>
            <w:r>
              <w:rPr>
                <w:sz w:val="16"/>
              </w:rPr>
              <w:t>0.0</w:t>
            </w:r>
          </w:p>
        </w:tc>
        <w:tc>
          <w:tcPr>
            <w:tcBorders>
              <w:bottom w:val="single" w:sz="4" w:space="0" w:color="auto"/>
            </w:tcBorders>
            <w:tcW w:w="1900" w:type="dxa"/>
          </w:tcPr>
          <w:p>
            <w:pPr>
              <w:jc w:val="right"/>
              <w:spacing w:before="10" w:after="10"/>
            </w:pPr>
            <w:r/>
            <w:r>
              <w:rPr>
                <w:sz w:val="16"/>
              </w:rPr>
              <w:t>DCMap est.</w:t>
            </w:r>
          </w:p>
        </w:tc>
      </w:tr>
    </w:tbl>
    <w:p>
      <w:pPr>
        <w:spacing w:before="0" w:after="0"/>
        <w:ind w:firstLine="0"/>
        <w:jc w:val="both"/>
      </w:pPr>
      <w:r>
        <w:rPr>
          <w:b/>
          <w:sz w:val="15"/>
        </w:rPr>
        <w:t xml:space="preserve">Notes: </w:t>
      </w:r>
      <w:r>
        <w:rPr>
          <w:sz w:val="15"/>
        </w:rPr>
        <w:t xml:space="preserve">Rank = rank by number of data center facilities (descending). Data Centers (DCₖ in the model) = number of colocation and enterprise data center facilities. Demand Share (ωₖ in the model) = country share of global compute demand from equation (5): ωₖ = DCₖ / Σ DC. Source = primary data source for the facility count (Cloudscene = Cargoson/</w:t>
      </w:r>
      <w:bookmarkStart w:id="226" w:name="Cloudscene2025txt"/>
      <w:hyperlink w:anchor="Cloudscene2025" w:history="1">
        <w:r>
          <w:rPr>
            <w:sz w:val="15"/>
            <w:color w:val="1F3864"/>
            <w:u w:val="single"/>
          </w:rPr>
          <w:t xml:space="preserve">Cloudscene 2025</w:t>
        </w:r>
      </w:hyperlink>
      <w:bookmarkEnd w:id="226"/>
      <w:r>
        <w:rPr>
          <w:sz w:val="15"/>
        </w:rPr>
        <w:t xml:space="preserve"> directory; Arizton = Arizton MEA Portfolio 2024; DCMap est. = DataCenterMap estimate).</w:t>
      </w:r>
    </w:p>
    <w:p>
      <w:pPr>
        <w:spacing w:before="0" w:after="0"/>
        <w:ind w:firstLine="0"/>
        <w:jc w:val="both"/>
      </w:pPr>
      <w:r>
        <w:rPr>
          <w:b/>
          <w:sz w:val="15"/>
        </w:rPr>
        <w:t xml:space="preserve">Notes: </w:t>
      </w:r>
      <w:r>
        <w:rPr>
          <w:sz w:val="15"/>
        </w:rPr>
        <w:t>Rank = cost rank; parenthetical shows adjusted rank after replacing subsidized electricity prices with cost-recovery estimates. Total Cost (cⱼ in the model) = hourly cost of operating one H100 GPU, equal to electricity + amortized hardware at $1.06/hr + amortized construction. Electricity Cost = hourly electricity component (PUE × GPU power draw × price). Construction Cost = amortized hourly data center construction cost. PUE = Power Usage Effectiveness from equation (1); PUE(θⱼ) = φ + δ · max(0, θⱼ − θ̄). Elec. Price (pᴱ in the model) = national electricity price for industrial/data center consumers. Cost-Recov. Price = estimated long-run marginal cost of electricity generation for the 13 countries with subsidized electricity; — for unsubsidized countries. Pure-Cost Regime = optimal sourcing strategy from equation (4) without sovereignty premium: domestic (produce both services), hybrid (import training, produce inference), or import (import both).</w:t>
      </w:r>
    </w:p>
    <w:p>
      <w:pPr>
        <w:spacing w:before="0" w:after="0"/>
      </w:pPr>
      <w:r>
        <w:br w:type="page"/>
      </w:r>
    </w:p>
    <w:p>
      <w:pPr>
        <w:pStyle w:val="Heading1"/>
      </w:pPr>
      <w:r>
        <w:rPr>
          <w:rFonts w:ascii="Times New Roman" w:hAnsi="Times New Roman"/>
          <w:color w:val="2F5496"/>
        </w:rPr>
        <w:t>References</w:t>
      </w:r>
    </w:p>
    <w:p>
      <w:pPr>
        <w:spacing w:before="0" w:after="80" w:line="240" w:lineRule="auto"/>
        <w:ind w:hanging="720" w:left="720"/>
        <w:jc w:val="both"/>
      </w:pPr>
      <w:bookmarkStart w:id="500"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0"/>
    </w:p>
    <w:p>
      <w:pPr>
        <w:spacing w:before="0" w:after="80" w:line="240" w:lineRule="auto"/>
        <w:ind w:hanging="720" w:left="720"/>
        <w:jc w:val="both"/>
      </w:pPr>
      <w:bookmarkStart w:id="501"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1"/>
    </w:p>
    <w:p>
      <w:pPr>
        <w:spacing w:before="0" w:after="80" w:line="240" w:lineRule="auto"/>
        <w:ind w:hanging="720" w:left="720"/>
        <w:jc w:val="both"/>
      </w:pPr>
      <w:bookmarkStart w:id="502" w:name="Deloitte2020"/>
      <w:r>
        <w:rPr>
          <w:color w:val="1F3864"/>
          <w:u w:val="single"/>
        </w:rPr>
        <w:t xml:space="preserve">Deloitte and Google. (2020). </w:t>
      </w:r>
      <w:r>
        <w:t>“Milliseconds Make Millions.” Deloitte Digital and Google.</w:t>
      </w:r>
      <w:bookmarkEnd w:id="502"/>
    </w:p>
    <w:p>
      <w:pPr>
        <w:spacing w:before="0" w:after="80" w:line="240" w:lineRule="auto"/>
        <w:ind w:hanging="720" w:left="720"/>
        <w:jc w:val="both"/>
      </w:pPr>
      <w:bookmarkStart w:id="503"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3"/>
    </w:p>
    <w:p>
      <w:pPr>
        <w:spacing w:before="0" w:after="80" w:line="240" w:lineRule="auto"/>
        <w:ind w:hanging="720" w:left="720"/>
        <w:jc w:val="both"/>
      </w:pPr>
      <w:bookmarkStart w:id="504"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04"/>
    </w:p>
    <w:p>
      <w:pPr>
        <w:spacing w:before="0" w:after="80" w:line="240" w:lineRule="auto"/>
        <w:ind w:hanging="720" w:left="720"/>
        <w:jc w:val="both"/>
      </w:pPr>
      <w:bookmarkStart w:id="505" w:name="EpochAI2024"/>
      <w:hyperlink w:anchor="EpochAI2024txt" w:history="1">
        <w:r>
          <w:rPr>
            <w:color w:val="1F3864"/>
            <w:u w:val="single"/>
          </w:rPr>
          <w:t xml:space="preserve">Epoch AI. (2024). </w:t>
        </w:r>
      </w:hyperlink>
      <w:r>
        <w:t>“The Training Compute of Notable AI Models.” epochai.org.</w:t>
      </w:r>
      <w:bookmarkEnd w:id="505"/>
    </w:p>
    <w:p>
      <w:pPr>
        <w:spacing w:before="0" w:after="80" w:line="240" w:lineRule="auto"/>
        <w:ind w:hanging="720" w:left="720"/>
        <w:jc w:val="both"/>
      </w:pPr>
      <w:bookmarkStart w:id="506" w:name="EPRI2024"/>
      <w:hyperlink w:anchor="EPRI2024txt" w:history="1">
        <w:r>
          <w:rPr>
            <w:color w:val="1F3864"/>
            <w:u w:val="single"/>
          </w:rPr>
          <w:t xml:space="preserve">EPRI. (2024). </w:t>
        </w:r>
      </w:hyperlink>
      <w:r>
        <w:t>“Powering Intelligence: Analyzing AI and Data Center Energy Consumption.” Electric Power Research Institute.</w:t>
      </w:r>
      <w:bookmarkEnd w:id="506"/>
    </w:p>
    <w:p>
      <w:pPr>
        <w:spacing w:before="0" w:after="80" w:line="240" w:lineRule="auto"/>
        <w:ind w:hanging="720" w:left="720"/>
        <w:jc w:val="both"/>
      </w:pPr>
      <w:bookmarkStart w:id="507"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07"/>
    </w:p>
    <w:p>
      <w:pPr>
        <w:spacing w:before="0" w:after="80" w:line="240" w:lineRule="auto"/>
        <w:ind w:hanging="720" w:left="720"/>
        <w:jc w:val="both"/>
      </w:pPr>
      <w:bookmarkStart w:id="508"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08"/>
    </w:p>
    <w:p>
      <w:pPr>
        <w:spacing w:before="0" w:after="80" w:line="240" w:lineRule="auto"/>
        <w:ind w:hanging="720" w:left="720"/>
        <w:jc w:val="both"/>
      </w:pPr>
      <w:bookmarkStart w:id="509" w:name="Flucker2013"/>
      <w:hyperlink w:anchor="Flucker2013txt" w:history="1">
        <w:r>
          <w:rPr>
            <w:color w:val="1F3864"/>
            <w:u w:val="single"/>
          </w:rPr>
          <w:t xml:space="preserve">Flucker, S., R. Tozer, and R. Whitehead. (2013). </w:t>
        </w:r>
      </w:hyperlink>
      <w:r>
        <w:t xml:space="preserve">“Data Centre Energy Efficiency Analysis.” </w:t>
      </w:r>
      <w:r>
        <w:rPr>
          <w:i/>
        </w:rPr>
        <w:t>Building Services Engineering Research and Technology</w:t>
      </w:r>
      <w:r>
        <w:t>, 34(1): 103–117.</w:t>
      </w:r>
      <w:bookmarkEnd w:id="509"/>
    </w:p>
    <w:p>
      <w:pPr>
        <w:spacing w:before="0" w:after="80" w:line="240" w:lineRule="auto"/>
        <w:ind w:hanging="720" w:left="720"/>
        <w:jc w:val="both"/>
      </w:pPr>
      <w:bookmarkStart w:id="510"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0"/>
    </w:p>
    <w:p>
      <w:pPr>
        <w:spacing w:before="0" w:after="80" w:line="240" w:lineRule="auto"/>
        <w:ind w:hanging="720" w:left="720"/>
        <w:jc w:val="both"/>
      </w:pPr>
      <w:bookmarkStart w:id="511"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1"/>
    </w:p>
    <w:p>
      <w:pPr>
        <w:spacing w:before="0" w:after="80" w:line="240" w:lineRule="auto"/>
        <w:ind w:hanging="720" w:left="720"/>
        <w:jc w:val="both"/>
      </w:pPr>
      <w:bookmarkStart w:id="512" w:name="Grossman2008"/>
      <w:hyperlink w:anchor="Grossman2008txt" w:history="1">
        <w:r>
          <w:rPr>
            <w:color w:val="1F3864"/>
            <w:u w:val="single"/>
          </w:rPr>
          <w:t xml:space="preserve">Grossman, G., and E. Rossi-Hansberg. (2008). </w:t>
        </w:r>
      </w:hyperlink>
      <w:r>
        <w:t xml:space="preserve">“Trading Tasks: A Simple Theory of Offshoring.” </w:t>
      </w:r>
      <w:r>
        <w:rPr>
          <w:i/>
        </w:rPr>
        <w:t>American Economic Review</w:t>
      </w:r>
      <w:r>
        <w:t>, 98(5): 1978–1997.</w:t>
      </w:r>
      <w:bookmarkEnd w:id="512"/>
    </w:p>
    <w:p>
      <w:pPr>
        <w:spacing w:before="0" w:after="80" w:line="240" w:lineRule="auto"/>
        <w:ind w:hanging="720" w:left="720"/>
        <w:jc w:val="both"/>
      </w:pPr>
      <w:bookmarkStart w:id="513"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3"/>
    </w:p>
    <w:p>
      <w:pPr>
        <w:spacing w:before="0" w:after="80" w:line="240" w:lineRule="auto"/>
        <w:ind w:hanging="720" w:left="720"/>
        <w:jc w:val="both"/>
      </w:pPr>
      <w:bookmarkStart w:id="514"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14"/>
    </w:p>
    <w:p>
      <w:pPr>
        <w:spacing w:before="0" w:after="80" w:line="240" w:lineRule="auto"/>
        <w:ind w:hanging="720" w:left="720"/>
        <w:jc w:val="both"/>
      </w:pPr>
      <w:bookmarkStart w:id="515"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15"/>
    </w:p>
    <w:p>
      <w:pPr>
        <w:spacing w:before="0" w:after="80" w:line="240" w:lineRule="auto"/>
        <w:ind w:hanging="720" w:left="720"/>
        <w:jc w:val="both"/>
      </w:pPr>
      <w:bookmarkStart w:id="516"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16"/>
    </w:p>
    <w:p>
      <w:pPr>
        <w:spacing w:before="0" w:after="80" w:line="240" w:lineRule="auto"/>
        <w:ind w:hanging="720" w:left="720"/>
        <w:jc w:val="both"/>
      </w:pPr>
      <w:bookmarkStart w:id="517" w:name="IEA2025"/>
      <w:hyperlink w:anchor="IEA2025txt" w:history="1">
        <w:r>
          <w:rPr>
            <w:color w:val="1F3864"/>
            <w:u w:val="single"/>
          </w:rPr>
          <w:t xml:space="preserve">IEA. (2025). </w:t>
        </w:r>
      </w:hyperlink>
      <w:r>
        <w:t>“Energy Demand from AI.” Published online at iea.org.</w:t>
      </w:r>
      <w:bookmarkEnd w:id="517"/>
    </w:p>
    <w:p>
      <w:pPr>
        <w:spacing w:before="0" w:after="80" w:line="240" w:lineRule="auto"/>
        <w:ind w:hanging="720" w:left="720"/>
        <w:jc w:val="both"/>
      </w:pPr>
      <w:bookmarkStart w:id="518"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18"/>
    </w:p>
    <w:p>
      <w:pPr>
        <w:spacing w:before="0" w:after="80" w:line="240" w:lineRule="auto"/>
        <w:ind w:hanging="720" w:left="720"/>
        <w:jc w:val="both"/>
      </w:pPr>
      <w:bookmarkStart w:id="519"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19"/>
    </w:p>
    <w:p>
      <w:pPr>
        <w:spacing w:before="0" w:after="80" w:line="240" w:lineRule="auto"/>
        <w:ind w:hanging="720" w:left="720"/>
        <w:jc w:val="both"/>
      </w:pPr>
      <w:bookmarkStart w:id="520"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0"/>
    </w:p>
    <w:p>
      <w:pPr>
        <w:spacing w:before="0" w:after="80" w:line="240" w:lineRule="auto"/>
        <w:ind w:hanging="720" w:left="720"/>
        <w:jc w:val="both"/>
      </w:pPr>
      <w:bookmarkStart w:id="521"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1"/>
    </w:p>
    <w:p>
      <w:pPr>
        <w:spacing w:before="0" w:after="80" w:line="240" w:lineRule="auto"/>
        <w:ind w:hanging="720" w:left="720"/>
        <w:jc w:val="both"/>
      </w:pPr>
      <w:bookmarkStart w:id="522"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2"/>
    </w:p>
    <w:p>
      <w:pPr>
        <w:spacing w:before="0" w:after="80" w:line="240" w:lineRule="auto"/>
        <w:ind w:hanging="720" w:left="720"/>
        <w:jc w:val="both"/>
      </w:pPr>
      <w:bookmarkStart w:id="523"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27" w:name="WorldBank2024txt"/>
      <w:hyperlink w:anchor="WorldBank2024" w:history="1">
        <w:r>
          <w:rPr>
            <w:i/>
            <w:color w:val="1F3864"/>
            <w:u w:val="single"/>
          </w:rPr>
          <w:t xml:space="preserve">World Bank</w:t>
        </w:r>
      </w:hyperlink>
      <w:bookmarkEnd w:id="227"/>
      <w:r>
        <w:rPr>
          <w:i/>
        </w:rPr>
        <w:t xml:space="preserve"> Economic Review</w:t>
      </w:r>
      <w:r>
        <w:t>, 15(3): 451–479.</w:t>
      </w:r>
      <w:bookmarkEnd w:id="523"/>
    </w:p>
    <w:p>
      <w:pPr>
        <w:spacing w:before="0" w:after="80" w:line="240" w:lineRule="auto"/>
        <w:ind w:hanging="720" w:left="720"/>
        <w:jc w:val="both"/>
      </w:pPr>
      <w:bookmarkStart w:id="524"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4"/>
    </w:p>
    <w:p>
      <w:pPr>
        <w:spacing w:before="0" w:after="80" w:line="240" w:lineRule="auto"/>
        <w:ind w:hanging="720" w:left="720"/>
        <w:jc w:val="both"/>
      </w:pPr>
      <w:bookmarkStart w:id="525" w:name="NVIDIA2024"/>
      <w:hyperlink w:anchor="NVIDIA2024txt" w:history="1">
        <w:r>
          <w:rPr>
            <w:color w:val="1F3864"/>
            <w:u w:val="single"/>
          </w:rPr>
          <w:t xml:space="preserve">NVIDIA. </w:t>
        </w:r>
      </w:hyperlink>
      <w:r>
        <w:t xml:space="preserve">(2024). </w:t>
      </w:r>
      <w:r>
        <w:rPr>
          <w:i/>
        </w:rPr>
        <w:t>NVIDIA H100 Tensor Core GPU Datasheet</w:t>
      </w:r>
      <w:r>
        <w:t>. nvidia.com.</w:t>
      </w:r>
      <w:bookmarkEnd w:id="525"/>
    </w:p>
    <w:p>
      <w:pPr>
        <w:spacing w:before="0" w:after="80" w:line="240" w:lineRule="auto"/>
        <w:ind w:hanging="720" w:left="720"/>
        <w:jc w:val="both"/>
      </w:pPr>
      <w:bookmarkStart w:id="526" w:name="Oltmanns2021"/>
      <w:hyperlink w:anchor="Oltmanns2021txt" w:history="1">
        <w:r>
          <w:rPr>
            <w:color w:val="1F3864"/>
            <w:u w:val="single"/>
          </w:rPr>
          <w:t xml:space="preserve">Oltmanns, J., D. Krcmarik, and R. Gatti. (2021). </w:t>
        </w:r>
      </w:hyperlink>
      <w:r>
        <w:t xml:space="preserve">“Data Centre Site Selection.” </w:t>
      </w:r>
      <w:r>
        <w:rPr>
          <w:i/>
        </w:rPr>
        <w:t>Journal of Property Investment &amp; Finance</w:t>
      </w:r>
      <w:r>
        <w:t>, 39(1): 55–72.</w:t>
      </w:r>
      <w:bookmarkEnd w:id="526"/>
    </w:p>
    <w:p>
      <w:pPr>
        <w:spacing w:before="0" w:after="80" w:line="240" w:lineRule="auto"/>
        <w:ind w:hanging="720" w:left="720"/>
        <w:jc w:val="both"/>
      </w:pPr>
      <w:bookmarkStart w:id="527"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27"/>
    </w:p>
    <w:p>
      <w:pPr>
        <w:spacing w:before="0" w:after="80" w:line="240" w:lineRule="auto"/>
        <w:ind w:hanging="720" w:left="720"/>
        <w:jc w:val="both"/>
      </w:pPr>
      <w:bookmarkStart w:id="528" w:name="Sastry2024"/>
      <w:hyperlink w:anchor="Sastry2024txt" w:history="1">
        <w:r>
          <w:rPr>
            <w:color w:val="1F3864"/>
            <w:u w:val="single"/>
          </w:rPr>
          <w:t xml:space="preserve">Sastry, G., L. Heim, et al. (2024). </w:t>
        </w:r>
      </w:hyperlink>
      <w:r>
        <w:t>“Computing Power and the Governance of Artificial Intelligence.” arXiv:2402.08797.</w:t>
      </w:r>
      <w:bookmarkEnd w:id="528"/>
    </w:p>
    <w:p>
      <w:pPr>
        <w:spacing w:before="0" w:after="80" w:line="240" w:lineRule="auto"/>
        <w:ind w:hanging="720" w:left="720"/>
        <w:jc w:val="both"/>
      </w:pPr>
      <w:bookmarkStart w:id="529"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29"/>
    </w:p>
    <w:p>
      <w:pPr>
        <w:spacing w:before="0" w:after="80" w:line="240" w:lineRule="auto"/>
        <w:ind w:hanging="720" w:left="720"/>
        <w:jc w:val="both"/>
      </w:pPr>
      <w:bookmarkStart w:id="530" w:name="DOJFTC2010"/>
      <w:hyperlink w:anchor="DOJFTC2010txt" w:history="1">
        <w:r>
          <w:rPr>
            <w:color w:val="1F3864"/>
            <w:u w:val="single"/>
          </w:rPr>
          <w:t xml:space="preserve">U.S. Department of Justice and Federal Trade Commission. </w:t>
        </w:r>
      </w:hyperlink>
      <w:r>
        <w:t xml:space="preserve">(2010). </w:t>
      </w:r>
      <w:r>
        <w:rPr>
          <w:i/>
        </w:rPr>
        <w:t>Horizontal Merger Guidelines</w:t>
      </w:r>
      <w:r>
        <w:t>. Washington, DC.</w:t>
      </w:r>
      <w:bookmarkEnd w:id="530"/>
    </w:p>
    <w:p>
      <w:pPr>
        <w:spacing w:before="0" w:after="80" w:line="240" w:lineRule="auto"/>
        <w:ind w:hanging="720" w:left="720"/>
        <w:jc w:val="both"/>
      </w:pPr>
      <w:bookmarkStart w:id="531" w:name="UNCTAD2025"/>
      <w:r>
        <w:rPr>
          <w:color w:val="1F3864"/>
          <w:u w:val="single"/>
        </w:rPr>
        <w:t xml:space="preserve">UNCTAD. </w:t>
      </w:r>
      <w:r>
        <w:t xml:space="preserve">(2025). </w:t>
      </w:r>
      <w:r>
        <w:rPr>
          <w:i/>
        </w:rPr>
        <w:t>Technology and Innovation Report 2025</w:t>
      </w:r>
      <w:r>
        <w:t>. Geneva: United Nations.</w:t>
      </w:r>
      <w:bookmarkEnd w:id="531"/>
    </w:p>
    <w:p>
      <w:pPr>
        <w:spacing w:before="0" w:after="80" w:line="240" w:lineRule="auto"/>
        <w:ind w:hanging="720" w:left="720"/>
        <w:jc w:val="both"/>
      </w:pPr>
      <w:bookmarkStart w:id="532" w:name="UptimeInstitute2024"/>
      <w:hyperlink w:anchor="UptimeInstitute2024txt" w:history="1">
        <w:r>
          <w:rPr>
            <w:color w:val="1F3864"/>
            <w:u w:val="single"/>
          </w:rPr>
          <w:t xml:space="preserve">Uptime Institute. (2024). </w:t>
        </w:r>
      </w:hyperlink>
      <w:r>
        <w:t>“Data Center Staffing: Trends and Best Practices.”</w:t>
      </w:r>
      <w:bookmarkEnd w:id="532"/>
    </w:p>
    <w:p>
      <w:pPr>
        <w:spacing w:before="0" w:after="80" w:line="240" w:lineRule="auto"/>
        <w:ind w:hanging="720" w:left="720"/>
        <w:jc w:val="both"/>
      </w:pPr>
      <w:bookmarkStart w:id="53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33"/>
    </w:p>
    <w:p>
      <w:pPr>
        <w:spacing w:before="0" w:after="80" w:line="240" w:lineRule="auto"/>
        <w:ind w:hanging="720" w:left="720"/>
        <w:jc w:val="both"/>
      </w:pPr>
      <w:bookmarkStart w:id="534"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34"/>
    </w:p>
    <w:sectPr w:rsidR="00FC693F" w:rsidRPr="0006063C" w:rsidSect="00034616">
      <w:footerReference w:type="default" r:id="rId10"/>
      <w:footerReference w:type="first" r:id="rId11"/>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authors and do not necessarily represent the views of their employers including the World Bank, its Executive Directors, or the countries they represent. Michael Lokshin: mlokshin@worldbank.org</w:t>
      </w:r>
    </w:p>
  </w:footnote>
  <w:footnote w:id="2">
    <w:p>
      <w:pPr>
        <w:pStyle w:val="FootnoteText"/>
      </w:pPr>
      <w:r>
        <w:rPr>
          <w:rStyle w:val="FootnoteReference"/>
        </w:rPr>
        <w:footnoteRef/>
      </w:r>
      <w:r>
        <w:t xml:space="preserve"> Based on Epoch AI’s dataset of 225 notable training runs; growth has accelerated since 2020.</w:t>
      </w:r>
    </w:p>
  </w:footnote>
  <w:footnote w:id="3">
    <w:p>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Gross revenue depends on pricing: at hyperscaler retail rates ($2.00–2.50/GPU-hour), annual revenue would reach $830 million–$1 billion, but a Kyrgyz operator would more likely sell at wholesale or long-term contract rates, perhaps $0.80–1.20/GPU-hour, yielding $630–950 million and thinner margins. Even at the lower bound, this exceeds 15% of Kyrgyzstan’s $3.8 billion in goods exports (2024).</w:t>
      </w:r>
    </w:p>
  </w:footnote>
  <w:footnote w:id="7">
    <w:p>
      <w:pPr>
        <w:pStyle w:val="FootnoteText"/>
      </w:pPr>
      <w:r>
        <w:rPr>
          <w:rStyle w:val="FootnoteReference"/>
        </w:rPr>
        <w:footnoteRef/>
      </w:r>
      <w:r>
        <w:t xml:space="preserve"> Google reports a fleet-wide trailing twelve-month PUE of 1.10 (2024). The PUE floor of 1.08 represents current best practice with free-air cooling in Scandinavian or Icelandic climates.</w:t>
      </w:r>
    </w:p>
  </w:footnote>
  <w:footnote w:id="8">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This specification thus overstates the cooling penalty for countries that adopt advanced cooling.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6">
    <w:p>
      <w:pPr>
        <w:pStyle w:val="FootnoteText"/>
      </w:pPr>
      <w:r>
        <w:rPr>
          <w:rStyle w:val="FootnoteReference"/>
        </w:rPr>
        <w:footnoteRef/>
      </w:r>
      <w:r>
        <w:t xml:space="preserve"> For the NVIDIA H100: $25,000 / (3 years × 8,766 hours/year × 90% utilization) ≈ $1.06/hr. Street prices fluctuated $25,000–$40,000 during the 2023–2024 GPU shortage. Each GPU draws approximately 700 watts.</w:t>
      </w:r>
    </w:p>
  </w:footnote>
  <w:footnote w:id="9">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10">
    <w:p>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w:t>
      </w:r>
    </w:p>
  </w:footnote>
  <w:footnote w:id="13">
    <w:p>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1">
    <w:p>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2">
    <w:p>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