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Section 3: Model (Streamlined Draft)</w:t>
      </w:r>
    </w:p>
    <w:p>
      <w:pPr>
        <w:jc w:val="both"/>
      </w:pPr>
      <w:r>
        <w:rPr>
          <w:i/>
        </w:rPr>
        <w:t>This document shows the proposed streamlined methodology section for review. Changes from the current version are marked with [CHANGE] annotations in comments below.</w:t>
      </w:r>
    </w:p>
    <w:p>
      <w:pPr>
        <w:jc w:val="both"/>
      </w:pPr>
      <w:r>
        <w:t>The existing literature documents where compute infrastructure is located and who controls it, but no formal framework links production costs to trade patterns. This section fills that gap. It models compute as a tradeable good with country-specific production costs, a delivery cost that depends on whether the workload is training (latency-insensitive) or inference (latency-sensitive), and a sovereignty premium reflecting governments’ preference for domestic production.</w:t>
      </w:r>
    </w:p>
    <w:p>
      <w:pPr>
        <w:pStyle w:val="Heading2"/>
      </w:pPr>
      <w:r>
        <w:t>3.1 Production Technology and Cost Structure</w:t>
      </w:r>
    </w:p>
    <w:p>
      <w:pPr>
        <w:jc w:val="both"/>
      </w:pPr>
      <w:r>
        <w:t xml:space="preserve">The production of compute at scale takes place in data centers that house thousands of GPU-equipped servers. Consider </w:t>
      </w:r>
      <m:oMath>
        <m:r>
          <m:rPr>
            <m:sty m:val="i"/>
          </m:rPr>
          <w:rPr>
            <w:rFonts w:ascii="Cambria Math" w:hAnsi="Cambria Math"/>
          </w:rPr>
          <m:t xml:space="preserve">N</m:t>
        </m:r>
      </m:oMath>
      <w:r>
        <w:t xml:space="preserve"> countries, each capable of producing compute services. The unit cost of producing one GPU-hour of compute in country </w:t>
      </w:r>
      <m:oMath>
        <m:r>
          <m:rPr>
            <m:sty m:val="i"/>
          </m:rPr>
          <w:rPr>
            <w:rFonts w:ascii="Cambria Math" w:hAnsi="Cambria Math"/>
          </w:rPr>
          <m:t xml:space="preserve">j</m:t>
        </m:r>
      </m:oMath>
      <w:r>
        <w:t xml:space="preserve"> depends on three inputs: electricity, hardware, and data center construction.</w:t>
      </w:r>
      <w:r>
        <w:rPr>
          <w:sz w:val="16"/>
          <w:vertAlign w:val="superscript"/>
        </w:rPr>
        <w:t>6</w:t>
      </w:r>
    </w:p>
    <w:p>
      <w:pPr>
        <w:jc w:val="both"/>
      </w:pPr>
      <w:r>
        <w:t xml:space="preserve">A data center consumes more electricity than its GPUs alone draw, because cooling, power distribution, and lighting add overhead. This overhead is measured by the </w:t>
      </w:r>
      <w:r>
        <w:rPr>
          <w:i/>
        </w:rPr>
        <w:t>power usage effectiveness</w:t>
      </w:r>
      <w:r>
        <w:t xml:space="preserve"> (PUE), the ratio of total facility power to IT equipment power (Flucker, Tozer, and Whitehead 2013). PUE is modeled as a linear function of peak summer temperature: </w:t>
      </w:r>
      <m:oMath>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φ</m:t>
        </m:r>
        <m:r>
          <m:rPr>
            <m:sty m:val="p"/>
          </m:rPr>
          <w:rPr>
            <w:rFonts w:ascii="Cambria Math" w:hAnsi="Cambria Math"/>
          </w:rPr>
          <m:t xml:space="preserve"> + </m:t>
        </m:r>
        <m:r>
          <m:rPr>
            <m:sty m:val="i"/>
          </m:rPr>
          <w:rPr>
            <w:rFonts w:ascii="Cambria Math" w:hAnsi="Cambria Math"/>
          </w:rPr>
          <m:t xml:space="preserve">δ</m:t>
        </m:r>
        <m:r>
          <m:rPr>
            <m:sty m:val="p"/>
          </m:rPr>
          <w:rPr>
            <w:rFonts w:ascii="Cambria Math" w:hAnsi="Cambria Math"/>
          </w:rPr>
          <m:t xml:space="preserve"> · max(0, </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bar>
          <m:barPr>
            <m:pos m:val="top"/>
          </m:barPr>
          <m:e>
            <m:r>
              <m:rPr>
                <m:sty m:val="i"/>
              </m:rPr>
              <w:rPr>
                <w:rFonts w:ascii="Cambria Math" w:hAnsi="Cambria Math"/>
              </w:rPr>
              <m:t xml:space="preserve">θ</m:t>
            </m:r>
          </m:e>
        </m:bar>
        <m:r>
          <m:rPr>
            <m:sty m:val="p"/>
          </m:rPr>
          <w:rPr>
            <w:rFonts w:ascii="Cambria Math" w:hAnsi="Cambria Math"/>
          </w:rPr>
          <m:t xml:space="preserve">)</m:t>
        </m:r>
      </m:oMath>
      <w:r>
        <w:t xml:space="preserve">, where </w:t>
      </w:r>
      <m:oMath>
        <m:r>
          <m:rPr>
            <m:sty m:val="i"/>
          </m:rPr>
          <w:rPr>
            <w:rFonts w:ascii="Cambria Math" w:hAnsi="Cambria Math"/>
          </w:rPr>
          <m:t xml:space="preserve">φ</m:t>
        </m:r>
      </m:oMath>
      <w:r>
        <w:t xml:space="preserve"> is the baseline PUE in cold climates and </w:t>
      </w:r>
      <m:oMath>
        <m:r>
          <m:rPr>
            <m:sty m:val="i"/>
          </m:rPr>
          <w:rPr>
            <w:rFonts w:ascii="Cambria Math" w:hAnsi="Cambria Math"/>
          </w:rPr>
          <m:t xml:space="preserve">δ</m:t>
        </m:r>
      </m:oMath>
      <w:r>
        <w:t xml:space="preserve"> is the sensitivity per °C above the reference temperature </w:t>
      </w:r>
      <m:oMath>
        <m:bar>
          <m:barPr>
            <m:pos m:val="top"/>
          </m:barPr>
          <m:e>
            <m:r>
              <m:rPr>
                <m:sty m:val="i"/>
              </m:rPr>
              <w:rPr>
                <w:rFonts w:ascii="Cambria Math" w:hAnsi="Cambria Math"/>
              </w:rPr>
              <m:t xml:space="preserve">θ</m:t>
            </m:r>
          </m:e>
        </m:bar>
      </m:oMath>
      <w:r>
        <w:t>. PUE ranges from 1.08 in cold climates to over 1.4 in hot ones.</w:t>
      </w:r>
      <w:r>
        <w:rPr>
          <w:sz w:val="16"/>
          <w:vertAlign w:val="superscript"/>
        </w:rPr>
        <w:t>7</w:t>
      </w:r>
    </w:p>
    <w:p>
      <w:pPr>
        <w:spacing w:after="40"/>
        <w:jc w:val="both"/>
      </w:pPr>
      <w:r>
        <w:t xml:space="preserve">The total cost per GPU-hour in country </w:t>
      </w:r>
      <m:oMath>
        <m:r>
          <m:rPr>
            <m:sty m:val="i"/>
          </m:rPr>
          <w:rPr>
            <w:rFonts w:ascii="Cambria Math" w:hAnsi="Cambria Math"/>
          </w:rPr>
          <m:t xml:space="preserve">j</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680"/>
        <w:gridCol w:w="4680"/>
      </w:tblGrid>
      <w:tr>
        <w:tc>
          <w:tcPr>
            <w:tcW w:w="810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1400" w:type="dxa"/>
            <w:vAlign w:val="center"/>
          </w:tcPr>
          <w:p>
            <w:pPr>
              <w:jc w:val="right"/>
              <w:spacing w:before="60" w:after="60"/>
            </w:pPr>
            <w:r>
              <w:t>(2)</w:t>
            </w:r>
          </w:p>
        </w:tc>
      </w:tr>
    </w:tbl>
    <w:p>
      <w:pPr>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sz w:val="16"/>
          <w:vertAlign w:val="superscript"/>
        </w:rPr>
        <w:t>8</w:t>
      </w:r>
      <w:r>
        <w:t xml:space="preserve"> </w:t>
      </w:r>
      <m:oMath>
        <m:r>
          <m:rPr>
            <m:sty m:val="i"/>
          </m:rPr>
          <w:rPr>
            <w:rFonts w:ascii="Cambria Math" w:hAnsi="Cambria Math"/>
          </w:rPr>
          <m:t xml:space="preserve">η</m:t>
        </m:r>
      </m:oMath>
      <w:r>
        <w:t xml:space="preserve"> is amortized networking cost (high-speed interconnect such as InfiniBand), and the last term amortizes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($/W of IT capacity) over the facility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by global hardware markets and are common across countries.</w:t>
      </w:r>
      <w:r>
        <w:rPr>
          <w:sz w:val="16"/>
          <w:vertAlign w:val="superscript"/>
        </w:rPr>
        <w:t>9</w:t>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(through PUE), and construction costs.</w:t>
      </w:r>
    </w:p>
    <w:p>
      <w:pPr>
        <w:jc w:val="both"/>
      </w:pPr>
      <w:r>
        <w:t xml:space="preserve">In the Heckscher-Ohlin tradition, countries export goods intensive in their abundant factors. For compute production, the relevant endowment is not electricity per se but the natural resources that generate it—hydropower reservoirs (Kyrgyzstan, Ethiopia, Georgia), oil and gas (Iran, Turkmenistan, Qatar), solar irradiance (North Africa, the Gulf), and geothermal energy (Kenya, Iceland). The electricity price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in equation (2) is therefore a reduced-form expression for country </w:t>
      </w:r>
      <m:oMath>
        <m:r>
          <m:rPr>
            <m:sty m:val="i"/>
          </m:rPr>
          <w:rPr>
            <w:rFonts w:ascii="Cambria Math" w:hAnsi="Cambria Math"/>
          </w:rPr>
          <m:t xml:space="preserve">j</m:t>
        </m:r>
      </m:oMath>
      <w:r>
        <w:t>’s energy resource endowment.</w:t>
      </w:r>
    </w:p>
    <w:p>
      <w:pPr>
        <w:pStyle w:val="Heading2"/>
      </w:pPr>
      <w:r>
        <w:t>3.2 Trade Costs</w:t>
      </w:r>
    </w:p>
    <w:p>
      <w:pPr>
        <w:jc w:val="both"/>
      </w:pPr>
      <w:r>
        <w:t xml:space="preserve">Following the trade-in-tasks framework of Grossman and Rossi-Hansberg (2008) and the iceberg cost structure of Eaton and Kortum (2002), countries produce and trade two types of compute services that differ in their offshoring costs. </w:t>
      </w:r>
      <w:r>
        <w:rPr>
          <w:i/>
        </w:rPr>
        <w:t>Training services</w:t>
      </w:r>
      <w:r>
        <w:t xml:space="preserve"> encompass batch workloads such as model training, fine-tuning, and large-scale data processing. Training a state-of-the-art AI model typically takes weeks to months on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encompass real-time workloads such as chatbot responses, autonomous decisions, and interactive agents. Each query must travel to the server and back within milliseconds, so the service degrades with delivery delay.</w:t>
      </w:r>
    </w:p>
    <w:p>
      <w:pPr>
        <w:jc w:val="both"/>
      </w:pPr>
      <w:r>
        <w:rPr>
          <w:i/>
        </w:rPr>
        <w:t>Latency</w:t>
      </w:r>
      <w: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and back, measured in milliseconds (ms). Within a country, latency is typically 5–10 ms, while across continents it can exceed 150 ms. For training, the workload ships to the seller, so effective latency is zero.</w:t>
      </w:r>
    </w:p>
    <w:p>
      <w:pPr>
        <w:jc w:val="both"/>
      </w:pPr>
      <w:r>
        <w:t xml:space="preserve">Governments and firms may prefer to process data domestically for reasons of national security, regulatory compliance, or political preference. This is captured by a </w:t>
      </w:r>
      <w:r>
        <w:rPr>
          <w:i/>
        </w:rPr>
        <w:t>sovereignty premium</w:t>
      </w:r>
      <w:r>
        <w:t xml:space="preserve"> </w:t>
      </w:r>
      <m:oMath>
        <m:r>
          <m:rPr>
            <m:sty m:val="i"/>
          </m:rPr>
          <w:rPr>
            <w:rFonts w:ascii="Cambria Math" w:hAnsi="Cambria Math"/>
          </w:rPr>
          <m:t xml:space="preserve">λ</m:t>
        </m:r>
        <m:r>
          <m:rPr>
            <m:sty m:val="p"/>
          </m:rPr>
          <w:rPr>
            <w:rFonts w:ascii="Cambria Math" w:hAnsi="Cambria Math"/>
          </w:rPr>
          <m:t xml:space="preserve"> ≥ 0</m:t>
        </m:r>
      </m:oMath>
      <w:r>
        <w:t xml:space="preserve">, which acts as a proportional markup on the cost of foreign-sourced compute. When a country sources compute from a foreign seller, the effective cost is inflated by the factor </w:t>
      </w:r>
      <m:oMath>
        <m:r>
          <m:rPr>
            <m:sty m:val="p"/>
          </m:rPr>
          <w:rPr>
            <w:rFonts w:ascii="Cambria Math" w:hAnsi="Cambria Math"/>
          </w:rPr>
          <m:t xml:space="preserve">(1 + </m:t>
        </m:r>
        <m:r>
          <m:rPr>
            <m:sty m:val="i"/>
          </m:rPr>
          <w:rPr>
            <w:rFonts w:ascii="Cambria Math" w:hAnsi="Cambria Math"/>
          </w:rPr>
          <m:t xml:space="preserve">λ</m:t>
        </m:r>
        <m:r>
          <m:rPr>
            <m:sty m:val="p"/>
          </m:rPr>
          <w:rPr>
            <w:rFonts w:ascii="Cambria Math" w:hAnsi="Cambria Math"/>
          </w:rPr>
          <m:t xml:space="preserve">)</m:t>
        </m:r>
      </m:oMath>
      <w:r>
        <w:t>. The sovereignty premium is zero for domestic production.</w:t>
      </w:r>
    </w:p>
    <w:p>
      <w:pPr>
        <w:spacing w:after="4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680"/>
        <w:gridCol w:w="4680"/>
      </w:tblGrid>
      <w:tr>
        <w:tc>
          <w:tcPr>
            <w:tcW w:w="810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ξ</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r>
              <w:t>(3)</w:t>
            </w:r>
          </w:p>
        </w:tc>
      </w:tr>
    </w:tbl>
    <w:p>
      <w:pPr>
        <w:jc w:val="both"/>
      </w:pPr>
      <w:r>
        <w:t xml:space="preserve">where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r>
          <m:rPr>
            <m:sty m:val="i"/>
          </m:rPr>
          <w:rPr>
            <w:rFonts w:ascii="Cambria Math" w:hAnsi="Cambria Math"/>
          </w:rPr>
          <m:t xml:space="preserve">λ</m:t>
        </m:r>
      </m:oMath>
      <w:r>
        <w:t xml:space="preserve"> if </w:t>
      </w:r>
      <m:oMath>
        <m:r>
          <m:rPr>
            <m:sty m:val="i"/>
          </m:rPr>
          <w:rPr>
            <w:rFonts w:ascii="Cambria Math" w:hAnsi="Cambria Math"/>
          </w:rPr>
          <m:t xml:space="preserve">j</m:t>
        </m:r>
        <m:r>
          <m:rPr>
            <m:sty m:val="p"/>
          </m:rPr>
          <w:rPr>
            <w:rFonts w:ascii="Cambria Math" w:hAnsi="Cambria Math"/>
          </w:rPr>
          <m:t xml:space="preserve"> ≠ </m:t>
        </m:r>
        <m:r>
          <m:rPr>
            <m:sty m:val="i"/>
          </m:rPr>
          <w:rPr>
            <w:rFonts w:ascii="Cambria Math" w:hAnsi="Cambria Math"/>
          </w:rPr>
          <m:t xml:space="preserve">k</m:t>
        </m:r>
      </m:oMath>
      <w:r>
        <w:t xml:space="preserve"> and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0</m:t>
        </m:r>
      </m:oMath>
      <w:r>
        <w:t xml:space="preserve"> if </w:t>
      </w:r>
      <m:oMath>
        <m:r>
          <m:rPr>
            <m:sty m:val="i"/>
          </m:rPr>
          <w:rPr>
            <w:rFonts w:ascii="Cambria Math" w:hAnsi="Cambria Math"/>
          </w:rPr>
          <m:t xml:space="preserve">j</m:t>
        </m:r>
        <m:r>
          <m:rPr>
            <m:sty m:val="p"/>
          </m:rPr>
          <w:rPr>
            <w:rFonts w:ascii="Cambria Math" w:hAnsi="Cambria Math"/>
          </w:rPr>
          <m:t xml:space="preserve"> = </m:t>
        </m:r>
        <m:r>
          <m:rPr>
            <m:sty m:val="i"/>
          </m:rPr>
          <w:rPr>
            <w:rFonts w:ascii="Cambria Math" w:hAnsi="Cambria Math"/>
          </w:rPr>
          <m:t xml:space="preserve">k</m:t>
        </m:r>
      </m:oMath>
      <w:r>
        <w:t xml:space="preserve">. </w:t>
      </w:r>
      <m:oMath>
        <m:sSub>
          <m:sSubPr/>
          <m:e>
            <m:r>
              <m:rPr>
                <m:sty m:val="i"/>
              </m:rPr>
              <w:rPr>
                <w:rFonts w:ascii="Cambria Math" w:hAnsi="Cambria Math"/>
              </w:rPr>
              <m:t xml:space="preserve">ξ</m:t>
            </m:r>
          </m:e>
          <m:sub>
            <m:r>
              <m:rPr>
                <m:sty m:val="i"/>
              </m:rPr>
              <w:rPr>
                <w:rFonts w:ascii="Cambria Math" w:hAnsi="Cambria Math"/>
              </w:rPr>
              <m:t xml:space="preserve">j</m:t>
            </m:r>
          </m:sub>
        </m:sSub>
        <m:r>
          <m:rPr>
            <m:sty m:val="p"/>
          </m:rPr>
          <w:rPr>
            <w:rFonts w:ascii="Cambria Math" w:hAnsi="Cambria Math"/>
          </w:rPr>
          <m:t xml:space="preserve"> ∈ (0, 1]</m:t>
        </m:r>
      </m:oMath>
      <w:r>
        <w:t xml:space="preserve"> is a reliability index that captures institutional factors, such as grid outages, regulatory unpredictability, and sanctions risk, that reduce effective output. It approaches one for countries with stable institutions and reliable power, and falls well below one where outages or sanctions reduce effective delivery. 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This iceberg formulation parallels Hummels and Schaur (2013), who estimate that each day of shipping time is equivalent to a tariff; here, milliseconds replace days.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reduces to the production cost plus the sovereignty markup; distance plays no role. Inference also faces a hard latency ceiling: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t>3.3 Global Compute Demand</w:t>
      </w:r>
    </w:p>
    <w:p>
      <w:pPr>
        <w:spacing w:after="4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The paper measures compute demand using installed data center capacity in megawatts (MW), compiled from industry sources: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680"/>
        <w:gridCol w:w="4680"/>
      </w:tblGrid>
      <w:tr>
        <w:tc>
          <w:tcPr>
            <w:tcW w:w="810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1400" w:type="dxa"/>
            <w:vAlign w:val="center"/>
          </w:tcPr>
          <w:p>
            <w:pPr>
              <w:jc w:val="right"/>
              <w:spacing w:before="60" w:after="60"/>
            </w:pPr>
            <w:r>
              <w:t>(4)</w:t>
            </w:r>
          </w:p>
        </w:tc>
      </w:tr>
    </w:tbl>
    <w:p>
      <w:pPr>
        <w:jc w:val="both"/>
      </w:pPr>
      <w:r>
        <w:t xml:space="preserve">where </w:t>
      </w:r>
      <m:oMath>
        <m:r>
          <m:rPr>
            <m:sty m:val="i"/>
          </m:rPr>
          <w:rPr>
            <w:rFonts w:ascii="Cambria Math" w:hAnsi="Cambria Math"/>
          </w:rPr>
          <m:t xml:space="preserve">Q</m:t>
        </m:r>
      </m:oMath>
      <w:r>
        <w:t xml:space="preserve"> is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’s share of global demand, measured by its share of installed data center capacity (MW).</w:t>
      </w:r>
      <w:r>
        <w:rPr>
          <w:sz w:val="16"/>
          <w:vertAlign w:val="superscript"/>
        </w:rPr>
        <w:t>10</w:t>
      </w:r>
      <w:r>
        <w:t xml:space="preserve"> Since all results below depend only on demand </w:t>
      </w:r>
      <w:r>
        <w:rPr>
          <w:i/>
        </w:rPr>
        <w:t>shares</w:t>
      </w:r>
      <w:r>
        <w:t xml:space="preserve">, not on the absolute level </w:t>
      </w:r>
      <m:oMath>
        <m:r>
          <m:rPr>
            <m:sty m:val="i"/>
          </m:rPr>
          <w:rPr>
            <w:rFonts w:ascii="Cambria Math" w:hAnsi="Cambria Math"/>
          </w:rPr>
          <m:t xml:space="preserve">Q</m:t>
        </m:r>
      </m:oMath>
      <w:r>
        <w:t>, the calibration does not require an estimate of total global compute spending.</w:t>
      </w:r>
    </w:p>
    <w:p>
      <w:pPr>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sz w:val="16"/>
          <w:vertAlign w:val="superscript"/>
        </w:rPr>
        <w:t>11</w:t>
      </w:r>
    </w:p>
    <w:p>
      <w:pPr>
        <w:pStyle w:val="Heading2"/>
      </w:pPr>
      <w:r>
        <w:t>3.4 Sourcing and Market Equilibrium</w:t>
      </w:r>
    </w:p>
    <w:p>
      <w:pPr>
        <w:spacing w:after="4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680"/>
        <w:gridCol w:w="4680"/>
      </w:tblGrid>
      <w:tr>
        <w:tc>
          <w:tcPr>
            <w:tcW w:w="810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r>
              <w:t>(5)</w:t>
            </w:r>
          </w:p>
        </w:tc>
      </w:tr>
    </w:tbl>
    <w:p>
      <w:pPr>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after="40"/>
        <w:jc w:val="both"/>
      </w:pPr>
      <w:r>
        <w:rPr>
          <w:i/>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even after adding the sovereignty premium, is cheaper than producing domestically: </w:t>
      </w:r>
      <m:oMath>
        <m:r>
          <m:rPr>
            <m:sty m:val="p"/>
          </m:rPr>
          <w:rPr>
            <w:rFonts w:ascii="Cambria Math" w:hAnsi="Cambria Math"/>
          </w:rPr>
          <m:t xml:space="preserve">(1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Following Dornbusch, Fischer, and Samuelson (1977), countries are ranked by production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 xml:space="preserve">. In the capacity-constrained equilibrium, exporters fill demand in cost order, with country (1) supplying up to its capacity, then country (2), and so on.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index at which cumulative capacity first meets export demand. The equilibrium training price equals the marginal exporter’s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680"/>
        <w:gridCol w:w="4680"/>
      </w:tblGrid>
      <w:tr>
        <w:tc>
          <w:tcPr>
            <w:tcW w:w="810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r>
                <m:rPr>
                  <m:sty m:val="p"/>
                </m:rPr>
                <w:rPr>
                  <w:rFonts w:ascii="Cambria Math" w:hAnsi="Cambria Math"/>
                </w:rPr>
                <m:t xml:space="preserve">.</m:t>
              </m:r>
            </m:oMath>
          </w:p>
        </w:tc>
        <w:tc>
          <w:tcPr>
            <w:tcW w:w="1400" w:type="dxa"/>
            <w:vAlign w:val="center"/>
          </w:tcPr>
          <w:p>
            <w:pPr>
              <w:jc w:val="right"/>
              <w:spacing w:before="60" w:after="60"/>
            </w:pPr>
            <w:r>
              <w:t>(6)</w:t>
            </w:r>
          </w:p>
        </w:tc>
      </w:tr>
    </w:tbl>
    <w:p>
      <w:pPr>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strictly positive Ricardian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For a capacity-constrained exporter,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grid constraint equals the margin on the least profitable active use, measuring the incremental gain from relaxing the capacity ceiling by one GPU-hour.</w:t>
      </w:r>
    </w:p>
    <w:p>
      <w:pPr>
        <w:spacing w:after="40"/>
        <w:jc w:val="both"/>
      </w:pPr>
      <w:r>
        <w:rPr>
          <w:i/>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680"/>
        <w:gridCol w:w="4680"/>
      </w:tblGrid>
      <w:tr>
        <w:tc>
          <w:tcPr>
            <w:tcW w:w="8100" w:type="dxa"/>
            <w:vAlign w:val="center"/>
          </w:tcPr>
          <w:p>
            <w:pPr>
              <w:jc w:val="center"/>
              <w:spacing w:before="60" w:after="60"/>
            </w:pPr>
            <m:oMath>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r>
              <w:t>(7)</w:t>
            </w:r>
          </w:p>
        </w:tc>
      </w:tr>
    </w:tbl>
    <w:p>
      <w:pPr>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 The aggregate rent function (derived in Appendix B) is concave and piecewise linear in total capacity deployed.</w:t>
      </w:r>
    </w:p>
    <w:p>
      <w:r>
        <w:br w:type="page"/>
      </w:r>
    </w:p>
    <w:p>
      <w:pPr>
        <w:pStyle w:val="Heading1"/>
      </w:pPr>
      <w:r>
        <w:t>Notes</w:t>
      </w:r>
    </w:p>
    <w:p>
      <w:pPr>
        <w:spacing w:after="80"/>
      </w:pPr>
      <w:r>
        <w:rPr>
          <w:b/>
          <w:sz w:val="18"/>
        </w:rPr>
        <w:t xml:space="preserve">6. </w:t>
      </w:r>
      <w:r>
        <w:rPr>
          <w:sz w:val="18"/>
        </w:rPr>
        <w:t>A floating-point operation (FLOP) is a single arithmetic computation. Computing power is measured in petaFLOP/s (10¹⁵ FLOPs per second). A current-generation NVIDIA H100 GPU delivers approximately 1 petaFLOP/s at 16-bit precision.</w:t>
      </w:r>
    </w:p>
    <w:p>
      <w:pPr>
        <w:spacing w:after="80"/>
      </w:pPr>
      <w:r>
        <w:rPr>
          <w:b/>
          <w:sz w:val="18"/>
        </w:rPr>
        <w:t xml:space="preserve">7. </w:t>
      </w:r>
      <w:r>
        <w:rPr>
          <w:sz w:val="18"/>
        </w:rPr>
        <w:t>The linear PUE model is a simplification. Modern liquid and immersion cooling technologies can achieve PUE ≈ 1.2 even in hot climates, flattening the temperature–PUE relationship. The robustness check in Section 6 confirms that the results are insensitive to this specification. Google’s 2024 sustainability report indicates a fleet-wide trailing twelve-month PUE of 1.10.</w:t>
      </w:r>
    </w:p>
    <w:p>
      <w:pPr>
        <w:spacing w:after="80"/>
      </w:pPr>
      <w:r>
        <w:rPr>
          <w:b/>
          <w:sz w:val="18"/>
        </w:rPr>
        <w:t xml:space="preserve">8. </w:t>
      </w:r>
      <w:r>
        <w:rPr>
          <w:sz w:val="18"/>
        </w:rPr>
        <w:t>For the NVIDIA H100: $25,000 / (3 years × 8,766 hours/year × 70% utilization) ≈ $1.36/hr. Street prices have fallen to $18,000–$22,000 as of late 2025. Each GPU draws approximately 700 watts.</w:t>
      </w:r>
    </w:p>
    <w:p>
      <w:pPr>
        <w:spacing w:after="80"/>
      </w:pPr>
      <w:r>
        <w:rPr>
          <w:b/>
          <w:sz w:val="18"/>
        </w:rPr>
        <w:t xml:space="preserve">9. </w:t>
      </w:r>
      <w:r>
        <w:rPr>
          <w:sz w:val="18"/>
        </w:rPr>
        <w:t>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p>
      <w:pPr>
        <w:spacing w:after="80"/>
      </w:pPr>
      <w:r>
        <w:rPr>
          <w:b/>
          <w:sz w:val="18"/>
        </w:rPr>
        <w:t xml:space="preserve">10. </w:t>
      </w:r>
      <w:r>
        <w:rPr>
          <w:sz w:val="18"/>
        </w:rPr>
        <w:t>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p>
      <w:pPr>
        <w:spacing w:after="80"/>
      </w:pPr>
      <w:r>
        <w:rPr>
          <w:b/>
          <w:sz w:val="18"/>
        </w:rPr>
        <w:t xml:space="preserve">11. </w:t>
      </w:r>
      <w:r>
        <w:rPr>
          <w:sz w:val="18"/>
        </w:rPr>
        <w:t>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