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19:40</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0" w:line="240" w:lineRule="auto"/>
        <w:ind w:firstLine="0" w:left="720" w:right="720"/>
        <w:jc w:val="both"/>
      </w:pPr>
      <w:r>
        <w:rPr>
          <w:b/>
        </w:rPr>
        <w:t xml:space="preserve">JEL Classification: </w:t>
      </w:r>
      <w:r>
        <w:t>F14, F18, L86, O14, O33, Q40</w:t>
      </w:r>
    </w:p>
    <w:p>
      <w:pPr>
        <w:spacing w:before="0" w:after="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0"/>
        <w:ind w:firstLine="0"/>
        <w:jc w:val="both"/>
      </w:pPr>
    </w:p>
    <w:p>
      <w:pPr>
        <w:spacing w:before="0" w:after="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0"/>
        <w:ind w:firstLine="0"/>
        <w:jc w:val="both"/>
      </w:pPr>
    </w:p>
    <w:p>
      <w:pPr>
        <w:spacing w:before="0" w:after="0"/>
        <w:ind w:firstLine="0"/>
        <w:jc w:val="both"/>
      </w:pPr>
    </w:p>
    <w:p>
      <w:pPr>
        <w:pStyle w:val="Heading1"/>
      </w:pPr>
      <w:r>
        <w:rPr>
          <w:rFonts w:ascii="Times New Roman" w:hAnsi="Times New Roman"/>
          <w:b/>
          <w:color w:val="2F5496"/>
          <w:sz w:val="28"/>
        </w:rPr>
        <w:t>3. Model of Compute Production and Trade</w:t>
      </w:r>
    </w:p>
    <w:p>
      <w:pPr>
        <w:spacing w:before="0" w:after="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0"/>
        <w:ind w:firstLine="0"/>
        <w:jc w:val="both"/>
      </w:pPr>
      <w:r>
        <w:t>This section derives the formal properties of the capacity-constrained equilibrium defined in Section 3. Full derivations are shown in Appendix B.</w:t>
      </w:r>
    </w:p>
    <w:p>
      <w:pPr>
        <w:spacing w:before="0" w:after="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0"/>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0"/>
        <w:ind w:firstLine="0"/>
        <w:jc w:val="both"/>
      </w:pPr>
    </w:p>
    <w:p>
      <w:pPr>
        <w:spacing w:before="0" w:after="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0"/>
        <w:ind w:firstLine="0"/>
        <w:jc w:val="both"/>
      </w:pPr>
    </w:p>
    <w:p>
      <w:pPr>
        <w:spacing w:before="0" w:after="0"/>
        <w:ind w:firstLine="0"/>
        <w:jc w:val="both"/>
      </w:pPr>
    </w:p>
    <w:p>
      <w:pPr>
        <w:spacing w:before="0" w:after="0"/>
        <w:ind w:firstLine="0"/>
        <w:jc w:val="both"/>
      </w:pPr>
    </w:p>
    <w:p>
      <w:pPr>
        <w:pStyle w:val="Heading1"/>
      </w:pPr>
      <w:r>
        <w:rPr>
          <w:rFonts w:ascii="Times New Roman" w:hAnsi="Times New Roman"/>
          <w:b/>
          <w:color w:val="2F5496"/>
          <w:sz w:val="28"/>
        </w:rPr>
        <w:t>8. Conclusion</w:t>
      </w:r>
    </w:p>
    <w:p>
      <w:pPr>
        <w:spacing w:before="0" w:after="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gridSpan w:val="2"/>
            <w:tcBorders>
              <w:top w:val="single" w:sz="4" w:space="0" w:color="auto"/>
              <w:bottom w:val="single" w:sz="4" w:space="0" w:color="auto"/>
            </w:tcBorders>
            <w:tcBorders>
              <w:top w:val="single" w:sz="4" w:space="0" w:color="auto"/>
              <w:bottom w:val="single" w:sz="4" w:space="0" w:color="auto"/>
            </w:tcBorders>
            <w:tcW w:w="500" w:type="dxa"/>
          </w:tcPr>
          <w:p>
            <w:pPr>
              <w:jc w:val="center"/>
              <w:spacing w:before="10" w:after="10"/>
              <w:spacing w:before="10" w:after="10"/>
            </w:pPr>
            <w:r/>
            <w:r>
              <w:rPr>
                <w:rFonts w:ascii="Times New Roman" w:hAnsi="Times New Roman"/>
                <w:b/>
                <w:sz w:val="16"/>
              </w:rPr>
              <w:t>(1) Raw Electricity</w:t>
            </w:r>
          </w:p>
        </w:tc>
        <w:tc>
          <w:tcPr>
            <w:gridSpan w:val="2"/>
            <w:tcBorders>
              <w:top w:val="single" w:sz="4" w:space="0" w:color="auto"/>
              <w:bottom w:val="single" w:sz="4" w:space="0" w:color="auto"/>
            </w:tcBorders>
            <w:tcBorders>
              <w:top w:val="single" w:sz="4" w:space="0" w:color="auto"/>
              <w:bottom w:val="single" w:sz="4" w:space="0" w:color="auto"/>
            </w:tcBorders>
            <w:tcW w:w="500" w:type="dxa"/>
          </w:tcPr>
          <w:p>
            <w:pPr>
              <w:jc w:val="center"/>
              <w:spacing w:before="10" w:after="10"/>
              <w:spacing w:before="10" w:after="10"/>
            </w:pPr>
            <w:r/>
            <w:r>
              <w:rPr>
                <w:rFonts w:ascii="Times New Roman" w:hAnsi="Times New Roman"/>
                <w:b/>
                <w:sz w:val="16"/>
              </w:rPr>
              <w:t>(2) Cost-Recovery</w:t>
            </w:r>
          </w:p>
        </w:tc>
        <w:tc>
          <w:tcPr>
            <w:gridSpan w:val="2"/>
            <w:tcBorders>
              <w:top w:val="single" w:sz="4" w:space="0" w:color="auto"/>
              <w:bottom w:val="single" w:sz="4" w:space="0" w:color="auto"/>
            </w:tcBorders>
            <w:tcBorders>
              <w:top w:val="single" w:sz="4" w:space="0" w:color="auto"/>
              <w:bottom w:val="single" w:sz="4" w:space="0" w:color="auto"/>
            </w:tcBorders>
            <w:tcW w:w="500" w:type="dxa"/>
          </w:tcPr>
          <w:p>
            <w:pPr>
              <w:jc w:val="center"/>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6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6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6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6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EE†</w:t>
            </w:r>
          </w:p>
        </w:tc>
      </w:tr>
      <w:tr>
        <w:tc>
          <w:tcPr>
            <w:tcW w:w="16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EE</w:t>
            </w:r>
          </w:p>
        </w:tc>
      </w:tr>
      <w:tr>
        <w:tc>
          <w:tcPr>
            <w:tcW w:w="16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II</w:t>
            </w:r>
          </w:p>
        </w:tc>
      </w:tr>
      <w:tr>
        <w:tc>
          <w:tcPr>
            <w:tcW w:w="16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IE</w:t>
            </w:r>
          </w:p>
        </w:tc>
      </w:tr>
      <w:tr>
        <w:tc>
          <w:tcPr>
            <w:tcW w:w="16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IE</w:t>
            </w:r>
          </w:p>
        </w:tc>
      </w:tr>
      <w:tr>
        <w:tc>
          <w:tcPr>
            <w:tcW w:w="16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6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II</w:t>
            </w:r>
          </w:p>
        </w:tc>
        <w:tc>
          <w:tcPr>
            <w:tcBorders>
              <w:bottom w:val="double" w:sz="4" w:space="0" w:color="auto"/>
            </w:tcBorders>
            <w:tcW w:w="16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II</w:t>
            </w:r>
          </w:p>
        </w:tc>
        <w:tc>
          <w:tcPr>
            <w:tcBorders>
              <w:bottom w:val="double" w:sz="4" w:space="0" w:color="auto"/>
            </w:tcBorders>
            <w:tcW w:w="16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cost ranking under each specification.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cost ranking unchanged, only regime assignments change.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