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v31  —  March 13, 2026  22:36</w:t>
      </w:r>
    </w:p>
    <w:p>
      <w:pPr>
        <w:spacing w:before="240" w:after="0" w:line="240" w:lineRule="auto"/>
        <w:ind w:firstLine="0" w:left="720" w:right="720"/>
        <w:jc w:val="both"/>
      </w:pPr>
      <w:r>
        <w:rPr>
          <w:b/>
        </w:rPr>
        <w:t>Abstract</w:t>
      </w:r>
      <w:r>
        <w:t>: Energy-rich developing countries could convert cheap electricity into high-value AI compute exports. This paper develops a trade model of compute services that distinguishes latency-insensitive training from latency-sensitive inference and incorporates a bilateral sovereignty premium. Calibration across 85 countries shows that several developing countries rank among the cheapest producers under cost-recovery pricing, but bilateral trust deficits sharply curtail developing-country exports. Because hardware dominates unit cost, the cross-country cost spread is only 12–20 percent, making compute the easiest sector for developing countries to enter on cost grounds and the most vulnerable to small policy-induced frictions. The binding constraint for FLOP exporting is not electricity cost, but the institutional credibility needed to overcome bilateral trust deficits.</w:t>
      </w: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37" w:name="IEA2025txt"/>
      <w:hyperlink w:anchor="IEA2025" w:history="1">
        <w:r>
          <w:rPr>
            <w:color w:val="1F3864"/>
            <w:u w:val="single"/>
          </w:rPr>
          <w:t xml:space="preserve">IEA 2025</w:t>
        </w:r>
      </w:hyperlink>
      <w:bookmarkEnd w:id="237"/>
      <w:r>
        <w:t xml:space="preserve">).</w:t>
      </w:r>
    </w:p>
    <w:p>
      <w:pPr>
        <w:spacing w:before="0" w:after="160" w:line="360" w:lineRule="auto"/>
        <w:ind w:firstLine="0"/>
        <w:jc w:val="both"/>
      </w:pPr>
      <w:r>
        <w:t xml:space="preserve">This surge in demand for compute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line="360" w:lineRule="auto"/>
        <w:ind w:firstLine="0"/>
        <w:jc w:val="both"/>
      </w:pPr>
      <w:r>
        <w:t xml:space="preserve">Several megaprojects confirm that FLOP exporting is technically and commercially feasible. Armenia is deploying 50,000 GPUs in a $4 billion investment (</w:t>
      </w:r>
      <w:bookmarkStart w:id="238" w:name="Firebird2026txt"/>
      <w:hyperlink w:anchor="Firebird2026" w:history="1">
        <w:r>
          <w:rPr>
            <w:color w:val="1F3864"/>
            <w:u w:val="single"/>
          </w:rPr>
          <w:t xml:space="preserve">Firebird 2026</w:t>
        </w:r>
      </w:hyperlink>
      <w:bookmarkEnd w:id="238"/>
      <w:r>
        <w:t xml:space="preserve">), Kenya, Saudi Arabia, and Malaysia have each attracted billion-dollar data center commitments,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Announced global data-center FDI reached over $310 billion in 2025, with EMDEs accounting for roughly 40 percent of projects (</w:t>
      </w:r>
      <w:bookmarkStart w:id="239" w:name="AykutEtAl2026txt"/>
      <w:hyperlink w:anchor="AykutEtAl2026" w:history="1">
        <w:r>
          <w:rPr>
            <w:color w:val="1F3864"/>
            <w:u w:val="single"/>
          </w:rPr>
          <w:t xml:space="preserve">Aykut et al. 2026</w:t>
        </w:r>
      </w:hyperlink>
      <w:bookmarkEnd w:id="239"/>
      <w:r>
        <w:t xml:space="preserve">). Cloud computing exports already exceed $9 billion annually (</w:t>
      </w:r>
      <w:bookmarkStart w:id="252" w:name="WorldBank2025txt"/>
      <w:hyperlink w:anchor="WorldBank2025" w:history="1">
        <w:r>
          <w:rPr>
            <w:color w:val="1F3864"/>
            <w:u w:val="single"/>
          </w:rPr>
          <w:t xml:space="preserve">World Bank 2025</w:t>
        </w:r>
      </w:hyperlink>
      <w:bookmarkEnd w:id="252"/>
      <w:r>
        <w:t xml:space="preserve">). If Kyrgyzstan builds a 40 MW AI data center, it could generate annual revenue of $630–950 million at wholesale contract rates, equivalent to over 15% of Kyrgyzstan’s $3.8 billion in goods exports (</w:t>
      </w:r>
      <w:bookmarkStart w:id="258" w:name="WorldBank2024txt"/>
      <w:hyperlink w:anchor="WorldBank2024" w:history="1">
        <w:r>
          <w:rPr>
            <w:color w:val="1F3864"/>
            <w:u w:val="single"/>
          </w:rPr>
          <w:t xml:space="preserve">World Bank 2024</w:t>
        </w:r>
      </w:hyperlink>
      <w:bookmarkEnd w:id="258"/>
      <w:r>
        <w:t xml:space="preserve">).</w:t>
      </w:r>
      <w:r>
        <w:rPr>
          <w:rStyle w:val="FootnoteReference"/>
        </w:rPr>
        <w:footnoteReference w:id="5"/>
      </w:r>
    </w:p>
    <w:p>
      <w:pPr>
        <w:spacing w:before="0" w:after="160" w:line="360" w:lineRule="auto"/>
        <w:ind w:firstLine="0"/>
        <w:jc w:val="both"/>
      </w:pPr>
      <w:r>
        <w:t xml:space="preserve">Recent work examines compute governance and the geography of AI infrastructure (</w:t>
      </w:r>
      <w:bookmarkStart w:id="240" w:name="Sastry2024txt"/>
      <w:hyperlink w:anchor="Sastry2024" w:history="1">
        <w:r>
          <w:rPr>
            <w:color w:val="1F3864"/>
            <w:u w:val="single"/>
          </w:rPr>
          <w:t xml:space="preserve">Sastry et al. 2024</w:t>
        </w:r>
      </w:hyperlink>
      <w:bookmarkEnd w:id="240"/>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41" w:name="Pilz2025txt"/>
      <w:hyperlink w:anchor="Pilz2025" w:history="1">
        <w:r>
          <w:rPr>
            <w:color w:val="1F3864"/>
            <w:u w:val="single"/>
          </w:rPr>
          <w:t xml:space="preserve">Pilz et al. 2025</w:t>
        </w:r>
      </w:hyperlink>
      <w:bookmarkEnd w:id="241"/>
      <w:r>
        <w:t xml:space="preserve">), but no formal trade model of compute exists.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12–20 percent. Several developing countries rank among the cheapest producers under cost-recovery pricing, but under the bilateral sovereignty specification, trust deficits eliminate all developing-country exports. For energy-rich developing countries, the limiting factor is not electricity cost but the institutional credibility needed to overcome bilateral trust deficits.</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42" w:name="Korinek2021txt"/>
      <w:hyperlink w:anchor="Korinek2021" w:history="1">
        <w:r>
          <w:rPr>
            <w:color w:val="1F3864"/>
            <w:u w:val="single"/>
          </w:rPr>
          <w:t xml:space="preserve">Korinek and Stiglitz (2021)</w:t>
        </w:r>
      </w:hyperlink>
      <w:bookmarkEnd w:id="242"/>
      <w:r>
        <w:t xml:space="preserve"> warn that developing countries may be left behind in the AI revolution; FLOP exporting offers a route in. The concept relates to </w:t>
      </w:r>
      <w:bookmarkStart w:id="259" w:name="Hausmann2007txt"/>
      <w:hyperlink w:anchor="Hausmann2007" w:history="1">
        <w:r>
          <w:rPr>
            <w:color w:val="1F3864"/>
            <w:u w:val="single"/>
          </w:rPr>
          <w:t xml:space="preserve">Hausmann et al. (2007)</w:t>
        </w:r>
      </w:hyperlink>
      <w:bookmarkEnd w:id="259"/>
      <w:r>
        <w:t xml:space="preserve"> on export composition and growth, and to </w:t>
      </w:r>
      <w:bookmarkStart w:id="253" w:name="Limao2001txt"/>
      <w:hyperlink w:anchor="Limao2001" w:history="1">
        <w:r>
          <w:rPr>
            <w:color w:val="1F3864"/>
            <w:u w:val="single"/>
          </w:rPr>
          <w:t xml:space="preserve">Limão and Venables (2001)</w:t>
        </w:r>
      </w:hyperlink>
      <w:bookmarkEnd w:id="253"/>
      <w:r>
        <w:t xml:space="preserve"> on infrastructure as a trade cost determinant.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4" w:name="Blinder2006txt"/>
      <w:hyperlink w:anchor="Blinder2006" w:history="1">
        <w:r>
          <w:rPr>
            <w:color w:val="1F3864"/>
            <w:u w:val="single"/>
          </w:rPr>
          <w:t xml:space="preserve">Blinder 2006</w:t>
        </w:r>
      </w:hyperlink>
      <w:bookmarkEnd w:id="204"/>
      <w:r>
        <w:t xml:space="preserve">), while FLOP exporting is capital- and energy-intensive, so the set of potential exporters is fundamentally different — energy-rich countries rather than labor-abundant ones. A bigger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in services offshoring, where factor-price gaps are large.</w:t>
      </w:r>
    </w:p>
    <w:p>
      <w:pPr>
        <w:spacing w:before="0" w:after="160" w:line="360" w:lineRule="auto"/>
        <w:ind w:firstLine="0"/>
        <w:jc w:val="both"/>
      </w:pPr>
      <w:r>
        <w:t xml:space="preserve">Several studies examine where firms should build data centers. </w:t>
      </w:r>
      <w:bookmarkStart w:id="205" w:name="Flucker2013txt"/>
      <w:hyperlink w:anchor="Flucker2013" w:history="1">
        <w:r>
          <w:rPr>
            <w:color w:val="1F3864"/>
            <w:u w:val="single"/>
          </w:rPr>
          <w:t xml:space="preserve">Flucker et al. (2013)</w:t>
        </w:r>
      </w:hyperlink>
      <w:bookmarkEnd w:id="205"/>
      <w:r>
        <w:t xml:space="preserve"> show that climate affects data center cooling costs. </w:t>
      </w:r>
      <w:bookmarkStart w:id="254" w:name="Liu2023txt"/>
      <w:hyperlink w:anchor="Liu2023" w:history="1">
        <w:r>
          <w:rPr>
            <w:color w:val="1F3864"/>
            <w:u w:val="single"/>
          </w:rPr>
          <w:t xml:space="preserve">Liu et al. (2023)</w:t>
        </w:r>
      </w:hyperlink>
      <w:bookmarkEnd w:id="254"/>
      <w:r>
        <w:t xml:space="preserve"> study data center placement under renewable energy constraints. In international trade theory, </w:t>
      </w:r>
      <w:bookmarkStart w:id="260" w:name="Brainard1997txt"/>
      <w:hyperlink w:anchor="Brainard1997" w:history="1">
        <w:r>
          <w:rPr>
            <w:color w:val="1F3864"/>
            <w:u w:val="single"/>
          </w:rPr>
          <w:t xml:space="preserve">Brainard (1997)</w:t>
        </w:r>
      </w:hyperlink>
      <w:bookmarkEnd w:id="260"/>
      <w:r>
        <w:t xml:space="preserve"> formalizes the proximity-concentration trade-off between serving a market locally and concentrating production abroad, and </w:t>
      </w:r>
      <w:bookmarkStart w:id="243" w:name="HMY2004txt"/>
      <w:hyperlink w:anchor="HMY2004" w:history="1">
        <w:r>
          <w:rPr>
            <w:color w:val="1F3864"/>
            <w:u w:val="single"/>
          </w:rPr>
          <w:t xml:space="preserve">Helpman et al. (2004)</w:t>
        </w:r>
      </w:hyperlink>
      <w:bookmarkEnd w:id="243"/>
      <w:r>
        <w:t xml:space="preserve"> extend this to heterogeneous firms choosing between exporting and FDI.</w:t>
      </w:r>
    </w:p>
    <w:p>
      <w:pPr>
        <w:spacing w:before="0" w:after="160" w:line="360" w:lineRule="auto"/>
        <w:ind w:firstLine="0"/>
        <w:jc w:val="both"/>
      </w:pPr>
      <w:r>
        <w:t xml:space="preserve">On governance, </w:t>
      </w:r>
      <w:bookmarkStart w:id="244" w:name="Sastry2024txt"/>
      <w:hyperlink w:anchor="Sastry2024" w:history="1">
        <w:r>
          <w:rPr>
            <w:color w:val="1F3864"/>
            <w:u w:val="single"/>
          </w:rPr>
          <w:t xml:space="preserve">Sastry et al. (2024)</w:t>
        </w:r>
      </w:hyperlink>
      <w:bookmarkEnd w:id="244"/>
      <w:r>
        <w:t xml:space="preserve"> argue that compute is well-suited for regulation. </w:t>
      </w:r>
      <w:bookmarkStart w:id="206" w:name="Lehdonvirta2024txt"/>
      <w:hyperlink w:anchor="Lehdonvirta2024" w:history="1">
        <w:r>
          <w:rPr>
            <w:color w:val="1F3864"/>
            <w:u w:val="single"/>
          </w:rPr>
          <w:t xml:space="preserve">Lehdonvirta et al. (2024)</w:t>
        </w:r>
      </w:hyperlink>
      <w:bookmarkEnd w:id="206"/>
      <w:r>
        <w:t xml:space="preserve"> map a “Compute North” with training-capable hardware versus a “Compute South” limited to inference chips. </w:t>
      </w:r>
      <w:bookmarkStart w:id="255" w:name="Pilz2025txt"/>
      <w:hyperlink w:anchor="Pilz2025" w:history="1">
        <w:r>
          <w:rPr>
            <w:color w:val="1F3864"/>
            <w:u w:val="single"/>
          </w:rPr>
          <w:t xml:space="preserve">Pilz et al. (2025)</w:t>
        </w:r>
      </w:hyperlink>
      <w:bookmarkEnd w:id="255"/>
      <w:r>
        <w:t xml:space="preserve"> project that data center power demand could reach 327 GW by 2030. The </w:t>
      </w:r>
      <w:bookmarkStart w:id="261" w:name="WorldBank2025txt"/>
      <w:hyperlink w:anchor="WorldBank2025" w:history="1">
        <w:r>
          <w:rPr>
            <w:color w:val="1F3864"/>
            <w:u w:val="single"/>
          </w:rPr>
          <w:t xml:space="preserve">World Bank (2025)</w:t>
        </w:r>
      </w:hyperlink>
      <w:bookmarkEnd w:id="261"/>
      <w:r>
        <w:t xml:space="preserve"> documents the resulting divide,  high-income countries hold 77% of colocation capacity,  but without a formal framework linking costs to trade patterns. </w:t>
      </w:r>
      <w:bookmarkStart w:id="245" w:name="Biglaiser2024txt"/>
      <w:hyperlink w:anchor="Biglaiser2024" w:history="1">
        <w:r>
          <w:rPr>
            <w:color w:val="1F3864"/>
            <w:u w:val="single"/>
          </w:rPr>
          <w:t xml:space="preserve">Biglaiser et al. (2024)</w:t>
        </w:r>
      </w:hyperlink>
      <w:bookmarkEnd w:id="245"/>
      <w:r>
        <w:t xml:space="preserve"> survey cloud market IO, and </w:t>
      </w:r>
      <w:bookmarkStart w:id="256" w:name="Stojkoski2024txt"/>
      <w:hyperlink w:anchor="Stojkoski2024" w:history="1">
        <w:r>
          <w:rPr>
            <w:color w:val="1F3864"/>
            <w:u w:val="single"/>
          </w:rPr>
          <w:t xml:space="preserve">Stojkoski et al. (2024)</w:t>
        </w:r>
      </w:hyperlink>
      <w:bookmarkEnd w:id="256"/>
      <w:r>
        <w:t xml:space="preserve"> estimate cloud export geography but treat services as homogeneous. The present model adds supply-side cost structure and a training–inference distinction.</w:t>
      </w:r>
    </w:p>
    <w:p>
      <w:pPr>
        <w:pStyle w:val="Heading1"/>
      </w:pPr>
      <w:r>
        <w:rPr>
          <w:rFonts w:ascii="Times New Roman" w:hAnsi="Times New Roman"/>
          <w:b/>
          <w:color w:val="2F5496"/>
          <w:sz w:val="28"/>
        </w:rPr>
        <w:t>3. Model of Compute Production and Trade</w:t>
      </w:r>
    </w:p>
    <w:p>
      <w:pPr>
        <w:spacing w:before="0" w:after="160" w:line="360" w:lineRule="auto"/>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 Processing Units (GPU),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16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line="360" w:lineRule="auto"/>
        <w:ind w:firstLine="0"/>
        <w:jc w:val="both"/>
      </w:pPr>
      <w:r>
        <w:t xml:space="preserve">Countries export goods intensive in their abundant factors (</w:t>
      </w:r>
      <w:bookmarkStart w:id="207" w:name="Ohlin1933txt"/>
      <w:hyperlink w:anchor="Ohlin1933" w:history="1">
        <w:r>
          <w:rPr>
            <w:color w:val="1F3864"/>
            <w:u w:val="single"/>
          </w:rPr>
          <w:t xml:space="preserve">Ohlin 1933</w:t>
        </w:r>
      </w:hyperlink>
      <w:bookmarkEnd w:id="207"/>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8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08" w:name="BaileyEtAl2017txt"/>
      <w:hyperlink w:anchor="BaileyEtAl2017" w:history="1">
        <w:r>
          <w:rPr>
            <w:color w:val="1F3864"/>
            <w:u w:val="single"/>
          </w:rPr>
          <w:t xml:space="preserve">Bailey, Strezhnev, and Voeten 2017</w:t>
        </w:r>
      </w:hyperlink>
      <w:bookmarkEnd w:id="208"/>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720" w:type="dxa"/>
            <w:vAlign w:val="center"/>
          </w:tcPr>
          <w:p>
            <w:pPr>
              <w:jc w:val="right"/>
              <w:spacing w:before="60" w:after="60"/>
            </w:pPr>
            <w:bookmarkStart w:id="802" w:name="Eq2"/>
            <w:r>
              <w:t>(2)</w:t>
            </w:r>
            <w:bookmarkEnd w:id="802"/>
          </w:p>
        </w:tc>
      </w:tr>
    </w:tbl>
    <w:p>
      <w:pPr>
        <w:spacing w:before="80" w:after="80" w:line="360" w:lineRule="auto"/>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Governance quality, grid reliability, and other institutional factors that affect the willingness of buyers to source compute from a particular country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in this set attract investment also depend on agglomeration economies, hyperscaler market structure, and network connectivity (</w:t>
      </w:r>
      <w:bookmarkStart w:id="209" w:name="Krugman1991txt"/>
      <w:hyperlink w:anchor="Krugman1991" w:history="1">
        <w:r>
          <w:rPr>
            <w:color w:val="1F3864"/>
            <w:u w:val="single"/>
          </w:rPr>
          <w:t xml:space="preserve">Krugman 1991</w:t>
        </w:r>
      </w:hyperlink>
      <w:bookmarkEnd w:id="209"/>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0" w:name="Eurostat2025txt"/>
      <w:hyperlink w:anchor="Eurostat2025" w:history="1">
        <w:r>
          <w:rPr>
            <w:color w:val="1F3864"/>
            <w:u w:val="single"/>
          </w:rPr>
          <w:t xml:space="preserve">Eurostat 2025</w:t>
        </w:r>
      </w:hyperlink>
      <w:bookmarkEnd w:id="210"/>
      <w:r>
        <w:t xml:space="preserve">). For non-European countries, the prices are obtained from national regulator tariff sheets and secondary sources, including the U.S. Energy Information Administration (</w:t>
      </w:r>
      <w:bookmarkStart w:id="246" w:name="EIA2025txt"/>
      <w:hyperlink w:anchor="EIA2025" w:history="1">
        <w:r>
          <w:rPr>
            <w:color w:val="1F3864"/>
            <w:u w:val="single"/>
          </w:rPr>
          <w:t xml:space="preserve">EIA 2025</w:t>
        </w:r>
      </w:hyperlink>
      <w:bookmarkEnd w:id="246"/>
      <w:r>
        <w:t xml:space="preserve">) for the United States, KEPCO for South Korea,</w:t>
      </w:r>
      <w:r>
        <w:rPr>
          <w:rStyle w:val="FootnoteReference"/>
        </w:rPr>
        <w:footnoteReference w:id="24"/>
      </w:r>
      <w:r>
        <w:t xml:space="preserve">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line="360" w:lineRule="auto"/>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6" w:name="Google2024txt"/>
      <w:hyperlink w:anchor="Google2024" w:history="1">
        <w:r>
          <w:rPr>
            <w:color w:val="1F3864"/>
            <w:u w:val="single"/>
          </w:rPr>
          <w:t xml:space="preserve">Google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1" w:name="Deloitte2020txt"/>
      <w:hyperlink w:anchor="Deloitte2020" w:history="1">
        <w:r>
          <w:rPr>
            <w:color w:val="1F3864"/>
            <w:u w:val="single"/>
          </w:rPr>
          <w:t xml:space="preserve">Deloitte (2020)</w:t>
        </w:r>
      </w:hyperlink>
      <w:bookmarkEnd w:id="221"/>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2" w:name="Eq2txt902"/>
      <w:hyperlink w:anchor="Eq2" w:history="1">
        <w:r>
          <w:rPr>
            <w:color w:val="1F3864"/>
            <w:u w:val="single"/>
          </w:rPr>
          <w:t xml:space="preserve">eq.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0.04–0.07.</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7" w:name="IMF2025txt"/>
      <w:hyperlink w:anchor="IMF2025" w:history="1">
        <w:r>
          <w:rPr>
            <w:color w:val="1F3864"/>
            <w:u w:val="single"/>
          </w:rPr>
          <w:t xml:space="preserve">IMF 2025</w:t>
        </w:r>
      </w:hyperlink>
      <w:bookmarkEnd w:id="247"/>
      <w:r>
        <w:t xml:space="preserve">, </w:t>
      </w:r>
      <w:bookmarkStart w:id="223" w:name="Lazard2025txt"/>
      <w:hyperlink w:anchor="Lazard2025" w:history="1">
        <w:r>
          <w:rPr>
            <w:color w:val="1F3864"/>
            <w:u w:val="single"/>
          </w:rPr>
          <w:t xml:space="preserve">Lazard 2025</w:t>
        </w:r>
      </w:hyperlink>
      <w:bookmarkEnd w:id="223"/>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$93 million per year in implicit fiscal transfer. At hyperscale, such subsidies are fiscally unsustainable. The resulting cost-recovery ranking (column (2) of </w:t>
      </w:r>
      <w:hyperlink w:anchor="Table3" w:history="1">
        <w:r>
          <w:rPr>
            <w:color w:val="1F3864"/>
            <w:u w:val="single"/>
          </w:rPr>
          <w:t xml:space="preserve">Table 3</w:t>
        </w:r>
      </w:hyperlink>
      <w:r>
        <w:t>) shifts the top of the ranking toward hydropower-rich countries: Kyrgyzstan, Canada, Ethiopia, Kosovo, and Tajikistan. Iran drops from first to 24th. 40 countries change their trade regimes.</w:t>
      </w:r>
    </w:p>
    <w:p>
      <w:pPr>
        <w:spacing w:before="0" w:after="160" w:line="360" w:lineRule="auto"/>
        <w:ind w:firstLine="0"/>
        <w:jc w:val="both"/>
      </w:pPr>
      <w:r>
        <w:t>The cost-recovery adjustment reshapes the rankings: Turkmenistan drops 16 places, Tajikistan drops 7.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59, 1,800 MW; Ireland: rank 84, 1,260 MW). The cost ranking identifies the feasible set of exporters, not a prediction of realized investment.</w:t>
      </w:r>
      <m:oMath>
        <m:sSub>
          <m:sSubPr/>
          <m:e>
            <m:r>
              <m:rPr>
                <m:sty m:val="i"/>
              </m:rPr>
              <w:rPr>
                <w:rFonts w:ascii="Cambria Math" w:hAnsi="Cambria Math"/>
              </w:rPr>
              <m:t xml:space="preserve">K̄</m:t>
            </m:r>
          </m:e>
          <m:sub>
            <m:r>
              <m:rPr>
                <m:sty m:val="i"/>
              </m:rPr>
              <w:rPr>
                <w:rFonts w:ascii="Cambria Math" w:hAnsi="Cambria Math"/>
              </w:rPr>
              <m:t xml:space="preserve">j</m:t>
            </m:r>
          </m:sub>
        </m:sSub>
      </m:oMath>
    </w:p>
    <w:p>
      <w:pPr>
        <w:spacing w:before="0" w:after="160" w:line="360" w:lineRule="auto"/>
        <w:ind w:firstLine="0"/>
        <w:jc w:val="both"/>
      </w:pPr>
      <w:r>
        <w:t xml:space="preserve">Recent FDI data confirm this pattern. Among EMDEs, the largest recipients of data-center investment are Malaysia, India, and Brazil—countries with moderate electricity costs but strong regulatory frameworks and credible grid infrastructure—while the cheapest producers in our calibration (Kyrgyzstan, Tajikistan, Ethiopia) have received virtually no data-center FDI (</w:t>
      </w:r>
      <w:bookmarkStart w:id="257" w:name="AykutEtAl2026txt"/>
      <w:hyperlink w:anchor="AykutEtAl2026" w:history="1">
        <w:r>
          <w:rPr>
            <w:color w:val="1F3864"/>
            <w:u w:val="single"/>
          </w:rPr>
          <w:t xml:space="preserve">Aykut et al. 2026</w:t>
        </w:r>
      </w:hyperlink>
      <w:bookmarkEnd w:id="257"/>
      <w:r>
        <w:t xml:space="preserve">). Moreover, most announced investment flows between geopolitical allies, consistent with the bilateral sovereignty premium rather than cost alone determining where capacity is built (</w:t>
      </w:r>
      <w:bookmarkStart w:id="248" w:name="StraubEtAl2026txt"/>
      <w:hyperlink w:anchor="StraubEtAl2026" w:history="1">
        <w:r>
          <w:rPr>
            <w:color w:val="1F3864"/>
            <w:u w:val="single"/>
          </w:rPr>
          <w:t xml:space="preserve">Straub et al. 2026</w:t>
        </w:r>
      </w:hyperlink>
      <w:bookmarkEnd w:id="248"/>
      <w:r>
        <w:t xml:space="preserve">). Econometric evidence confirms that electricity costs are not a robust predictor of data center location once market size and regulatory environment are controlled for (</w:t>
      </w:r>
      <w:bookmarkStart w:id="224" w:name="CaouiSteck2025txt"/>
      <w:hyperlink w:anchor="CaouiSteck2025" w:history="1">
        <w:r>
          <w:rPr>
            <w:color w:val="1F3864"/>
            <w:u w:val="single"/>
          </w:rPr>
          <w:t xml:space="preserve">Caoui and Steck 2025</w:t>
        </w:r>
      </w:hyperlink>
      <w:bookmarkEnd w:id="224"/>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is particularly powerful for inference, since the latency markup within Europe is moderate (10–40 ms, adding 1–3%),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3" w:name="Eq4txt903"/>
      <w:hyperlink w:anchor="Eq4" w:history="1">
        <w:r>
          <w:rPr>
            <w:color w:val="1F3864"/>
            <w:u w:val="single"/>
          </w:rPr>
          <w:t xml:space="preserve">equation (4)</w:t>
        </w:r>
      </w:hyperlink>
      <w:bookmarkEnd w:id="903"/>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0.9959), confirming Proposition 2. </w:t>
      </w:r>
      <w:r>
        <w:t xml:space="preserve">The largest shadow values of grid capacity are in Kyrgyzstan ($0.014/hr),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Kyrgyzstan (26%), Kosovo (6%), the United Kingdom (1%), and Indonesia (0.9%), collectively accounting for 77% of cross-border inference demand (HHI = 0.2591). </w:t>
      </w:r>
    </w:p>
    <w:p>
      <w:pPr>
        <w:spacing w:before="0" w:after="160" w:line="360" w:lineRule="auto"/>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p>
    <w:p>
      <w:pPr>
        <w:spacing w:before="0" w:after="160" w:line="360" w:lineRule="auto"/>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and France, inference is sourced from Kosovo, and for the United Kingdom, domestically. 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 xml:space="preserve">Among these demand centers, China illustrates the DD regime. Despite hosting one of the world’s largest data-center markets, virtually all capacity is built and financed by domestic technology firms and state-owned operators such as Alibaba Cloud, Tencent, Baidu, and China Telecom, with negligible foreign FDI (</w:t>
      </w:r>
      <w:bookmarkStart w:id="225" w:name="AykutEtAl2026txt"/>
      <w:hyperlink w:anchor="AykutEtAl2026" w:history="1">
        <w:r>
          <w:rPr>
            <w:color w:val="1F3864"/>
            <w:u w:val="single"/>
          </w:rPr>
          <w:t xml:space="preserve">Aykut et al. 2026</w:t>
        </w:r>
      </w:hyperlink>
      <w:bookmarkEnd w:id="225"/>
      <w:r>
        <w:t xml:space="preserve">). The model predicts exactly this outcome: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reinforce domestic sourcing by shifting energy-intensive computing to western provinces with cheaper power.</w:t>
      </w:r>
    </w:p>
    <w:p>
      <w:pPr>
        <w:spacing w:before="0" w:after="160" w:line="360" w:lineRule="auto"/>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6" w:name="EatonKortum2002txt"/>
      <w:hyperlink w:anchor="EatonKortum2002" w:history="1">
        <w:r>
          <w:rPr>
            <w:color w:val="1F3864"/>
            <w:u w:val="single"/>
          </w:rPr>
          <w:t xml:space="preserve">Eaton and Kortum 2002</w:t>
        </w:r>
      </w:hyperlink>
      <w:bookmarkEnd w:id="226"/>
      <w:r>
        <w:t xml:space="preserve">, </w:t>
      </w:r>
      <w:bookmarkStart w:id="249" w:name="ACR2012txt"/>
      <w:hyperlink w:anchor="ACR2012" w:history="1">
        <w:r>
          <w:rPr>
            <w:color w:val="1F3864"/>
            <w:u w:val="single"/>
          </w:rPr>
          <w:t xml:space="preserve">Arkolakis et al. 2012</w:t>
        </w:r>
      </w:hyperlink>
      <w:bookmarkEnd w:id="249"/>
      <w:r>
        <w:t xml:space="preserve">). At current demand levels (approximately 6 × 10¹⁰ GPU-hours at $1.50/hr), this amounts to roughly $1.3 billion per year. This cost is small enough that governments with legitimate data-sovereignty objectives, such as military applications, health records, and national statistical systems, may prefer domestic production even at the cost of efficiency.</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confidential data, but much of the current policy push extends the sovereignty logic to routine commercial computation. The welfare cost is significant.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27" w:name="WorldBank2025txt"/>
      <w:hyperlink w:anchor="WorldBank2025" w:history="1">
        <w:r>
          <w:rPr>
            <w:color w:val="1F3864"/>
            <w:u w:val="single"/>
          </w:rPr>
          <w:t xml:space="preserve">World Bank (2025)</w:t>
        </w:r>
      </w:hyperlink>
      <w:bookmarkEnd w:id="227"/>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line="360" w:lineRule="auto"/>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that intensify this pressure in water-stressed economies.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the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An extension with upward-sloping supply curves would compress these advantages. Recent estimates suggest that AI workloads, combined with broader electrification, could raise U.S. wholesale electricity prices by roughly 19 percent between 2025 and 2028 (</w:t>
      </w:r>
      <w:bookmarkStart w:id="228" w:name="Chandramowli2024txt"/>
      <w:hyperlink w:anchor="Chandramowli2024" w:history="1">
        <w:r>
          <w:rPr>
            <w:color w:val="1F3864"/>
            <w:u w:val="single"/>
          </w:rPr>
          <w:t xml:space="preserve">Chandramowli et al. 2024</w:t>
        </w:r>
      </w:hyperlink>
      <w:bookmarkEnd w:id="228"/>
      <w:r>
        <w:t xml:space="preserve">), and AI data-center expansion alone could increase retail prices by 8–9 percent by 2030 (</w:t>
      </w:r>
      <w:bookmarkStart w:id="250" w:name="IMF2025txt"/>
      <w:hyperlink w:anchor="IMF2025" w:history="1">
        <w:r>
          <w:rPr>
            <w:color w:val="1F3864"/>
            <w:u w:val="single"/>
          </w:rPr>
          <w:t xml:space="preserve">IMF 2025</w:t>
        </w:r>
      </w:hyperlink>
      <w:bookmarkEnd w:id="250"/>
      <w:r>
        <w:t xml:space="preserve">). For small grids such as Kyrgyzstan’s, the proportional impact would be substantially larger, further eroding the cost advantages documented above.</w:t>
      </w:r>
    </w:p>
    <w:p>
      <w:pPr>
        <w:spacing w:before="0" w:after="160" w:line="360" w:lineRule="auto"/>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9" w:name="Calcaterra2024txt"/>
      <w:hyperlink w:anchor="Calcaterra2024" w:history="1">
        <w:r>
          <w:rPr>
            <w:color w:val="1F3864"/>
            <w:u w:val="single"/>
          </w:rPr>
          <w:t xml:space="preserve">Calcaterra et al. 2024</w:t>
        </w:r>
      </w:hyperlink>
      <w:bookmarkEnd w:id="229"/>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 The sensitivity results can be read as comparative statics. A rise in global hardware costs increases the globally-priced cost share, compressing the locally-penalized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erodes the cost advantage that defines FLOP-exporting potential, as the endogenous electricity price extension above illustrates.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shifts the composition of the top fifteen countries, but the qualitative result is robust across all specifications. The economic intuition is straightforward: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making developing-country entry easier. Countries combining cheap energy with adequate governance retain their cost advantage regardless of the particular parameter choice.</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line="360" w:lineRule="auto"/>
        <w:ind w:firstLine="0"/>
        <w:jc w:val="both"/>
      </w:pPr>
      <w:r>
        <w:t xml:space="preserve">Cross-country evidence on policy readiness reinforces this conclusion. Economies with advanced AI and cloud strategies—such as Singapore, Australia, Japan, and South Korea—record estimated economic impacts from AI and cloud investment of 3–4 percent of GDP, compared with less than 1 percent in countries such as Indonesia and Viet Nam (</w:t>
      </w:r>
      <w:bookmarkStart w:id="251" w:name="KatzEtAl2025txt"/>
      <w:hyperlink w:anchor="KatzEtAl2025" w:history="1">
        <w:r>
          <w:rPr>
            <w:color w:val="1F3864"/>
            <w:u w:val="single"/>
          </w:rPr>
          <w:t xml:space="preserve">Katz et al. 2025</w:t>
        </w:r>
      </w:hyperlink>
      <w:bookmarkEnd w:id="251"/>
      <w:r>
        <w:t xml:space="preserve">). The model’s institutional quality parameter captures, in reduced form, the complementary investments in digital skills, regulatory predictability, and grid modernization that separate these two groups. Countries that align digital ambitions with energy-sector planning—Malaysia through its National Energy Transition Roadmap, Brazil with an electricity mix over 80 percent renewable, the UAE with nuclear- and solar-powered AI hubs—are emerging as preferred destinations for hyperscalers, exactly as the model predicts for countries combining moderate costs with high institutional quality (</w:t>
      </w:r>
      <w:bookmarkStart w:id="230" w:name="AykutEtAl2026txt"/>
      <w:hyperlink w:anchor="AykutEtAl2026" w:history="1">
        <w:r>
          <w:rPr>
            <w:color w:val="1F3864"/>
            <w:u w:val="single"/>
          </w:rPr>
          <w:t xml:space="preserve">Aykut et al. 2026</w:t>
        </w:r>
      </w:hyperlink>
      <w:bookmarkEnd w:id="230"/>
      <w:r>
        <w:t xml:space="preserve">).</w:t>
      </w:r>
    </w:p>
    <w:p>
      <w:pPr>
        <w:spacing w:before="0" w:after="160" w:line="360" w:lineRule="auto"/>
        <w:ind w:firstLine="0"/>
        <w:jc w:val="both"/>
      </w:pPr>
      <w:r>
        <w:t xml:space="preserve">A further extension concerns the emerging shift from centralized inference to edge computing. As AI moves from heavy training workloads toward real-time inference on lightweight models deployed on local devices, the effective capacity ceiling for inference relaxes: inference need not be concentrated in large data centers but can be distributed across many small nodes connected via existing mobile networks. If this trend accelerates, the inference market’s HHI could fall further, and the set of countries capable of serving inference demand would expand. For EMDEs with weak grid infrastructure but adequate mobile connectivity, edge computing may offer a leapfrogging path that bypasses the grid bottlenecks central to the present model (</w:t>
      </w:r>
      <w:bookmarkStart w:id="231" w:name="AykutEtAl2026txt"/>
      <w:hyperlink w:anchor="AykutEtAl2026" w:history="1">
        <w:r>
          <w:rPr>
            <w:color w:val="1F3864"/>
            <w:u w:val="single"/>
          </w:rPr>
          <w:t xml:space="preserve">Aykut et al. 2026</w:t>
        </w:r>
      </w:hyperlink>
      <w:bookmarkEnd w:id="231"/>
      <w:r>
        <w:t xml:space="preserve">). Incorporating heterogeneous compute architectures—centralized GPU clusters for training, distributed edge nodes for inference—into the trade framework is a natural direction for future work.</w:t>
      </w:r>
    </w:p>
    <w:p>
      <w:pPr>
        <w:pStyle w:val="Heading1"/>
      </w:pPr>
      <w:r>
        <w:rPr>
          <w:rFonts w:ascii="Times New Roman" w:hAnsi="Times New Roman"/>
          <w:b/>
          <w:color w:val="2F5496"/>
          <w:sz w:val="28"/>
        </w:rPr>
        <w:t>8. Conclusion</w:t>
      </w:r>
    </w:p>
    <w:p>
      <w:pPr>
        <w:spacing w:before="0" w:after="160" w:line="360" w:lineRule="auto"/>
        <w:ind w:firstLine="0"/>
        <w:jc w:val="both"/>
      </w:pPr>
      <w:r>
        <w:t>In this paper, we develop a capacity-constrained Ricardian model of compute trade that distinguishes latency-insensitive training from latency-sensitive inference and incorporates bilateral sovereignty premia. The model identifies the conditions under which energy-rich countries can convert cheap electricity into exportable AI compute services, and the conditions under which geopolitical frictions prevent them from doing so.</w:t>
      </w:r>
    </w:p>
    <w:p>
      <w:pPr>
        <w:spacing w:before="0" w:after="160" w:line="360" w:lineRule="auto"/>
        <w:ind w:firstLine="0"/>
        <w:jc w:val="both"/>
      </w:pPr>
      <w:r>
        <w:t>The calibration on a sample of 85 countries demonstrates that because hardware is globally priced and dominates unit cost, the cross-country cost spread in compute production is far narrower than in any other tradable sector. As a result, countries with cheap electricity and favorable cooling conditions face a low absolute barrier to cost-competitiveness. At the same time, the same narrowness means that even modest frictions, such as a sovereignty premium, a governance penalty, or a higher cost of capital, are sufficient to alter a country’s trade regime. Compute is therefore simultaneously the easiest sector for developing countries to enter on cost grounds and the most vulnerable to small policy-induced distortions.</w:t>
      </w:r>
    </w:p>
    <w:p>
      <w:pPr>
        <w:spacing w:before="0" w:after="160" w:line="360" w:lineRule="auto"/>
        <w:ind w:firstLine="0"/>
        <w:jc w:val="both"/>
      </w:pPr>
      <w:r>
        <w:t xml:space="preserve">Under the bilateral sovereignty specification, trust deficits eliminate the cost advantage that developing countries hold under pure cost-recovery pricing. Compute exporting is constrained not by the price of electricity but by institutional credibility, such as non-sanctioned status, credible long-term power contracts, stable network connectivity, and a regulatory environment conducive for capital-intensive investment over a multi-decade horizon. The absence of these conditions shifts most countries toward domestic production at a nontrivial welfare cost. The welfare loss is small enough, however, that governments with legitimate data-sovereignty objectives may prefer domestic supply. </w:t>
      </w:r>
    </w:p>
    <w:p>
      <w:pPr>
        <w:spacing w:before="0" w:after="160" w:line="360" w:lineRule="auto"/>
        <w:ind w:firstLine="0"/>
        <w:jc w:val="both"/>
      </w:pPr>
      <w:r>
        <w:t>The policy implications differ by workload type. Restricting training imports raises costs without offsetting proximity gains, while domestic inference production can be justified by the genuine quality-of-service advantage that low latency confers, though this rationale weakens for countries located near low-cost neighbors.</w:t>
      </w:r>
    </w:p>
    <w:p>
      <w:pPr>
        <w:spacing w:before="0" w:after="160" w:line="360" w:lineRule="auto"/>
        <w:ind w:firstLine="0"/>
        <w:jc w:val="both"/>
      </w:pPr>
      <w:r>
        <w:t>FLOP exporting resembles capital-intensive resource processing when imported equipment transforms local energy into an exportable product with minimal domestic labor. But unlike extractive commodities, the underlying energy can be renewable, and compute demand is growing faster than demand for any physical commodity. The resource-curse literature warns that concentrated export revenues can lead to exchange-rate appreciation, institutional degradation, and exposure to demand cycles; whether compute-exporting countries face these risks depends on the ownership and fiscal structures they adopt. As bilateral trade-flow data emerge, the framework we developed here can be extended to gravity-style estimation, enabling sharper tests of the model’s predictions and more precise quantification of the welfare costs of sovereignty.</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hyperlink w:anchor="ABD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AykutEtAl2026"/>
      <w:hyperlink w:anchor="AykutEtAl2026txt" w:history="1">
        <w:r>
          <w:rPr>
            <w:color w:val="1F3864"/>
            <w:u w:val="single"/>
          </w:rPr>
          <w:t xml:space="preserve">Aykut, D., S. Ozyurt, K. Jung, and E. Vergara Cobos. (2026). </w:t>
        </w:r>
      </w:hyperlink>
      <w:r>
        <w:t xml:space="preserve">“Data Center and AI Investment in EMDEs: Risks and Opportunities.” </w:t>
      </w:r>
      <w:r>
        <w:rPr>
          <w:i/>
        </w:rPr>
        <w:t>Watch This Space</w:t>
      </w:r>
      <w:r>
        <w:t xml:space="preserve">. Washington, DC: </w:t>
      </w:r>
      <w:bookmarkStart w:id="232" w:name="WorldBank2024txt"/>
      <w:hyperlink w:anchor="WorldBank2024" w:history="1">
        <w:r>
          <w:rPr>
            <w:color w:val="1F3864"/>
            <w:u w:val="single"/>
          </w:rPr>
          <w:t xml:space="preserve">World Bank</w:t>
        </w:r>
      </w:hyperlink>
      <w:bookmarkEnd w:id="232"/>
      <w:r>
        <w:t xml:space="preserve"> Group.</w:t>
      </w:r>
      <w:bookmarkEnd w:id="502"/>
    </w:p>
    <w:p>
      <w:pPr>
        <w:spacing w:before="0" w:after="80" w:line="240" w:lineRule="exact"/>
        <w:ind w:hanging="720" w:left="720"/>
        <w:jc w:val="both"/>
      </w:pPr>
      <w:bookmarkStart w:id="503"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3"/>
    </w:p>
    <w:p>
      <w:pPr>
        <w:spacing w:before="0" w:after="80" w:line="240" w:lineRule="exact"/>
        <w:ind w:hanging="720" w:left="720"/>
        <w:jc w:val="both"/>
      </w:pPr>
      <w:bookmarkStart w:id="504"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4"/>
    </w:p>
    <w:p>
      <w:pPr>
        <w:spacing w:before="0" w:after="80" w:line="240" w:lineRule="exact"/>
        <w:ind w:hanging="720" w:left="720"/>
        <w:jc w:val="both"/>
      </w:pPr>
      <w:bookmarkStart w:id="505" w:name="BenzJaax2020"/>
      <w:r>
        <w:rPr>
          <w:color w:val="1F3864"/>
          <w:u w:val="single"/>
        </w:rPr>
        <w:t xml:space="preserve">Benz, S. and A. Jaax. (2020). </w:t>
      </w:r>
      <w:r>
        <w:t xml:space="preserve">“The Costs of Regulatory Barriers to Trade in Services: New Estimates of Ad Valorem Tariff Equivalents.” </w:t>
      </w:r>
      <w:r>
        <w:rPr>
          <w:i/>
        </w:rPr>
        <w:t>OECD Trade Policy Papers</w:t>
      </w:r>
      <w:r>
        <w:t>, No. 238. Paris: OECD Publishing.</w:t>
      </w:r>
      <w:bookmarkEnd w:id="505"/>
    </w:p>
    <w:p>
      <w:pPr>
        <w:spacing w:before="0" w:after="80" w:line="240" w:lineRule="exact"/>
        <w:ind w:hanging="720" w:left="720"/>
        <w:jc w:val="both"/>
      </w:pPr>
      <w:bookmarkStart w:id="506"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6"/>
    </w:p>
    <w:p>
      <w:pPr>
        <w:spacing w:before="0" w:after="80" w:line="240" w:lineRule="exact"/>
        <w:ind w:hanging="720" w:left="720"/>
        <w:jc w:val="both"/>
      </w:pPr>
      <w:bookmarkStart w:id="507"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7"/>
    </w:p>
    <w:p>
      <w:pPr>
        <w:spacing w:before="0" w:after="80" w:line="240" w:lineRule="exact"/>
        <w:ind w:hanging="720" w:left="720"/>
        <w:jc w:val="both"/>
      </w:pPr>
      <w:bookmarkStart w:id="508"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8"/>
    </w:p>
    <w:p>
      <w:pPr>
        <w:spacing w:before="0" w:after="80" w:line="240" w:lineRule="exact"/>
        <w:ind w:hanging="720" w:left="720"/>
        <w:jc w:val="both"/>
      </w:pPr>
      <w:bookmarkStart w:id="509"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9"/>
    </w:p>
    <w:p>
      <w:pPr>
        <w:spacing w:before="0" w:after="80" w:line="240" w:lineRule="exact"/>
        <w:ind w:hanging="720" w:left="720"/>
        <w:jc w:val="both"/>
      </w:pPr>
      <w:bookmarkStart w:id="510" w:name="CaouiSteck2025"/>
      <w:hyperlink w:anchor="CaouiSteck2025txt" w:history="1">
        <w:r>
          <w:rPr>
            <w:color w:val="1F3864"/>
            <w:u w:val="single"/>
          </w:rPr>
          <w:t xml:space="preserve">Caoui, E. H., and A. Steck. (2025). </w:t>
        </w:r>
      </w:hyperlink>
      <w:r>
        <w:t xml:space="preserve">“Content Providers and the Deployment of Internet Infrastructure.” </w:t>
      </w:r>
      <w:r>
        <w:rPr>
          <w:i/>
        </w:rPr>
        <w:t>Information Economics and Policy</w:t>
      </w:r>
      <w:r>
        <w:t>. doi:10.1016/j.infoecopol.2025.101134.</w:t>
      </w:r>
      <w:bookmarkEnd w:id="510"/>
    </w:p>
    <w:p>
      <w:pPr>
        <w:spacing w:before="0" w:after="80" w:line="240" w:lineRule="exact"/>
        <w:ind w:hanging="720" w:left="720"/>
        <w:jc w:val="both"/>
      </w:pPr>
      <w:bookmarkStart w:id="511" w:name="Chandramowli2024"/>
      <w:hyperlink w:anchor="Chandramowli2024txt" w:history="1">
        <w:r>
          <w:rPr>
            <w:color w:val="1F3864"/>
            <w:u w:val="single"/>
          </w:rPr>
          <w:t xml:space="preserve">Chandramowli, S., et al. (2024). </w:t>
        </w:r>
      </w:hyperlink>
      <w:r>
        <w:t xml:space="preserve">“Impact of Emerging Technologies on Electricity Demand and Prices.” </w:t>
      </w:r>
      <w:r>
        <w:rPr>
          <w:i/>
        </w:rPr>
        <w:t>Rhodium Group Analysis</w:t>
      </w:r>
      <w:r>
        <w:t>.</w:t>
      </w:r>
      <w:bookmarkEnd w:id="511"/>
    </w:p>
    <w:p>
      <w:pPr>
        <w:spacing w:before="0" w:after="80" w:line="240" w:lineRule="exact"/>
        <w:ind w:hanging="720" w:left="720"/>
        <w:jc w:val="both"/>
      </w:pPr>
      <w:bookmarkStart w:id="512"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2"/>
    </w:p>
    <w:p>
      <w:pPr>
        <w:spacing w:before="0" w:after="80" w:line="240" w:lineRule="exact"/>
        <w:ind w:hanging="720" w:left="720"/>
        <w:jc w:val="both"/>
      </w:pPr>
      <w:bookmarkStart w:id="513" w:name="Deloitte2020"/>
      <w:hyperlink w:anchor="Deloitte2020txt" w:history="1">
        <w:r>
          <w:rPr>
            <w:color w:val="1F3864"/>
            <w:u w:val="single"/>
          </w:rPr>
          <w:t xml:space="preserve">Deloitte and Google. (2020). </w:t>
        </w:r>
      </w:hyperlink>
      <w:r>
        <w:t>“Milliseconds Make Millions.” Deloitte Digital and Google.</w:t>
      </w:r>
      <w:bookmarkEnd w:id="513"/>
    </w:p>
    <w:p>
      <w:pPr>
        <w:spacing w:before="0" w:after="80" w:line="240" w:lineRule="exact"/>
        <w:ind w:hanging="720" w:left="720"/>
        <w:jc w:val="both"/>
      </w:pPr>
      <w:bookmarkStart w:id="514"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4"/>
    </w:p>
    <w:p>
      <w:pPr>
        <w:spacing w:before="0" w:after="80" w:line="240" w:lineRule="exact"/>
        <w:ind w:hanging="720" w:left="720"/>
        <w:jc w:val="both"/>
      </w:pPr>
      <w:bookmarkStart w:id="515"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5"/>
    </w:p>
    <w:p>
      <w:pPr>
        <w:spacing w:before="0" w:after="80" w:line="240" w:lineRule="exact"/>
        <w:ind w:hanging="720" w:left="720"/>
        <w:jc w:val="both"/>
      </w:pPr>
      <w:bookmarkStart w:id="516"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6"/>
    </w:p>
    <w:p>
      <w:pPr>
        <w:spacing w:before="0" w:after="80" w:line="240" w:lineRule="exact"/>
        <w:ind w:hanging="720" w:left="720"/>
        <w:jc w:val="both"/>
      </w:pPr>
      <w:bookmarkStart w:id="517" w:name="EpochAI2024"/>
      <w:hyperlink w:anchor="EpochAI2024txt" w:history="1">
        <w:r>
          <w:rPr>
            <w:color w:val="1F3864"/>
            <w:u w:val="single"/>
          </w:rPr>
          <w:t xml:space="preserve">Epoch AI. (2024). </w:t>
        </w:r>
      </w:hyperlink>
      <w:r>
        <w:t>“The Training Compute of Notable AI Models.” epochai.org.</w:t>
      </w:r>
      <w:bookmarkEnd w:id="517"/>
    </w:p>
    <w:p>
      <w:pPr>
        <w:spacing w:before="0" w:after="80" w:line="240" w:lineRule="exact"/>
        <w:ind w:hanging="720" w:left="720"/>
        <w:jc w:val="both"/>
      </w:pPr>
      <w:bookmarkStart w:id="518"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8"/>
    </w:p>
    <w:p>
      <w:pPr>
        <w:spacing w:before="0" w:after="80" w:line="240" w:lineRule="exact"/>
        <w:ind w:hanging="720" w:left="720"/>
        <w:jc w:val="both"/>
      </w:pPr>
      <w:bookmarkStart w:id="519"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9"/>
    </w:p>
    <w:p>
      <w:pPr>
        <w:spacing w:before="0" w:after="80" w:line="240" w:lineRule="exact"/>
        <w:ind w:hanging="720" w:left="720"/>
        <w:jc w:val="both"/>
      </w:pPr>
      <w:bookmarkStart w:id="520"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20"/>
    </w:p>
    <w:p>
      <w:pPr>
        <w:spacing w:before="0" w:after="80" w:line="240" w:lineRule="exact"/>
        <w:ind w:hanging="720" w:left="720"/>
        <w:jc w:val="both"/>
      </w:pPr>
      <w:bookmarkStart w:id="521"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1"/>
    </w:p>
    <w:p>
      <w:pPr>
        <w:spacing w:before="0" w:after="80" w:line="240" w:lineRule="exact"/>
        <w:ind w:hanging="720" w:left="720"/>
        <w:jc w:val="both"/>
      </w:pPr>
      <w:bookmarkStart w:id="522"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2"/>
    </w:p>
    <w:p>
      <w:pPr>
        <w:spacing w:before="0" w:after="80" w:line="240" w:lineRule="exact"/>
        <w:ind w:hanging="720" w:left="720"/>
        <w:jc w:val="both"/>
      </w:pPr>
      <w:bookmarkStart w:id="523" w:name="Google2024"/>
      <w:hyperlink w:anchor="Google2024txt" w:history="1">
        <w:r>
          <w:rPr>
            <w:color w:val="1F3864"/>
            <w:u w:val="single"/>
          </w:rPr>
          <w:t xml:space="preserve">Google. </w:t>
        </w:r>
      </w:hyperlink>
      <w:r>
        <w:t xml:space="preserve">(2024). </w:t>
      </w:r>
      <w:r>
        <w:rPr>
          <w:i/>
        </w:rPr>
        <w:t>2024 Environmental Report</w:t>
      </w:r>
      <w:r>
        <w:t>. sustainability.google.</w:t>
      </w:r>
      <w:bookmarkEnd w:id="523"/>
    </w:p>
    <w:p>
      <w:pPr>
        <w:spacing w:before="0" w:after="80" w:line="240" w:lineRule="exact"/>
        <w:ind w:hanging="720" w:left="720"/>
        <w:jc w:val="both"/>
      </w:pPr>
      <w:bookmarkStart w:id="524"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4"/>
    </w:p>
    <w:p>
      <w:pPr>
        <w:spacing w:before="0" w:after="80" w:line="240" w:lineRule="exact"/>
        <w:ind w:hanging="720" w:left="720"/>
        <w:jc w:val="both"/>
      </w:pPr>
      <w:bookmarkStart w:id="525"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5"/>
    </w:p>
    <w:p>
      <w:pPr>
        <w:spacing w:before="0" w:after="80" w:line="240" w:lineRule="exact"/>
        <w:ind w:hanging="720" w:left="720"/>
        <w:jc w:val="both"/>
      </w:pPr>
      <w:bookmarkStart w:id="526"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6"/>
    </w:p>
    <w:p>
      <w:pPr>
        <w:spacing w:before="0" w:after="80" w:line="240" w:lineRule="exact"/>
        <w:ind w:hanging="720" w:left="720"/>
        <w:jc w:val="both"/>
      </w:pPr>
      <w:bookmarkStart w:id="527" w:name="IEA2025"/>
      <w:hyperlink w:anchor="IEA2025txt" w:history="1">
        <w:r>
          <w:rPr>
            <w:color w:val="1F3864"/>
            <w:u w:val="single"/>
          </w:rPr>
          <w:t xml:space="preserve">IEA. (2025). </w:t>
        </w:r>
      </w:hyperlink>
      <w:r>
        <w:t>“Energy Demand from AI.” Published online at iea.org.</w:t>
      </w:r>
      <w:bookmarkEnd w:id="527"/>
    </w:p>
    <w:p>
      <w:pPr>
        <w:spacing w:before="0" w:after="80" w:line="240" w:lineRule="exact"/>
        <w:ind w:hanging="720" w:left="720"/>
        <w:jc w:val="both"/>
      </w:pPr>
      <w:bookmarkStart w:id="528"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8"/>
    </w:p>
    <w:p>
      <w:pPr>
        <w:spacing w:before="0" w:after="80" w:line="240" w:lineRule="exact"/>
        <w:ind w:hanging="720" w:left="720"/>
        <w:jc w:val="both"/>
      </w:pPr>
      <w:bookmarkStart w:id="529" w:name="KatzEtAl2025"/>
      <w:hyperlink w:anchor="KatzEtAl2025txt" w:history="1">
        <w:r>
          <w:rPr>
            <w:color w:val="1F3864"/>
            <w:u w:val="single"/>
          </w:rPr>
          <w:t xml:space="preserve">Katz, R., K. Jung, and F. Callorda. (2025). </w:t>
        </w:r>
      </w:hyperlink>
      <w:r>
        <w:t>“The Economic Impact of AI and Cloud Investment in Asia-Pacific.” Report prepared for the Asian Development Bank.</w:t>
      </w:r>
      <w:bookmarkEnd w:id="529"/>
    </w:p>
    <w:p>
      <w:pPr>
        <w:spacing w:before="0" w:after="80" w:line="240" w:lineRule="exact"/>
        <w:ind w:hanging="720" w:left="720"/>
        <w:jc w:val="both"/>
      </w:pPr>
      <w:bookmarkStart w:id="530"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30"/>
    </w:p>
    <w:p>
      <w:pPr>
        <w:spacing w:before="0" w:after="80" w:line="240" w:lineRule="exact"/>
        <w:ind w:hanging="720" w:left="720"/>
        <w:jc w:val="both"/>
      </w:pPr>
      <w:bookmarkStart w:id="531"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1"/>
    </w:p>
    <w:p>
      <w:pPr>
        <w:spacing w:before="0" w:after="80" w:line="240" w:lineRule="exact"/>
        <w:ind w:hanging="720" w:left="720"/>
        <w:jc w:val="both"/>
      </w:pPr>
      <w:bookmarkStart w:id="532"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2"/>
    </w:p>
    <w:p>
      <w:pPr>
        <w:spacing w:before="0" w:after="80" w:line="240" w:lineRule="exact"/>
        <w:ind w:hanging="720" w:left="720"/>
        <w:jc w:val="both"/>
      </w:pPr>
      <w:bookmarkStart w:id="533"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3"/>
    </w:p>
    <w:p>
      <w:pPr>
        <w:spacing w:before="0" w:after="80" w:line="240" w:lineRule="exact"/>
        <w:ind w:hanging="720" w:left="720"/>
        <w:jc w:val="both"/>
      </w:pPr>
      <w:bookmarkStart w:id="534"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3" w:name="WorldBank2024txt"/>
      <w:hyperlink w:anchor="WorldBank2024" w:history="1">
        <w:r>
          <w:rPr>
            <w:i/>
            <w:color w:val="1F3864"/>
            <w:u w:val="single"/>
          </w:rPr>
          <w:t xml:space="preserve">World Bank</w:t>
        </w:r>
      </w:hyperlink>
      <w:bookmarkEnd w:id="233"/>
      <w:r>
        <w:rPr>
          <w:i/>
        </w:rPr>
        <w:t xml:space="preserve"> Economic Review</w:t>
      </w:r>
      <w:r>
        <w:t>, 15(3): 451–479.</w:t>
      </w:r>
      <w:bookmarkEnd w:id="534"/>
    </w:p>
    <w:p>
      <w:pPr>
        <w:spacing w:before="0" w:after="80" w:line="240" w:lineRule="exact"/>
        <w:ind w:hanging="720" w:left="720"/>
        <w:jc w:val="both"/>
      </w:pPr>
      <w:bookmarkStart w:id="535"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5"/>
    </w:p>
    <w:p>
      <w:pPr>
        <w:spacing w:before="0" w:after="80" w:line="240" w:lineRule="exact"/>
        <w:ind w:hanging="720" w:left="720"/>
        <w:jc w:val="both"/>
      </w:pPr>
      <w:bookmarkStart w:id="536" w:name="NVIDIA2024"/>
      <w:r>
        <w:rPr>
          <w:color w:val="1F3864"/>
          <w:u w:val="single"/>
        </w:rPr>
        <w:t xml:space="preserve">NVIDIA. </w:t>
      </w:r>
      <w:r>
        <w:t xml:space="preserve">(2024). </w:t>
      </w:r>
      <w:r>
        <w:rPr>
          <w:i/>
        </w:rPr>
        <w:t>NVIDIA H100 Tensor Core GPU Datasheet</w:t>
      </w:r>
      <w:r>
        <w:t>. nvidia.com.</w:t>
      </w:r>
      <w:bookmarkEnd w:id="536"/>
    </w:p>
    <w:p>
      <w:pPr>
        <w:spacing w:before="0" w:after="80" w:line="240" w:lineRule="exact"/>
        <w:ind w:hanging="720" w:left="720"/>
        <w:jc w:val="both"/>
      </w:pPr>
      <w:bookmarkStart w:id="537"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7"/>
    </w:p>
    <w:p>
      <w:pPr>
        <w:spacing w:before="0" w:after="80" w:line="240" w:lineRule="exact"/>
        <w:ind w:hanging="720" w:left="720"/>
        <w:jc w:val="both"/>
      </w:pPr>
      <w:bookmarkStart w:id="538"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8"/>
    </w:p>
    <w:p>
      <w:pPr>
        <w:spacing w:before="0" w:after="80" w:line="240" w:lineRule="exact"/>
        <w:ind w:hanging="720" w:left="720"/>
        <w:jc w:val="both"/>
      </w:pPr>
      <w:bookmarkStart w:id="539" w:name="Sastry2024"/>
      <w:hyperlink w:anchor="Sastry2024txt" w:history="1">
        <w:r>
          <w:rPr>
            <w:color w:val="1F3864"/>
            <w:u w:val="single"/>
          </w:rPr>
          <w:t xml:space="preserve">Sastry, G., L. Heim, et al. (2024). </w:t>
        </w:r>
      </w:hyperlink>
      <w:r>
        <w:t>“Computing Power and the Governance of Artificial Intelligence.” arXiv:2402.08797.</w:t>
      </w:r>
      <w:bookmarkEnd w:id="539"/>
    </w:p>
    <w:p>
      <w:pPr>
        <w:spacing w:before="0" w:after="80" w:line="240" w:lineRule="exact"/>
        <w:ind w:hanging="720" w:left="720"/>
        <w:jc w:val="both"/>
      </w:pPr>
      <w:bookmarkStart w:id="540"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40"/>
    </w:p>
    <w:p>
      <w:pPr>
        <w:spacing w:before="0" w:after="80" w:line="240" w:lineRule="exact"/>
        <w:ind w:hanging="720" w:left="720"/>
        <w:jc w:val="both"/>
      </w:pPr>
      <w:bookmarkStart w:id="541" w:name="StraubEtAl2026"/>
      <w:hyperlink w:anchor="StraubEtAl2026txt" w:history="1">
        <w:r>
          <w:rPr>
            <w:color w:val="1F3864"/>
            <w:u w:val="single"/>
          </w:rPr>
          <w:t xml:space="preserve">Straub, S., et al. </w:t>
        </w:r>
      </w:hyperlink>
      <w:r>
        <w:t xml:space="preserve">(2026). </w:t>
      </w:r>
      <w:r>
        <w:rPr>
          <w:i/>
        </w:rPr>
        <w:t>Infrastructure Foundations: From Current Assets to Future Growth</w:t>
      </w:r>
      <w:r>
        <w:t xml:space="preserve">. Sustainable Infrastructure Series. Washington, DC: </w:t>
      </w:r>
      <w:bookmarkStart w:id="234" w:name="WorldBank2024txt"/>
      <w:hyperlink w:anchor="WorldBank2024" w:history="1">
        <w:r>
          <w:rPr>
            <w:color w:val="1F3864"/>
            <w:u w:val="single"/>
          </w:rPr>
          <w:t xml:space="preserve">World Bank</w:t>
        </w:r>
      </w:hyperlink>
      <w:bookmarkEnd w:id="234"/>
      <w:r>
        <w:t xml:space="preserve">.</w:t>
      </w:r>
      <w:bookmarkEnd w:id="541"/>
    </w:p>
    <w:p>
      <w:pPr>
        <w:spacing w:before="0" w:after="80" w:line="240" w:lineRule="exact"/>
        <w:ind w:hanging="720" w:left="720"/>
        <w:jc w:val="both"/>
      </w:pPr>
      <w:bookmarkStart w:id="542"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42"/>
    </w:p>
    <w:p>
      <w:pPr>
        <w:spacing w:before="0" w:after="80" w:line="240" w:lineRule="exact"/>
        <w:ind w:hanging="720" w:left="720"/>
        <w:jc w:val="both"/>
      </w:pPr>
      <w:bookmarkStart w:id="543"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3"/>
    </w:p>
    <w:p>
      <w:pPr>
        <w:spacing w:before="0" w:after="80" w:line="240" w:lineRule="exact"/>
        <w:ind w:hanging="720" w:left="720"/>
        <w:jc w:val="both"/>
      </w:pPr>
      <w:bookmarkStart w:id="544"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5" w:name="WorldBank2024txt"/>
      <w:hyperlink w:anchor="WorldBank2024" w:history="1">
        <w:r>
          <w:rPr>
            <w:color w:val="1F3864"/>
            <w:u w:val="single"/>
          </w:rPr>
          <w:t xml:space="preserve">World Bank</w:t>
        </w:r>
      </w:hyperlink>
      <w:bookmarkEnd w:id="235"/>
      <w:r>
        <w:t xml:space="preserve">.</w:t>
      </w:r>
      <w:bookmarkEnd w:id="546"/>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943600" cy="5431221"/>
            <wp:docPr id="1" name="Picture 1"/>
            <wp:cNvGraphicFramePr>
              <a:graphicFrameLocks noChangeAspect="1"/>
            </wp:cNvGraphicFramePr>
            <a:graphic>
              <a:graphicData uri="http://schemas.openxmlformats.org/drawingml/2006/picture">
                <pic:pic>
                  <pic:nvPicPr>
                    <pic:cNvPr id="0" name="calibration_strategy_v31.png"/>
                    <pic:cNvPicPr/>
                  </pic:nvPicPr>
                  <pic:blipFill>
                    <a:blip r:embed="rId10"/>
                    <a:stretch>
                      <a:fillRect/>
                    </a:stretch>
                  </pic:blipFill>
                  <pic:spPr>
                    <a:xfrm>
                      <a:off x="0" y="0"/>
                      <a:ext cx="5943600" cy="5431221"/>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Step 1 adjusts production costs from observed tariffs to cost-recovery pricing. Step 2 applies bilateral sovereignty premiums.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(3) Bilateral</w:t>
            </w:r>
          </w:p>
        </w:tc>
      </w:tr>
      <w:tr>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r>
      <w:tr>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$1.56</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USA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Australia</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South Africa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South Korea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Nigeria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Mexico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Qatar</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Iceland</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Brazil</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New Zealand</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France</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Uzbekistan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Indonesia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Philippines</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Borders>
              <w:bottom w:val="double" w:sz="4" w:space="0" w:color="auto"/>
            </w:tcBorders>
            <w:tcW w:w="1400" w:type="dxa"/>
          </w:tcPr>
          <w:p>
            <w:pPr>
              <w:jc w:val="left"/>
              <w:spacing w:before="10" w:after="10"/>
            </w:pPr>
            <w:r/>
            <w:r>
              <w:rPr>
                <w:rFonts w:ascii="Times New Roman" w:hAnsi="Times New Roman"/>
                <w:sz w:val="16"/>
              </w:rPr>
              <w:t>Saudi Arabia</w:t>
            </w:r>
          </w:p>
        </w:tc>
        <w:tc>
          <w:tcPr>
            <w:tcBorders>
              <w:bottom w:val="double" w:sz="4" w:space="0" w:color="auto"/>
            </w:tcBorders>
            <w:tcW w:w="550" w:type="dxa"/>
          </w:tcPr>
          <w:p>
            <w:pPr>
              <w:jc w:val="center"/>
              <w:spacing w:before="10" w:after="10"/>
            </w:pPr>
            <w:r/>
            <w:r>
              <w:rPr>
                <w:rFonts w:ascii="Times New Roman" w:hAnsi="Times New Roman"/>
                <w:sz w:val="16"/>
              </w:rPr>
              <w:t>$1.62</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Georgia</w:t>
            </w:r>
          </w:p>
        </w:tc>
        <w:tc>
          <w:tcPr>
            <w:tcBorders>
              <w:bottom w:val="double" w:sz="4" w:space="0" w:color="auto"/>
            </w:tcBorders>
            <w:tcW w:w="550" w:type="dxa"/>
          </w:tcPr>
          <w:p>
            <w:pPr>
              <w:jc w:val="center"/>
              <w:spacing w:before="10" w:after="10"/>
            </w:pPr>
            <w:r/>
            <w:r>
              <w:rPr>
                <w:rFonts w:ascii="Times New Roman" w:hAnsi="Times New Roman"/>
                <w:sz w:val="16"/>
              </w:rPr>
              <w:t>$1.63</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Poland</w:t>
            </w:r>
          </w:p>
        </w:tc>
        <w:tc>
          <w:tcPr>
            <w:tcBorders>
              <w:bottom w:val="double" w:sz="4" w:space="0" w:color="auto"/>
            </w:tcBorders>
            <w:tcW w:w="550" w:type="dxa"/>
          </w:tcPr>
          <w:p>
            <w:pPr>
              <w:jc w:val="center"/>
              <w:spacing w:before="10" w:after="10"/>
            </w:pPr>
            <w:r/>
            <w:r>
              <w:rPr>
                <w:rFonts w:ascii="Times New Roman" w:hAnsi="Times New Roman"/>
                <w:sz w:val="16"/>
              </w:rPr>
              <w:t>$1.69</w:t>
            </w:r>
          </w:p>
        </w:tc>
        <w:tc>
          <w:tcPr>
            <w:tcBorders>
              <w:bottom w:val="double" w:sz="4" w:space="0" w:color="auto"/>
            </w:tcBorders>
            <w:tcW w:w="45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4" w:name="Eq3txt904"/>
      <w:hyperlink w:anchor="Eq3" w:history="1">
        <w:r>
          <w:rPr>
            <w:rFonts w:ascii="Times New Roman" w:hAnsi="Times New Roman"/>
            <w:sz w:val="20"/>
            <w:color w:val="1F3864"/>
            <w:u w:val="single"/>
          </w:rPr>
          <w:t xml:space="preserve">equation (3)</w:t>
        </w:r>
      </w:hyperlink>
      <w:bookmarkEnd w:id="904"/>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
              <w:rPr>
                <w:sz w:val="16"/>
              </w:rPr>
              <w:t>$0.128</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5" w:name="Eq4txt905"/>
      <w:hyperlink w:anchor="Eq4" w:history="1">
        <w:r>
          <w:rPr>
            <w:sz w:val="20"/>
            <w:color w:val="1F3864"/>
            <w:u w:val="single"/>
          </w:rPr>
          <w:t xml:space="preserve">equation (4)</w:t>
        </w:r>
      </w:hyperlink>
      <w:bookmarkEnd w:id="905"/>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6" w:name="Eq1txt906"/>
      <w:hyperlink w:anchor="Eq1" w:history="1">
        <w:r>
          <w:rPr>
            <w:color w:val="1F3864"/>
            <w:u w:val="single"/>
          </w:rPr>
          <w:t xml:space="preserve">equation (1)</w:t>
        </w:r>
      </w:hyperlink>
      <w:bookmarkEnd w:id="906"/>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7" w:name="Eq4txt907"/>
      <w:hyperlink w:anchor="Eq4" w:history="1">
        <w:r>
          <w:rPr>
            <w:color w:val="1F3864"/>
            <w:u w:val="single"/>
          </w:rPr>
          <w:t xml:space="preserve">equation (4)</w:t>
        </w:r>
      </w:hyperlink>
      <w:bookmarkEnd w:id="907"/>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8" w:name="Eq2txt908"/>
      <w:hyperlink w:anchor="Eq2" w:history="1">
        <w:r>
          <w:rPr>
            <w:color w:val="1F3864"/>
            <w:u w:val="single"/>
          </w:rPr>
          <w:t xml:space="preserve">equation (2)</w:t>
        </w:r>
      </w:hyperlink>
      <w:bookmarkEnd w:id="908"/>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10</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10</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Canada, Ethiopia, Kosovo,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36" w:name="ABD2020txt"/>
      <w:hyperlink w:anchor="ABD2020" w:history="1">
        <w:r>
          <w:rPr>
            <w:color w:val="1F3864"/>
            <w:u w:val="single"/>
          </w:rPr>
          <w:t xml:space="preserve">ABD 2020</w:t>
        </w:r>
      </w:hyperlink>
      <w:bookmarkEnd w:id="236"/>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i.e., there exists at least one country j with positive compute demand such that </w:t>
      </w:r>
      <m:oMath>
        <m:sSub>
          <m:sSubPr/>
          <m:e>
            <m:r>
              <m:rPr>
                <m:sty m:val="i"/>
              </m:rPr>
              <w:rPr>
                <w:rFonts w:ascii="Cambria Math" w:hAnsi="Cambria Math"/>
              </w:rPr>
              <m:t xml:space="preserve">d</m:t>
            </m:r>
          </m:e>
          <m:sub>
            <m:r>
              <m:rPr>
                <m:sty m:val="i"/>
              </m:rPr>
              <w:rPr>
                <w:rFonts w:ascii="Cambria Math" w:hAnsi="Cambria Math"/>
              </w:rPr>
              <m:t xml:space="preserve">ij</m:t>
            </m:r>
          </m:sub>
        </m:sSub>
        <m:r>
          <m:rPr>
            <m:sty m:val="p"/>
          </m:rPr>
          <w:rPr>
            <w:rFonts w:ascii="Cambria Math" w:hAnsi="Cambria Math"/>
          </w:rPr>
          <m:t xml:space="preserve"> &lt; </m:t>
        </m:r>
        <m:sSub>
          <m:sSubPr/>
          <m:e>
            <m:r>
              <m:rPr>
                <m:sty m:val="i"/>
              </m:rPr>
              <w:rPr>
                <w:rFonts w:ascii="Cambria Math" w:hAnsi="Cambria Math"/>
              </w:rPr>
              <m:t xml:space="preserve">τ</m:t>
            </m:r>
          </m:e>
          <m:sub>
            <m:r>
              <m:rPr>
                <m:sty m:val="i"/>
              </m:rPr>
              <w:rPr>
                <w:rFonts w:ascii="Cambria Math" w:hAnsi="Cambria Math"/>
              </w:rPr>
              <m:t xml:space="preserve">max</m:t>
            </m:r>
          </m:sub>
        </m:sSub>
      </m:oMath>
      <w:r>
        <w:t xml:space="preserve">. A hypothetical country with the globally lowest production cost but round-trip latency exceeding </w:t>
      </w:r>
      <m:oMath>
        <m:sSub>
          <m:sSubPr/>
          <m:e>
            <m:r>
              <m:rPr>
                <m:sty m:val="i"/>
              </m:rPr>
              <w:rPr>
                <w:rFonts w:ascii="Cambria Math" w:hAnsi="Cambria Math"/>
              </w:rPr>
              <m:t xml:space="preserve">τ</m:t>
            </m:r>
          </m:e>
          <m:sub>
            <m:r>
              <m:rPr>
                <m:sty m:val="i"/>
              </m:rPr>
              <w:rPr>
                <w:rFonts w:ascii="Cambria Math" w:hAnsi="Cambria Math"/>
              </w:rPr>
              <m:t xml:space="preserve">max</m:t>
            </m:r>
          </m:sub>
        </m:sSub>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