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v23  —  February 22, 2026  13:30</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Eleven countries change their trade regimes.</w:t>
      </w:r>
    </w:p>
    <w:p>
      <w:pPr>
        <w:spacing w:before="0" w:after="160"/>
        <w:ind w:firstLine="0"/>
        <w:jc w:val="both"/>
      </w:pPr>
      <w:r>
        <w:t xml:space="preserve">Dividing the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w:t>
      </w:r>
      <w:hyperlink w:anchor="Table3" w:history="1">
        <w:r>
          <w:rPr>
            <w:color w:val="1F3864"/>
            <w:u w:val="single"/>
          </w:rPr>
          <w:t xml:space="preserve">Table 3</w:t>
        </w:r>
      </w:hyperlink>
      <w:r>
        <w:t xml:space="preserve">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reliability adjustment, the five cheapest producers are </w:t>
      </w:r>
      <w:r>
        <w:t xml:space="preserve">Canada ($1.61/hr), Norway ($1.62/hr), Finland ($1.62/hr), Sweden ($1.63/hr), and Iceland ($1.64/hr). </w:t>
      </w:r>
      <w:r>
        <w:t>The Δ column records the rank change from raw tariffs to the preferred specification: Iran drops 84 places</w:t>
      </w:r>
      <w:r>
        <w:t>, Kyrgyzstan drops 64</w:t>
      </w:r>
      <w:r>
        <w:t xml:space="preserve">, while Austria rises 56 places, </w:t>
      </w:r>
      <w:r>
        <w:t>and Switzerland rises 50</w:t>
      </w:r>
      <w:r>
        <w:t xml:space="preserve">. 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w:t>
      </w:r>
      <w:hyperlink w:anchor="Table3" w:history="1">
        <w:r>
          <w:rPr>
            <w:color w:val="1F3864"/>
            <w:u w:val="single"/>
          </w:rPr>
          <w:t xml:space="preserve">Table 3</w:t>
        </w:r>
      </w:hyperlink>
      <w:r>
        <w:t xml:space="preserve">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3" w:name="Eq3txt903"/>
      <w:hyperlink w:anchor="Eq3" w:history="1">
        <w:r>
          <w:rPr>
            <w:color w:val="1F3864"/>
            <w:u w:val="single"/>
          </w:rPr>
          <w:t xml:space="preserve">equation (3)</w:t>
        </w:r>
      </w:hyperlink>
      <w:bookmarkEnd w:id="903"/>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institutional quality, sovereignty preferences, and access to GPU hardware are often decisive in determining actual data center location.For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7" w:name="vanderPloeg2011txt"/>
      <w:hyperlink w:anchor="vanderPloeg2011" w:history="1">
        <w:r>
          <w:rPr>
            <w:color w:val="1F3864"/>
            <w:u w:val="single"/>
          </w:rPr>
          <w:t xml:space="preserve">van der Ploeg 2011</w:t>
        </w:r>
      </w:hyperlink>
      <w:bookmarkEnd w:id="247"/>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4" w:name="Eq3txt904"/>
      <w:hyperlink w:anchor="Eq3" w:history="1">
        <w:r>
          <w:rPr>
            <w:sz w:val="20"/>
            <w:color w:val="1F3864"/>
            <w:u w:val="single"/>
          </w:rPr>
          <w:t xml:space="preserve">equation (3)</w:t>
        </w:r>
      </w:hyperlink>
      <w:bookmarkEnd w:id="904"/>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5" w:name="Eq1txt905"/>
      <w:hyperlink w:anchor="Eq1" w:history="1">
        <w:r>
          <w:rPr>
            <w:color w:val="1F3864"/>
            <w:u w:val="single"/>
          </w:rPr>
          <w:t xml:space="preserve">equation (1)</w:t>
        </w:r>
      </w:hyperlink>
      <w:bookmarkEnd w:id="905"/>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6" w:name="Eq3txt906"/>
      <w:hyperlink w:anchor="Eq3" w:history="1">
        <w:r>
          <w:rPr>
            <w:color w:val="1F3864"/>
            <w:u w:val="single"/>
          </w:rPr>
          <w:t xml:space="preserve">equation (3)</w:t>
        </w:r>
      </w:hyperlink>
      <w:bookmarkEnd w:id="906"/>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