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a New Export Industry for Developing Countries</w:t>
      </w:r>
    </w:p>
    <w:p>
      <w:pPr>
        <w:spacing w:before="240" w:after="240"/>
        <w:ind w:firstLine="0"/>
        <w:jc w:val="center"/>
      </w:pPr>
      <w:r>
        <w:rPr>
          <w:i/>
        </w:rPr>
        <w:t>Michael Lokshin</w:t>
      </w:r>
      <w:r>
        <w:rPr>
          <w:rStyle w:val="FootnoteReference"/>
        </w:rPr>
        <w:footnoteReference w:id="1"/>
      </w:r>
    </w:p>
    <w:p>
      <w:pPr>
        <w:spacing w:before="0" w:after="160"/>
        <w:ind w:firstLine="0"/>
        <w:jc w:val="both"/>
      </w:pPr>
      <w:r>
        <w:rPr>
          <w:rFonts w:ascii="Times New Roman" w:hAnsi="Times New Roman"/>
          <w:color w:val="808080"/>
          <w:sz w:val="18"/>
        </w:rPr>
        <w:t>v18  —  February 12, 2026  16:09</w:t>
      </w:r>
    </w:p>
    <w:p>
      <w:pPr>
        <w:spacing w:before="240" w:after="160" w:line="240" w:lineRule="auto"/>
        <w:ind w:firstLine="0"/>
        <w:jc w:val="both"/>
      </w:pPr>
      <w:r>
        <w:rPr>
          <w:b/>
        </w:rPr>
        <w:t>Abstract</w:t>
      </w:r>
      <w:r>
        <w:t>: The rapid growth of artificial intelligence is generating surging global demand for computational resources, yet the cost of producing a unit of computation varies by a factor of two across countries. The paper develops a trade model in which countries produce and export computing services (FLOPs), with costs determined by electricity prices, climate, and construction costs. The model distinguishes two services: AI training, which is latency-insensitive and can be offshored to the cheapest producer, and AI inference, which degrades with distance and favors proximity to users. A sovereignty premium captures governments’ preference for domestic data processing. Calibrating the model for 86 countries, we find that many cheap-energy economies, including several low-income countries, could serve the world’s training needs, while regional inference hubs emerge around major demand centers. For developing countries with cheap energy but narrow export baskets, compute exporting provides a direct link between a natural resource endowment and the fastest-growing segment of global electricity demand, projected to more than double from 415 TWh in 2024 to 945 TWh by 2030.</w:t>
      </w:r>
    </w:p>
    <w:p>
      <w:pPr>
        <w:spacing w:before="0" w:after="160"/>
        <w:ind w:firstLine="0"/>
        <w:jc w:val="both"/>
      </w:pPr>
      <w:r>
        <w:rPr>
          <w:b/>
        </w:rPr>
        <w:t xml:space="preserve">JEL Classification: </w:t>
      </w:r>
      <w:r>
        <w:t>F14, F18, L86, O14, O33, Q40</w:t>
      </w:r>
    </w:p>
    <w:p>
      <w:pPr>
        <w:spacing w:before="0" w:after="160"/>
        <w:ind w:firstLine="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color w:val="2F5496"/>
        </w:rPr>
        <w:t>1. Introduction</w:t>
      </w:r>
    </w:p>
    <w:p>
      <w:pPr>
        <w:spacing w:before="0" w:after="160"/>
        <w:ind w:firstLine="0"/>
        <w:jc w:val="both"/>
      </w:pPr>
      <w:r>
        <w:t xml:space="preserve">The rapid expansion of artificial intelligence is creating surging demand for computational resources. The computation used to train frontier AI models has been doubling every six months (</w:t>
      </w:r>
      <w:bookmarkStart w:id="200" w:name="EpochAI2024txt"/>
      <w:hyperlink w:anchor="EpochAI2024" w:history="1">
        <w:r>
          <w:rPr>
            <w:color w:val="1F3864"/>
            <w:u w:val="single"/>
          </w:rPr>
          <w:t xml:space="preserve">Epoch AI 2024</w:t>
        </w:r>
      </w:hyperlink>
      <w:bookmarkEnd w:id="200"/>
      <w:r>
        <w:t xml:space="preserve">), with inference workloads expected to account for roughly two-thirds of all compute by 2026 (</w:t>
      </w:r>
      <w:bookmarkStart w:id="225" w:name="Deloitte2025txt"/>
      <w:hyperlink w:anchor="Deloitte2025" w:history="1">
        <w:r>
          <w:rPr>
            <w:color w:val="1F3864"/>
            <w:u w:val="single"/>
          </w:rPr>
          <w:t xml:space="preserve">Deloitte 2025</w:t>
        </w:r>
      </w:hyperlink>
      <w:bookmarkEnd w:id="225"/>
      <w:r>
        <w:t xml:space="preserve">). The electricity footprint is enormous: data centers consumed approximately 415 TWh in 2024, accounting for 1.5% of global electricity demand, projected to reach 945 TWh by 2030 (</w:t>
      </w:r>
      <w:bookmarkStart w:id="240" w:name="IEA2025txt"/>
      <w:hyperlink w:anchor="IEA2025" w:history="1">
        <w:r>
          <w:rPr>
            <w:color w:val="1F3864"/>
            <w:u w:val="single"/>
          </w:rPr>
          <w:t xml:space="preserve">IEA 2025</w:t>
        </w:r>
      </w:hyperlink>
      <w:bookmarkEnd w:id="240"/>
      <w:r>
        <w:t xml:space="preserve">), with U.S. data center electricity consumption expected to triple over that period (</w:t>
      </w:r>
      <w:bookmarkStart w:id="236" w:name="EPRI2024txt"/>
      <w:hyperlink w:anchor="EPRI2024" w:history="1">
        <w:r>
          <w:rPr>
            <w:color w:val="1F3864"/>
            <w:u w:val="single"/>
          </w:rPr>
          <w:t xml:space="preserve">EPRI 2024</w:t>
        </w:r>
      </w:hyperlink>
      <w:bookmarkEnd w:id="236"/>
      <w:r>
        <w:t xml:space="preserve">).</w:t>
      </w:r>
      <w:r>
        <w:rPr>
          <w:rStyle w:val="FootnoteReference"/>
        </w:rPr>
        <w:footnoteReference w:id="2"/>
      </w:r>
    </w:p>
    <w:p>
      <w:pPr>
        <w:spacing w:before="0" w:after="160"/>
        <w:ind w:firstLine="0"/>
        <w:jc w:val="both"/>
      </w:pPr>
      <w:r>
        <w:t xml:space="preserve">This surge in demand creates a new type of export opportunity. Countries with abundant, inexpensive electricity and land, from Central Asia to North Africa, can produce and export computational services, measured in floating-point operations per second (FLOP/s). We call this </w:t>
      </w:r>
      <w:r>
        <w:rPr>
          <w:i/>
        </w:rPr>
        <w:t>FLOP exporting</w:t>
      </w:r>
      <w:r>
        <w:t xml:space="preserve">: the production of compute services in one country for consumption in another. FLOP exporting is a form of value chain upgrading. Rather than exporting raw energy resources (oil, natural gas, or coal) as primary commodities, countries can convert cheap electricity into a higher value-added digital service. Just as exporting refined petroleum products captures more value than exporting crude oil, exporting FLOPs captures more value than exporting the kilowatt-hours that power them. For energy-rich developing countries, FLOP exporting offers a route up the value chain without the heavy industrialization traditionally required for such upgrading (</w:t>
      </w:r>
      <w:bookmarkStart w:id="201" w:name="Hausmann2007txt"/>
      <w:hyperlink w:anchor="Hausmann2007" w:history="1">
        <w:r>
          <w:rPr>
            <w:color w:val="1F3864"/>
            <w:u w:val="single"/>
          </w:rPr>
          <w:t xml:space="preserve">Hausmann, Hwang, and Rodrik 2007</w:t>
        </w:r>
      </w:hyperlink>
      <w:bookmarkEnd w:id="201"/>
      <w:r>
        <w:t xml:space="preserve">).</w:t>
      </w:r>
    </w:p>
    <w:p>
      <w:pPr>
        <w:spacing w:before="0" w:after="160"/>
        <w:ind w:firstLine="0"/>
        <w:jc w:val="both"/>
      </w:pPr>
      <w:r>
        <w:t xml:space="preserve">Data center operations require minimal labor: a typical hyperscale facility employs only about 50 permanent staff (</w:t>
      </w:r>
      <w:bookmarkStart w:id="202" w:name="UptimeInstitute2024txt"/>
      <w:hyperlink w:anchor="UptimeInstitute2024" w:history="1">
        <w:r>
          <w:rPr>
            <w:color w:val="1F3864"/>
            <w:u w:val="single"/>
          </w:rPr>
          <w:t xml:space="preserve">Uptime Institute 2024</w:t>
        </w:r>
      </w:hyperlink>
      <w:bookmarkEnd w:id="202"/>
      <w:r>
        <w:t xml:space="preserve">).</w:t>
      </w:r>
      <w:r>
        <w:rPr>
          <w:rStyle w:val="FootnoteReference"/>
        </w:rPr>
        <w:footnoteReference w:id="3"/>
      </w:r>
      <w:r>
        <w:t xml:space="preserve"> The binding input is cheap electricity, so some human capital constraints that have historically limited export upgrading in developing countries (</w:t>
      </w:r>
      <w:bookmarkStart w:id="203" w:name="Hausmann2007txt"/>
      <w:hyperlink w:anchor="Hausmann2007" w:history="1">
        <w:r>
          <w:rPr>
            <w:color w:val="1F3864"/>
            <w:u w:val="single"/>
          </w:rPr>
          <w:t xml:space="preserve">Hausmann, Hwang, and Rodrik 2007</w:t>
        </w:r>
      </w:hyperlink>
      <w:bookmarkEnd w:id="203"/>
      <w:r>
        <w:t xml:space="preserve">) are largely absent. Investing in FLOP production capacity today also has option value: export-oriented data centers can later serve the domestic market as local AI demand grows.</w:t>
      </w:r>
    </w:p>
    <w:p>
      <w:pPr>
        <w:spacing w:before="0" w:after="160"/>
        <w:ind w:firstLine="0"/>
        <w:jc w:val="both"/>
      </w:pPr>
      <w:r>
        <w:t>The opportunity is particularly relevant for the Europe and Central Asia (ECA) region. Several ECA countries, including Turkmenistan, Kyrgyzstan, and the countries of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digital infrastructure development.</w:t>
      </w:r>
    </w:p>
    <w:p>
      <w:pPr>
        <w:spacing w:before="0" w:after="160"/>
        <w:ind w:firstLine="0"/>
        <w:jc w:val="both"/>
      </w:pPr>
      <w:r>
        <w:t xml:space="preserve">Large-scale investments confirm that FLOP exporting from developing countries is feasible. Armenia is deploying 50,000 GPUs in a $4 billion AI megaproject (</w:t>
      </w:r>
      <w:bookmarkStart w:id="204" w:name="Firebird2026txt"/>
      <w:hyperlink w:anchor="Firebird2026" w:history="1">
        <w:r>
          <w:rPr>
            <w:color w:val="1F3864"/>
            <w:u w:val="single"/>
          </w:rPr>
          <w:t xml:space="preserve">Firebird 2026</w:t>
        </w:r>
      </w:hyperlink>
      <w:bookmarkEnd w:id="204"/>
      <w:r>
        <w:t xml:space="preserve">), while Kenya, Saudi Arabia, Morocco, Malaysia, and Indonesia have each attracted billion-dollar data center commitments.</w:t>
      </w:r>
      <w:r>
        <w:rPr>
          <w:rStyle w:val="FootnoteReference"/>
        </w:rPr>
        <w:footnoteReference w:id="4"/>
      </w:r>
      <w:r>
        <w:t xml:space="preserve"> The economic stakes are substantial: a single 40 MW data center in Kyrgyzstan could generate annual revenue of $630 million–$950 million at wholesale contract rates, adding over 15% to the country’s export base (</w:t>
      </w:r>
      <w:bookmarkStart w:id="205" w:name="WorldBank2024txt"/>
      <w:hyperlink w:anchor="WorldBank2024" w:history="1">
        <w:r>
          <w:rPr>
            <w:color w:val="1F3864"/>
            <w:u w:val="single"/>
          </w:rPr>
          <w:t xml:space="preserve">World Bank 2024</w:t>
        </w:r>
      </w:hyperlink>
      <w:bookmarkEnd w:id="205"/>
      <w:r>
        <w:t xml:space="preserve">).</w:t>
      </w:r>
      <w:r>
        <w:rPr>
          <w:rStyle w:val="FootnoteReference"/>
        </w:rPr>
        <w:footnoteReference w:id="5"/>
      </w:r>
    </w:p>
    <w:p>
      <w:pPr>
        <w:spacing w:before="0" w:after="160"/>
        <w:ind w:firstLine="0"/>
        <w:jc w:val="both"/>
      </w:pPr>
      <w:r>
        <w:t xml:space="preserve">Recent work has examined compute governance and the geography of AI infrastructure (</w:t>
      </w:r>
      <w:bookmarkStart w:id="226" w:name="Sastry2024txt"/>
      <w:hyperlink w:anchor="Sastry2024" w:history="1">
        <w:r>
          <w:rPr>
            <w:color w:val="1F3864"/>
            <w:u w:val="single"/>
          </w:rPr>
          <w:t xml:space="preserve">Sastry, Heim, et al. 2024</w:t>
        </w:r>
      </w:hyperlink>
      <w:bookmarkEnd w:id="226"/>
      <w:r>
        <w:t xml:space="preserve">, </w:t>
      </w:r>
      <w:bookmarkStart w:id="206" w:name="Lehdonvirta2024txt"/>
      <w:hyperlink w:anchor="Lehdonvirta2024" w:history="1">
        <w:r>
          <w:rPr>
            <w:color w:val="1F3864"/>
            <w:u w:val="single"/>
          </w:rPr>
          <w:t xml:space="preserve">Lehdonvirta, Wu, and Hawkins 2024</w:t>
        </w:r>
      </w:hyperlink>
      <w:bookmarkEnd w:id="206"/>
      <w:r>
        <w:t xml:space="preserve">, </w:t>
      </w:r>
      <w:bookmarkStart w:id="227" w:name="Pilz2025txt"/>
      <w:hyperlink w:anchor="Pilz2025" w:history="1">
        <w:r>
          <w:rPr>
            <w:color w:val="1F3864"/>
            <w:u w:val="single"/>
          </w:rPr>
          <w:t xml:space="preserve">Pilz, Mahmood, and Heim 2025</w:t>
        </w:r>
      </w:hyperlink>
      <w:bookmarkEnd w:id="227"/>
      <w:r>
        <w:t xml:space="preserve">), but no formal trade model of compute exists. We offer the first such model, treating FLOPs as commodities produced and exported according to Ricardian comparative advantage. We make three contributions. First, we develop a trade model of FLOP production and export that decomposes the cost of a FLOP into electricity, hardware, and construction components, and introduces an iceberg trade cost for inference that captures latency degradation, alongside a sovereignty premium for domestic production preference. Second, we calibrate the model for 86 countries using data on electricity prices, climate, data center construction costs, and inter-country network latency. Third, we characterize the resulting trade regimes (which countries export, which import, and which adopt hybrid strategies) and show how the sovereignty premium determines the boundary between domestic and foreign sourcing.</w:t>
      </w:r>
    </w:p>
    <w:p>
      <w:pPr>
        <w:spacing w:before="0" w:after="160"/>
        <w:ind w:firstLine="0"/>
        <w:jc w:val="both"/>
      </w:pPr>
      <w:r>
        <w:t>The remainder of the paper is organized as follows. Section 2 reviews the related literature. Section 3 develops the model, defining the production technology for FLOPs and the trade cost structure that distinguishes training from inference. Section 4 derives the comparative advantage results, presents the buyer’s optimal sourcing problem, and develops a country taxonomy. Section 5 analyzes the make-or-buy decision under country-specific fixed entry costs and the sovereignty premium. Section 6 describes the data. Section 7 calibrates the model and discusses the results. Section 8 concludes.</w:t>
      </w:r>
    </w:p>
    <w:p>
      <w:pPr>
        <w:pStyle w:val="Heading1"/>
      </w:pPr>
      <w:r>
        <w:rPr>
          <w:rFonts w:ascii="Times New Roman" w:hAnsi="Times New Roman"/>
          <w:color w:val="2F5496"/>
        </w:rPr>
        <w:t>2. Related Literature</w:t>
      </w:r>
    </w:p>
    <w:p>
      <w:pPr>
        <w:spacing w:before="0" w:after="160"/>
        <w:ind w:firstLine="0"/>
        <w:jc w:val="both"/>
      </w:pPr>
      <w:r>
        <w:t xml:space="preserve"/>
      </w:r>
      <w:bookmarkStart w:id="207" w:name="Goldfarb2018txt"/>
      <w:hyperlink w:anchor="Goldfarb2018" w:history="1">
        <w:r>
          <w:rPr>
            <w:color w:val="1F3864"/>
            <w:u w:val="single"/>
          </w:rPr>
          <w:t xml:space="preserve">Goldfarb and Trefler (2018)</w:t>
        </w:r>
      </w:hyperlink>
      <w:bookmarkEnd w:id="207"/>
      <w:r>
        <w:t xml:space="preserve"> argue that AI shifts comparative advantage toward countries with data, human capital, and institutional capacity. Our model introduces a complementary channel: comparative advantage in compute </w:t>
      </w:r>
      <w:r>
        <w:rPr>
          <w:i/>
        </w:rPr>
        <w:t>production</w:t>
      </w:r>
      <w:r>
        <w:t xml:space="preserve"> depends on electricity costs and climate, so resource-rich countries could become compute exporters without domestic AI research industries. </w:t>
      </w:r>
      <w:bookmarkStart w:id="228" w:name="Korinek2021txt"/>
      <w:hyperlink w:anchor="Korinek2021" w:history="1">
        <w:r>
          <w:rPr>
            <w:color w:val="1F3864"/>
            <w:u w:val="single"/>
          </w:rPr>
          <w:t xml:space="preserve">Korinek and Stiglitz (2021)</w:t>
        </w:r>
      </w:hyperlink>
      <w:bookmarkEnd w:id="228"/>
      <w:r>
        <w:t xml:space="preserve"> raise the possibility that developing countries could be left behind in the AI revolution; FLOP exporting offers a route by which energy-rich developing countries could participate. The concept of FLOP exporting as value chain upgrading connects to </w:t>
      </w:r>
      <w:bookmarkStart w:id="208" w:name="Hausmann2007txt"/>
      <w:hyperlink w:anchor="Hausmann2007" w:history="1">
        <w:r>
          <w:rPr>
            <w:color w:val="1F3864"/>
            <w:u w:val="single"/>
          </w:rPr>
          <w:t xml:space="preserve">Hausmann, Hwang, and Rodrik (2007)</w:t>
        </w:r>
      </w:hyperlink>
      <w:bookmarkEnd w:id="208"/>
      <w:r>
        <w:t xml:space="preserve">, who show that what a country exports matters for growth. </w:t>
      </w:r>
      <w:bookmarkStart w:id="229" w:name="Limao2001txt"/>
      <w:hyperlink w:anchor="Limao2001" w:history="1">
        <w:r>
          <w:rPr>
            <w:color w:val="1F3864"/>
            <w:u w:val="single"/>
          </w:rPr>
          <w:t xml:space="preserve">Limão and Venables (2001)</w:t>
        </w:r>
      </w:hyperlink>
      <w:bookmarkEnd w:id="229"/>
      <w:r>
        <w:t xml:space="preserve"> show that infrastructure quality determines trade costs. In our model, network infrastructure plays the analogous role for digital trade.</w:t>
      </w:r>
    </w:p>
    <w:p>
      <w:pPr>
        <w:spacing w:before="0" w:after="160"/>
        <w:ind w:firstLine="0"/>
        <w:jc w:val="both"/>
      </w:pPr>
      <w:r>
        <w:t xml:space="preserve">A growing literature examines the determinants of data center location. </w:t>
      </w:r>
      <w:bookmarkStart w:id="209" w:name="Flucker2013txt"/>
      <w:hyperlink w:anchor="Flucker2013" w:history="1">
        <w:r>
          <w:rPr>
            <w:color w:val="1F3864"/>
            <w:u w:val="single"/>
          </w:rPr>
          <w:t xml:space="preserve">Flucker, Tozer, and Whitehead (2013)</w:t>
        </w:r>
      </w:hyperlink>
      <w:bookmarkEnd w:id="209"/>
      <w:r>
        <w:t xml:space="preserve"> show that climate significantly affects data center cooling costs. </w:t>
      </w:r>
      <w:bookmarkStart w:id="230" w:name="Oltmanns2021txt"/>
      <w:hyperlink w:anchor="Oltmanns2021" w:history="1">
        <w:r>
          <w:rPr>
            <w:color w:val="1F3864"/>
            <w:u w:val="single"/>
          </w:rPr>
          <w:t xml:space="preserve">Oltmanns, Krcmarik, and Gatti (2021)</w:t>
        </w:r>
      </w:hyperlink>
      <w:bookmarkEnd w:id="230"/>
      <w:r>
        <w:t xml:space="preserve"> model data center siting as a function of electricity prices, climate, connectivity, and political stability. </w:t>
      </w:r>
      <w:bookmarkStart w:id="237" w:name="Liu2023txt"/>
      <w:hyperlink w:anchor="Liu2023" w:history="1">
        <w:r>
          <w:rPr>
            <w:color w:val="1F3864"/>
            <w:u w:val="single"/>
          </w:rPr>
          <w:t xml:space="preserve">Liu et al. (2023)</w:t>
        </w:r>
      </w:hyperlink>
      <w:bookmarkEnd w:id="237"/>
      <w:r>
        <w:t xml:space="preserve"> study data center placement under renewable energy constraints. These studies focus on where firms should build data centers; our contribution is to embed this location decision in a trade framework that endogenizes the sourcing of compute across countries.</w:t>
      </w:r>
    </w:p>
    <w:p>
      <w:pPr>
        <w:spacing w:before="0" w:after="160"/>
        <w:ind w:firstLine="0"/>
        <w:jc w:val="both"/>
      </w:pPr>
      <w:r>
        <w:t xml:space="preserve">Several recent papers address compute governance. </w:t>
      </w:r>
      <w:bookmarkStart w:id="231" w:name="Sastry2024txt"/>
      <w:hyperlink w:anchor="Sastry2024" w:history="1">
        <w:r>
          <w:rPr>
            <w:color w:val="1F3864"/>
            <w:u w:val="single"/>
          </w:rPr>
          <w:t xml:space="preserve">Sastry, Heim, et al. (2024)</w:t>
        </w:r>
      </w:hyperlink>
      <w:bookmarkEnd w:id="231"/>
      <w:r>
        <w:t xml:space="preserve"> argue that compute is well suited as a regulatory lever because it is detectable, excludable, and quantifiable, and because the chip supply chain is concentrated in a handful of firms. </w:t>
      </w:r>
      <w:bookmarkStart w:id="210" w:name="Lehdonvirta2024txt"/>
      <w:hyperlink w:anchor="Lehdonvirta2024" w:history="1">
        <w:r>
          <w:rPr>
            <w:color w:val="1F3864"/>
            <w:u w:val="single"/>
          </w:rPr>
          <w:t xml:space="preserve">Lehdonvirta, Wu, and Hawkins (2024)</w:t>
        </w:r>
      </w:hyperlink>
      <w:bookmarkEnd w:id="210"/>
      <w:r>
        <w:t xml:space="preserve"> map the global geography of cloud GPU infrastructure and find that training-capable hardware sits in roughly 30 countries (their “Compute North”), while a “Compute South” is limited to inference-grade chips, a geographic split that mirrors our model’s training/inference exporter distinction. </w:t>
      </w:r>
      <w:bookmarkStart w:id="232" w:name="Pilz2025txt"/>
      <w:hyperlink w:anchor="Pilz2025" w:history="1">
        <w:r>
          <w:rPr>
            <w:color w:val="1F3864"/>
            <w:u w:val="single"/>
          </w:rPr>
          <w:t xml:space="preserve">Pilz, Mahmood, and Heim (2025)</w:t>
        </w:r>
      </w:hyperlink>
      <w:bookmarkEnd w:id="232"/>
      <w:r>
        <w:t xml:space="preserve"> project that AI data center power demand could reach 327 GW by 2030 and that domestic power shortages may push compute infrastructure abroad. These papers describe where compute is and who controls it. We add the economics of why it locates where it does and how trade in compute responds to costs and policy.</w:t>
      </w:r>
    </w:p>
    <w:p>
      <w:pPr>
        <w:spacing w:before="0" w:after="160"/>
        <w:ind w:firstLine="0"/>
        <w:jc w:val="both"/>
      </w:pPr>
      <w:r>
        <w:t xml:space="preserve">Our model builds on the trade-in-tasks framework of </w:t>
      </w:r>
      <w:bookmarkStart w:id="211" w:name="Grossman2008txt"/>
      <w:hyperlink w:anchor="Grossman2008" w:history="1">
        <w:r>
          <w:rPr>
            <w:color w:val="1F3864"/>
            <w:u w:val="single"/>
          </w:rPr>
          <w:t xml:space="preserve">Grossman and Rossi-Hansberg (2008)</w:t>
        </w:r>
      </w:hyperlink>
      <w:bookmarkEnd w:id="211"/>
      <w:r>
        <w:t xml:space="preserve">, where tasks differ in their offshoring costs. Training and inference use the same input (FLOPs) but differ in latency sensitivity, generating task-specific sourcing patterns. The iceberg trade cost for inference connects to </w:t>
      </w:r>
      <w:bookmarkStart w:id="238" w:name="Hummels2013txt"/>
      <w:hyperlink w:anchor="Hummels2013" w:history="1">
        <w:r>
          <w:rPr>
            <w:color w:val="1F3864"/>
            <w:u w:val="single"/>
          </w:rPr>
          <w:t xml:space="preserve">Hummels and Schaur (2013)</w:t>
        </w:r>
      </w:hyperlink>
      <w:bookmarkEnd w:id="238"/>
      <w:r>
        <w:t xml:space="preserve">, who estimate that each day of shipping time is equivalent to a tariff; in our setting, milliseconds replace days and network latency replaces shipping time. The make-or-buy decision follows the proximity-concentration tradeoff of </w:t>
      </w:r>
      <w:bookmarkStart w:id="241" w:name="Brainard1997txt"/>
      <w:hyperlink w:anchor="Brainard1997" w:history="1">
        <w:r>
          <w:rPr>
            <w:color w:val="1F3864"/>
            <w:u w:val="single"/>
          </w:rPr>
          <w:t xml:space="preserve">Brainard (1997)</w:t>
        </w:r>
      </w:hyperlink>
      <w:bookmarkEnd w:id="241"/>
      <w:r>
        <w:t xml:space="preserve"> and the heterogeneous-firm trade model of </w:t>
      </w:r>
      <w:bookmarkStart w:id="233" w:name="HMY2004txt"/>
      <w:hyperlink w:anchor="HMY2004" w:history="1">
        <w:r>
          <w:rPr>
            <w:color w:val="1F3864"/>
            <w:u w:val="single"/>
          </w:rPr>
          <w:t xml:space="preserve">Helpman, Melitz, and Yeaple (2004)</w:t>
        </w:r>
      </w:hyperlink>
      <w:bookmarkEnd w:id="233"/>
      <w:r>
        <w:t xml:space="preserve">, where firms sort into exporting versus FDI based on productivity; in our setting, countries sort into importing versus domestic production based on their cost advantage.</w:t>
      </w:r>
    </w:p>
    <w:p>
      <w:pPr>
        <w:pStyle w:val="Heading1"/>
      </w:pPr>
      <w:r>
        <w:rPr>
          <w:rFonts w:ascii="Times New Roman" w:hAnsi="Times New Roman"/>
          <w:color w:val="2F5496"/>
        </w:rPr>
        <w:t>3. Model Setup</w:t>
      </w:r>
    </w:p>
    <w:p>
      <w:pPr>
        <w:spacing w:before="0" w:after="160"/>
        <w:ind w:firstLine="0"/>
        <w:jc w:val="both"/>
      </w:pPr>
      <w:r>
        <w:t>A floating-point operation (FLOP) is a single arithmetic computation. Computing power is measured in petaFLOP/s (10¹⁵ FLOPs per second); a current-generation NVIDIA H100 GPU delivers approximately 1 petaFLOP/s at 16-bit precision. The production of compute at scale takes place in data centers, purpose-built facilities that house thousands of GPU-equipped servers.</w:t>
      </w:r>
    </w:p>
    <w:p>
      <w:pPr>
        <w:spacing w:before="0" w:after="160"/>
        <w:ind w:firstLine="0"/>
        <w:jc w:val="both"/>
      </w:pPr>
      <w:r>
        <w:t xml:space="preserve">The production process has three cost components. First, </w:t>
      </w:r>
      <w:r>
        <w:rPr>
          <w:i/>
        </w:rPr>
        <w:t>hardware</w:t>
      </w:r>
      <w:r>
        <w:t>: a current-generation NVIDIA H100 costs approximately $25,000 and has a useful life of about three years at 90% utilization, yielding an amortized cost of approximately $1.06/hr.</w:t>
      </w:r>
      <w:r>
        <w:rPr>
          <w:rStyle w:val="FootnoteReference"/>
        </w:rPr>
        <w:footnoteReference w:id="6"/>
      </w:r>
      <w:r>
        <w:t xml:space="preserve"> Second, </w:t>
      </w:r>
      <w:r>
        <w:rPr>
          <w:i/>
        </w:rPr>
        <w:t>electricity</w:t>
      </w:r>
      <w:r>
        <w:t xml:space="preserve">: each GPU draws approximately 700 watts, and a large data center may consume 40–100 MW. Electricity is the primary recurring cost and the main source of cross-country variation. Third, </w:t>
      </w:r>
      <w:r>
        <w:rPr>
          <w:i/>
        </w:rPr>
        <w:t>construction</w:t>
      </w:r>
      <w:r>
        <w:t xml:space="preserve">: the physical facility, including power distribution, connectivity, and cooling. Cooling overhead is captured by the power usage effectiveness (PUE), which varies from 1.08 in cold climates to over 1.4 in hot ones (</w:t>
      </w:r>
      <w:bookmarkStart w:id="212" w:name="Flucker2013txt"/>
      <w:hyperlink w:anchor="Flucker2013" w:history="1">
        <w:r>
          <w:rPr>
            <w:color w:val="1F3864"/>
            <w:u w:val="single"/>
          </w:rPr>
          <w:t xml:space="preserve">Flucker, Tozer, and Whitehead 2013</w:t>
        </w:r>
      </w:hyperlink>
      <w:bookmarkEnd w:id="212"/>
      <w:r>
        <w:t xml:space="preserve">).</w:t>
      </w:r>
      <w:r>
        <w:rPr>
          <w:rStyle w:val="FootnoteReference"/>
        </w:rPr>
        <w:footnoteReference w:id="7"/>
      </w:r>
    </w:p>
    <w:p>
      <w:pPr>
        <w:spacing w:before="0" w:after="160"/>
        <w:ind w:firstLine="0"/>
        <w:jc w:val="both"/>
      </w:pPr>
      <w:r>
        <w:t>Because GPU prices are set on global markets and do not vary significantly across countries, while electricity prices and construction costs differ substantially, the cross-country variation in FLOP costs is driven primarily by energy and infrastructure. This is the basis of our model.</w:t>
      </w:r>
    </w:p>
    <w:p>
      <w:pPr>
        <w:pStyle w:val="Heading2"/>
      </w:pPr>
      <w:r>
        <w:rPr>
          <w:rFonts w:ascii="Times New Roman" w:hAnsi="Times New Roman"/>
          <w:i/>
          <w:color w:val="2F5496"/>
        </w:rPr>
        <w:t>3.1 Production Technology</w:t>
      </w:r>
    </w:p>
    <w:p>
      <w:pPr>
        <w:spacing w:before="0" w:after="40"/>
        <w:ind w:firstLine="0"/>
        <w:jc w:val="both"/>
      </w:pPr>
      <w:r>
        <w:t xml:space="preserve">Consider </w:t>
      </w:r>
      <m:oMath>
        <m:r>
          <m:rPr>
            <m:sty m:val="i"/>
          </m:rPr>
          <w:rPr>
            <w:rFonts w:ascii="Cambria Math" w:hAnsi="Cambria Math"/>
          </w:rPr>
          <m:t xml:space="preserve">N</m:t>
        </m:r>
      </m:oMath>
      <w:r>
        <w:t xml:space="preserve"> countries, each capable of producing compute services (FLOPs). The unit cost of producing one GPU-hour of compute in country </w:t>
      </w:r>
      <m:oMath>
        <m:r>
          <m:rPr>
            <m:sty m:val="i"/>
          </m:rPr>
          <w:rPr>
            <w:rFonts w:ascii="Cambria Math" w:hAnsi="Cambria Math"/>
          </w:rPr>
          <m:t xml:space="preserve">j</m:t>
        </m:r>
      </m:oMath>
      <w:r>
        <w:t xml:space="preserve"> depends on three inputs: electricity, hardware, and data center construction. The key cost driver is energy intensity, the electrical power a GPU draws during operation. We denote energy intensity by </w:t>
      </w:r>
      <m:oMath>
        <m:r>
          <m:rPr>
            <m:sty m:val="i"/>
          </m:rPr>
          <w:rPr>
            <w:rFonts w:ascii="Cambria Math" w:hAnsi="Cambria Math"/>
          </w:rPr>
          <m:t xml:space="preserve">γ</m:t>
        </m:r>
      </m:oMath>
      <w:r>
        <w:t xml:space="preserve">, measured in kilowatts (kW). For the NVIDIA H100, </w:t>
      </w:r>
      <m:oMath>
        <m:r>
          <m:rPr>
            <m:sty m:val="i"/>
          </m:rPr>
          <w:rPr>
            <w:rFonts w:ascii="Cambria Math" w:hAnsi="Cambria Math"/>
          </w:rPr>
          <m:t xml:space="preserve">γ</m:t>
        </m:r>
        <m:r>
          <m:rPr>
            <m:sty m:val="p"/>
          </m:rPr>
          <w:rPr>
            <w:rFonts w:ascii="Cambria Math" w:hAnsi="Cambria Math"/>
          </w:rPr>
          <m:t xml:space="preserve"> = 0.700 kW</m:t>
        </m:r>
      </m:oMath>
      <w:r>
        <w:t xml:space="preserve"> (700 watts). The actual electricity consumed depends also on the </w:t>
      </w:r>
      <w:r>
        <w:rPr>
          <w:i/>
        </w:rPr>
        <w:t>power usage effectiveness</w:t>
      </w:r>
      <w:r>
        <w:t xml:space="preserve"> PUE(</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a dimensionless ratio of total facility energy to IT equipment energy (</w:t>
      </w:r>
      <w:bookmarkStart w:id="213" w:name="Flucker2013txt"/>
      <w:hyperlink w:anchor="Flucker2013" w:history="1">
        <w:r>
          <w:rPr>
            <w:color w:val="1F3864"/>
            <w:u w:val="single"/>
          </w:rPr>
          <w:t xml:space="preserve">Flucker, Tozer, and Whitehead 2013</w:t>
        </w:r>
      </w:hyperlink>
      <w:bookmarkEnd w:id="213"/>
      <w:r>
        <w:t xml:space="preserve">). We model PUE as: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θ̄</m:t>
              </m:r>
              <m:r>
                <m:rPr>
                  <m:sty m:val="p"/>
                </m:rPr>
                <w:rPr>
                  <w:rFonts w:ascii="Cambria Math" w:hAnsi="Cambria Math"/>
                </w:rPr>
                <m:t xml:space="preserve">)</m:t>
              </m:r>
            </m:oMath>
          </w:p>
        </w:tc>
        <w:tc>
          <w:tcPr>
            <w:tcW w:w="1400" w:type="dxa"/>
            <w:vAlign w:val="center"/>
          </w:tcPr>
          <w:p>
            <w:pPr>
              <w:jc w:val="right"/>
              <w:spacing w:before="60" w:after="60"/>
            </w:pPr>
            <w:r>
              <w:t>(1)</w:t>
            </w:r>
          </w:p>
        </w:tc>
      </w:tr>
    </w:tbl>
    <w:p>
      <w:pPr>
        <w:spacing w:before="0" w:after="160"/>
        <w:ind w:firstLine="0"/>
        <w:jc w:val="both"/>
      </w:pPr>
      <w:r>
        <w:t xml:space="preserve">where </w:t>
      </w:r>
      <m:oMath>
        <m:r>
          <m:rPr>
            <m:sty m:val="i"/>
          </m:rPr>
          <w:rPr>
            <w:rFonts w:ascii="Cambria Math" w:hAnsi="Cambria Math"/>
          </w:rPr>
          <m:t xml:space="preserve">φ</m:t>
        </m:r>
        <m:r>
          <m:rPr>
            <m:sty m:val="p"/>
          </m:rPr>
          <w:rPr>
            <w:rFonts w:ascii="Cambria Math" w:hAnsi="Cambria Math"/>
          </w:rPr>
          <m:t xml:space="preserve"> = 1.08</m:t>
        </m:r>
      </m:oMath>
      <w:r>
        <w:t xml:space="preserve"> is the baseline PUE in cold climates, </w:t>
      </w:r>
      <m:oMath>
        <m:r>
          <m:rPr>
            <m:sty m:val="i"/>
          </m:rPr>
          <w:rPr>
            <w:rFonts w:ascii="Cambria Math" w:hAnsi="Cambria Math"/>
          </w:rPr>
          <m:t xml:space="preserve">δ</m:t>
        </m:r>
        <m:r>
          <m:rPr>
            <m:sty m:val="p"/>
          </m:rPr>
          <w:rPr>
            <w:rFonts w:ascii="Cambria Math" w:hAnsi="Cambria Math"/>
          </w:rPr>
          <m:t xml:space="preserve"> = 0.015</m:t>
        </m:r>
      </m:oMath>
      <w:r>
        <w:t xml:space="preserve"> is the PUE sensitivity per °C above the reference, and </w:t>
      </w:r>
      <m:oMath>
        <m:r>
          <m:rPr>
            <m:sty m:val="i"/>
          </m:rPr>
          <w:rPr>
            <w:rFonts w:ascii="Cambria Math" w:hAnsi="Cambria Math"/>
          </w:rPr>
          <m:t xml:space="preserve">θ̄</m:t>
        </m:r>
        <m:r>
          <m:rPr>
            <m:sty m:val="p"/>
          </m:rPr>
          <w:rPr>
            <w:rFonts w:ascii="Cambria Math" w:hAnsi="Cambria Math"/>
          </w:rPr>
          <m:t xml:space="preserve"> = 15°C</m:t>
        </m:r>
      </m:oMath>
      <w:r>
        <w:t xml:space="preserve"> is the reference temperature (</w:t>
      </w:r>
      <w:bookmarkStart w:id="214" w:name="Flucker2013txt"/>
      <w:hyperlink w:anchor="Flucker2013" w:history="1">
        <w:r>
          <w:rPr>
            <w:color w:val="1F3864"/>
            <w:u w:val="single"/>
          </w:rPr>
          <w:t xml:space="preserve">Flucker, Tozer, and Whitehead 2013</w:t>
        </w:r>
      </w:hyperlink>
      <w:bookmarkEnd w:id="214"/>
      <w:r>
        <w:t xml:space="preserve">).</w:t>
      </w:r>
      <w:r>
        <w:rPr>
          <w:rStyle w:val="FootnoteReference"/>
        </w:rPr>
        <w:footnoteReference w:id="8"/>
      </w:r>
    </w:p>
    <w:p>
      <w:pPr>
        <w:spacing w:before="0" w:after="160"/>
        <w:ind w:firstLine="0"/>
        <w:jc w:val="both"/>
      </w:pPr>
      <w:r>
        <w:t xml:space="preserve">Hardware costs are captured by </w:t>
      </w:r>
      <m:oMath>
        <m:r>
          <m:rPr>
            <m:sty m:val="i"/>
          </m:rPr>
          <w:rPr>
            <w:rFonts w:ascii="Cambria Math" w:hAnsi="Cambria Math"/>
          </w:rPr>
          <m:t xml:space="preserve">ρ</m:t>
        </m:r>
      </m:oMath>
      <w:r>
        <w:t xml:space="preserve">, the amortized cost of one GPU-hour: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is the purchase price, </w:t>
      </w:r>
      <m:oMath>
        <m:r>
          <m:rPr>
            <m:sty m:val="i"/>
          </m:rPr>
          <w:rPr>
            <w:rFonts w:ascii="Cambria Math" w:hAnsi="Cambria Math"/>
          </w:rPr>
          <m:t xml:space="preserve">L</m:t>
        </m:r>
      </m:oMath>
      <w:r>
        <w:t xml:space="preserve"> the lifetime in years, </w:t>
      </w:r>
      <m:oMath>
        <m:r>
          <m:rPr>
            <m:sty m:val="i"/>
          </m:rPr>
          <w:rPr>
            <w:rFonts w:ascii="Cambria Math" w:hAnsi="Cambria Math"/>
          </w:rPr>
          <m:t xml:space="preserve">H</m:t>
        </m:r>
      </m:oMath>
      <w:r>
        <w:t xml:space="preserve"> = 8,766 hours per year, and </w:t>
      </w:r>
      <m:oMath>
        <m:r>
          <m:rPr>
            <m:sty m:val="i"/>
          </m:rPr>
          <w:rPr>
            <w:rFonts w:ascii="Cambria Math" w:hAnsi="Cambria Math"/>
          </w:rPr>
          <m:t xml:space="preserve">β</m:t>
        </m:r>
      </m:oMath>
      <w:r>
        <w:t xml:space="preserve"> the utilization rate. Construction costs enter through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the cost of building one kilowatt of data center IT capacity in country </w:t>
      </w:r>
      <m:oMath>
        <m:r>
          <m:rPr>
            <m:sty m:val="i"/>
          </m:rPr>
          <w:rPr>
            <w:rFonts w:ascii="Cambria Math" w:hAnsi="Cambria Math"/>
          </w:rPr>
          <m:t xml:space="preserve">j</m:t>
        </m:r>
      </m:oMath>
      <w:r>
        <w:t xml:space="preserve"> ($/kW), amortized over the facility lifetime </w:t>
      </w:r>
      <m:oMath>
        <m:r>
          <m:rPr>
            <m:sty m:val="i"/>
          </m:rPr>
          <w:rPr>
            <w:rFonts w:ascii="Cambria Math" w:hAnsi="Cambria Math"/>
          </w:rPr>
          <m:t xml:space="preserve">D</m:t>
        </m:r>
      </m:oMath>
      <w:r>
        <w:t>.</w:t>
      </w:r>
    </w:p>
    <w:p>
      <w:pPr>
        <w:spacing w:before="0" w:after="40"/>
        <w:ind w:firstLine="0"/>
        <w:jc w:val="both"/>
      </w:pPr>
      <w:r>
        <w:t xml:space="preserve">Then, the total cost per GPU-hour in country </w:t>
      </w:r>
      <m:oMath>
        <m:r>
          <m:rPr>
            <m:sty m:val="i"/>
          </m:rPr>
          <w:rPr>
            <w:rFonts w:ascii="Cambria Math" w:hAnsi="Cambria Math"/>
          </w:rPr>
          <m:t xml:space="preserve">j</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r>
              <w:t>(2)</w:t>
            </w:r>
          </w:p>
        </w:tc>
      </w:tr>
    </w:tbl>
    <w:p>
      <w:pPr>
        <w:spacing w:before="0" w:after="160"/>
        <w:ind w:firstLine="0"/>
        <w:jc w:val="both"/>
      </w:pPr>
      <w:r>
        <w:t xml:space="preserve">The first term is the electricity cost: the PUE-adjusted power draw times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($/kWh). The second term is amortized hardware. The third is amortized construction. Since GPU prices, lifetimes, and utilization rates are set by global markets and engineering constraints, </w:t>
      </w:r>
      <m:oMath>
        <m:r>
          <m:rPr>
            <m:sty m:val="i"/>
          </m:rPr>
          <w:rPr>
            <w:rFonts w:ascii="Cambria Math" w:hAnsi="Cambria Math"/>
          </w:rPr>
          <m:t xml:space="preserve">ρ</m:t>
        </m:r>
      </m:oMath>
      <w:r>
        <w:t xml:space="preserve"> and its components (</w:t>
      </w:r>
      <m:oMath>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m:t>
        </m:r>
        <m:r>
          <m:rPr>
            <m:sty m:val="i"/>
          </m:rPr>
          <w:rPr>
            <w:rFonts w:ascii="Cambria Math" w:hAnsi="Cambria Math"/>
          </w:rPr>
          <m:t xml:space="preserve">L</m:t>
        </m:r>
        <m:r>
          <m:rPr>
            <m:sty m:val="p"/>
          </m:rPr>
          <w:rPr>
            <w:rFonts w:ascii="Cambria Math" w:hAnsi="Cambria Math"/>
          </w:rPr>
          <m:t xml:space="preserve">, </m:t>
        </m:r>
        <m:r>
          <m:rPr>
            <m:sty m:val="i"/>
          </m:rPr>
          <w:rPr>
            <w:rFonts w:ascii="Cambria Math" w:hAnsi="Cambria Math"/>
          </w:rPr>
          <m:t xml:space="preserve">β</m:t>
        </m:r>
      </m:oMath>
      <w:r>
        <w:t xml:space="preserve">) are common across countries. The main exception is countries subject to U.S. export controls on advanced GPUs (e.g., China, Russia, Iran), where grey-market procurement raises the effective </w:t>
      </w:r>
      <m:oMath>
        <m:r>
          <m:rPr>
            <m:sty m:val="i"/>
          </m:rPr>
          <w:rPr>
            <w:rFonts w:ascii="Cambria Math" w:hAnsi="Cambria Math"/>
          </w:rPr>
          <m:t xml:space="preserve">ρ</m:t>
        </m:r>
      </m:oMath>
      <w:r>
        <w:t xml:space="preserve">; we discuss this in Section 7.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primarily by electricity prices, climate (through PUE), and construction costs.</w:t>
      </w:r>
      <w:r>
        <w:rPr>
          <w:rStyle w:val="FootnoteReference"/>
        </w:rPr>
        <w:footnoteReference w:id="9"/>
      </w:r>
    </w:p>
    <w:p>
      <w:pPr>
        <w:pStyle w:val="Heading2"/>
      </w:pPr>
      <w:r>
        <w:rPr>
          <w:rFonts w:ascii="Times New Roman" w:hAnsi="Times New Roman"/>
          <w:i/>
          <w:color w:val="2F5496"/>
        </w:rPr>
        <w:t>3.2 Trade Costs</w:t>
      </w:r>
    </w:p>
    <w:p>
      <w:pPr>
        <w:spacing w:before="0" w:after="160"/>
        <w:ind w:firstLine="0"/>
        <w:jc w:val="both"/>
      </w:pPr>
      <w:r>
        <w:t xml:space="preserve">Countries produce and trade two types of compute services. </w:t>
      </w:r>
      <w:r>
        <w:rPr>
          <w:i/>
        </w:rPr>
        <w:t>Training services</w:t>
      </w:r>
      <w:r>
        <w:t xml:space="preserve"> encompass batch workloads: model training, fine-tuning, and large-scale data processing. A frontier model training run typically takes weeks to months on thousands of GPUs. The client ships its data to where FLOPs are cheapest; the computation executes locally and the output is returned. Since neither input nor output is time-sensitive, network latency plays no role. </w:t>
      </w:r>
      <w:r>
        <w:rPr>
          <w:i/>
        </w:rPr>
        <w:t>Inference services</w:t>
      </w:r>
      <w:r>
        <w:t xml:space="preserve"> encompass real-time workloads: chatbot responses, autonomous decisions, interactive agents. Each query must travel to the server and back within milliseconds, so the service degrades with delivery delay.</w:t>
      </w:r>
    </w:p>
    <w:p>
      <w:pPr>
        <w:spacing w:before="0" w:after="160"/>
        <w:ind w:firstLine="0"/>
        <w:jc w:val="both"/>
      </w:pP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server country </w:t>
      </w:r>
      <m:oMath>
        <m:r>
          <m:rPr>
            <m:sty m:val="i"/>
          </m:rPr>
          <w:rPr>
            <w:rFonts w:ascii="Cambria Math" w:hAnsi="Cambria Math"/>
          </w:rPr>
          <m:t xml:space="preserve">j</m:t>
        </m:r>
      </m:oMath>
      <w:r>
        <w:t xml:space="preserve"> to demand center </w:t>
      </w:r>
      <m:oMath>
        <m:r>
          <m:rPr>
            <m:sty m:val="i"/>
          </m:rPr>
          <w:rPr>
            <w:rFonts w:ascii="Cambria Math" w:hAnsi="Cambria Math"/>
          </w:rPr>
          <m:t xml:space="preserve">k</m:t>
        </m:r>
      </m:oMath>
      <w:r>
        <w:t xml:space="preserve"> and back, measured in milliseconds (ms). Within a country, latency is typically 5–10 ms; across continents it can exceed 150 ms. For training, the workload ships to the producer, so effective latency is zero.</w:t>
      </w:r>
    </w:p>
    <w:p>
      <w:pPr>
        <w:spacing w:before="0" w:after="160"/>
        <w:ind w:firstLine="0"/>
        <w:jc w:val="both"/>
      </w:pPr>
      <w:r>
        <w:t xml:space="preserve">Governments and firms may prefer to process data domestically for reasons of national security, regulatory compliance, or political preference. We capture this through a </w:t>
      </w:r>
      <w:r>
        <w:rPr>
          <w:i/>
        </w:rPr>
        <w:t>sovereignty premium</w:t>
      </w:r>
      <w:r>
        <w:t xml:space="preserve"> </w:t>
      </w:r>
      <m:oMath>
        <m:r>
          <m:rPr>
            <m:sty m:val="i"/>
          </m:rPr>
          <w:rPr>
            <w:rFonts w:ascii="Cambria Math" w:hAnsi="Cambria Math"/>
          </w:rPr>
          <m:t xml:space="preserve">λ</m:t>
        </m:r>
        <m:r>
          <m:rPr>
            <m:sty m:val="p"/>
          </m:rPr>
          <w:rPr>
            <w:rFonts w:ascii="Cambria Math" w:hAnsi="Cambria Math"/>
          </w:rPr>
          <m:t xml:space="preserve"> ≥ 0</m:t>
        </m:r>
      </m:oMath>
      <w:r>
        <w:t xml:space="preserve">, which acts as a proportional markup on the cost of foreign-sourced compute. When a country sources compute from a foreign producer, the effective cost is inflated by the factor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m:t>
        </m:r>
      </m:oMath>
      <w:r>
        <w:t>. The sovereignty premium is zero for domestic production.</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producer </w:t>
      </w:r>
      <m:oMath>
        <m:r>
          <m:rPr>
            <m:sty m:val="i"/>
          </m:rPr>
          <w:rPr>
            <w:rFonts w:ascii="Cambria Math" w:hAnsi="Cambria Math"/>
          </w:rPr>
          <m:t xml:space="preserve">j</m:t>
        </m:r>
      </m:oMath>
      <w:r>
        <w:t xml:space="preserve"> to demand center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p>
        </w:tc>
        <w:tc>
          <w:tcPr>
            <w:tcW w:w="1400" w:type="dxa"/>
            <w:vAlign w:val="center"/>
          </w:tcPr>
          <w:p>
            <w:pPr>
              <w:jc w:val="right"/>
              <w:spacing w:before="60" w:after="60"/>
            </w:pPr>
            <w:r>
              <w:t>(3)</w:t>
            </w:r>
          </w:p>
        </w:tc>
      </w:tr>
    </w:tbl>
    <w:p>
      <w:pPr>
        <w:spacing w:before="0" w:after="160"/>
        <w:ind w:firstLine="0"/>
        <w:jc w:val="both"/>
      </w:pPr>
      <w:r>
        <w:t xml:space="preserve">where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r>
          <m:rPr>
            <m:sty m:val="i"/>
          </m:rPr>
          <w:rPr>
            <w:rFonts w:ascii="Cambria Math" w:hAnsi="Cambria Math"/>
          </w:rPr>
          <m:t xml:space="preserve">λ</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(foreign sourcing) and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0</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(domestic);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has zero effective latency)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degrades with latency). The parameter </w:t>
      </w:r>
      <m:oMath>
        <m:r>
          <m:rPr>
            <m:sty m:val="i"/>
          </m:rPr>
          <w:rPr>
            <w:rFonts w:ascii="Cambria Math" w:hAnsi="Cambria Math"/>
          </w:rPr>
          <m:t xml:space="preserve">τ</m:t>
        </m:r>
      </m:oMath>
      <w:r>
        <w:t xml:space="preserve"> measures the rate of quality degradation per millisecond of round-trip latency.</w:t>
      </w:r>
    </w:p>
    <w:p>
      <w:pPr>
        <w:spacing w:before="0" w:after="160"/>
        <w:ind w:firstLine="0"/>
        <w:jc w:val="both"/>
      </w:pPr>
      <w:r>
        <w:t xml:space="preserve">For training, equation (3) simplifies to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the delivered cost depends only on the production cost and whether the source is foreign. For inference: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the delivered cost depends on production cost, latency, and sovereignty. In practice, inference also faces a hard latency ceiling: beyond a threshold </w:t>
      </w:r>
      <m:oMath>
        <m:r>
          <m:rPr>
            <m:sty m:val="i"/>
          </m:rPr>
          <w:rPr>
            <w:rFonts w:ascii="Cambria Math" w:hAnsi="Cambria Math"/>
          </w:rPr>
          <m:t xml:space="preserve">̅l</m:t>
        </m:r>
      </m:oMath>
      <w:r>
        <w:t xml:space="preserve"> (typically 200–300 ms for interactive applications), the service becomes unusable regardless of price. We model this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r>
          <m:rPr>
            <m:sty m:val="i"/>
          </m:rPr>
          <w:rPr>
            <w:rFonts w:ascii="Cambria Math" w:hAnsi="Cambria Math"/>
          </w:rPr>
          <m:t xml:space="preserve">̅l</m:t>
        </m:r>
      </m:oMath>
      <w:r>
        <w:t>. Training concentrates at the globally cheapest FLOP source regardless of distance, while inference disperses toward demand centers bounded by latency.</w:t>
      </w:r>
    </w:p>
    <w:p>
      <w:pPr>
        <w:pStyle w:val="Heading1"/>
      </w:pPr>
      <w:r>
        <w:rPr>
          <w:rFonts w:ascii="Times New Roman" w:hAnsi="Times New Roman"/>
          <w:color w:val="2F5496"/>
        </w:rPr>
        <w:t>4. Comparative Advantage Results</w:t>
      </w:r>
    </w:p>
    <w:p>
      <w:pPr>
        <w:spacing w:before="0" w:after="160"/>
        <w:ind w:firstLine="0"/>
        <w:jc w:val="both"/>
      </w:pPr>
      <w:r>
        <w:t xml:space="preserve">We now characterize the optimal sourcing decision for a country that consumes compute services. The analysis is structured around two types of countries: </w:t>
      </w:r>
      <w:r>
        <w:rPr>
          <w:i/>
        </w:rPr>
        <w:t>importers</w:t>
      </w:r>
      <w:r>
        <w:t xml:space="preserve"> (countries that purchase FLOPs from abroad) and </w:t>
      </w:r>
      <w:r>
        <w:rPr>
          <w:i/>
        </w:rPr>
        <w:t>exporters</w:t>
      </w:r>
      <w:r>
        <w:t xml:space="preserve"> (countries that produce FLOPs for foreign consumption).</w:t>
      </w:r>
    </w:p>
    <w:p>
      <w:pPr>
        <w:spacing w:before="0" w:after="40"/>
        <w:ind w:firstLine="0"/>
        <w:jc w:val="both"/>
      </w:pPr>
      <w:r>
        <w:t xml:space="preserve">The buyer’s optimal sourcing rule follows directly from the cost structure. 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demand country </w:t>
      </w:r>
      <m:oMath>
        <m:r>
          <m:rPr>
            <m:sty m:val="i"/>
          </m:rPr>
          <w:rPr>
            <w:rFonts w:ascii="Cambria Math" w:hAnsi="Cambria Math"/>
          </w:rPr>
          <m:t xml:space="preserve">k</m:t>
        </m:r>
      </m:oMath>
      <w:r>
        <w:t xml:space="preserve"> chooses the source </w:t>
      </w: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oMath>
      <w:r>
        <w:t xml:space="preserv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r>
              <w:t>(4)</w:t>
            </w:r>
          </w:p>
        </w:tc>
      </w:tr>
    </w:tbl>
    <w:p>
      <w:pPr>
        <w:spacing w:before="0" w:after="160"/>
        <w:ind w:firstLine="0"/>
        <w:jc w:val="both"/>
      </w:pPr>
      <w:r>
        <w:rPr>
          <w:rFonts w:ascii="Times New Roman" w:hAnsi="Times New Roman"/>
          <w:b w:val="0"/>
          <w:i/>
          <w:sz w:val="24"/>
        </w:rPr>
        <w:t xml:space="preserve">Training.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buyer’s problem reduces to </w:t>
      </w:r>
      <m:oMath>
        <m:sSubSup>
          <m:sSubSupPr/>
          <m:e>
            <m:r>
              <m:rPr>
                <m:sty m:val="i"/>
              </m:rPr>
              <w:rPr>
                <w:rFonts w:ascii="Cambria Math" w:hAnsi="Cambria Math"/>
              </w:rPr>
              <m:t xml:space="preserve">j</m:t>
            </m:r>
          </m:e>
          <m:sub>
            <m:r>
              <m:rPr>
                <m:sty m:val="i"/>
              </m:rPr>
              <w:rPr>
                <w:rFonts w:ascii="Cambria Math" w:hAnsi="Cambria Math"/>
              </w:rPr>
              <m:t xml:space="preserve">T</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r>
        <w:t xml:space="preserve"> = </w:t>
      </w:r>
      <m:oMath>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Country </w:t>
      </w:r>
      <m:oMath>
        <m:r>
          <m:rPr>
            <m:sty m:val="i"/>
          </m:rPr>
          <w:rPr>
            <w:rFonts w:ascii="Cambria Math" w:hAnsi="Cambria Math"/>
          </w:rPr>
          <m:t xml:space="preserve">k</m:t>
        </m:r>
      </m:oMath>
      <w:r>
        <w:t xml:space="preserve"> sources training domestically if and only if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r>
          <m:rPr>
            <m:sty m:val="i"/>
          </m:rPr>
          <w:rPr>
            <w:rFonts w:ascii="Cambria Math" w:hAnsi="Cambria Math"/>
          </w:rPr>
          <m:t xml:space="preserve">λ</m:t>
        </m:r>
        <m:r>
          <m:rPr>
            <m:sty m:val="p"/>
          </m:rPr>
          <w:rPr>
            <w:rFonts w:ascii="Cambria Math" w:hAnsi="Cambria Math"/>
          </w:rPr>
          <m:t xml:space="preserve">) · </m:t>
        </m:r>
        <m:r>
          <m:rPr>
            <m:sty m:val="p"/>
          </m:rPr>
          <w:rPr>
            <w:rFonts w:ascii="Cambria Math" w:hAnsi="Cambria Math"/>
          </w:rPr>
          <m:t xml:space="preserve">min</m:t>
        </m:r>
        <m:sSub>
          <m:sSubPr/>
          <m:e>
            <m:r>
              <m:rPr>
                <m:sty m:val="i"/>
              </m:rPr>
              <w:rPr>
                <w:rFonts w:ascii="Cambria Math" w:hAnsi="Cambria Math"/>
              </w:rPr>
              <m:t xml:space="preserve"> </m:t>
            </m:r>
          </m:e>
          <m:sub>
            <m:r>
              <m:rPr>
                <m:sty m:val="i"/>
              </m:rPr>
              <w:rPr>
                <w:rFonts w:ascii="Cambria Math" w:hAnsi="Cambria Math"/>
              </w:rPr>
              <m:t xml:space="preserve">j≠k</m:t>
            </m:r>
          </m:sub>
        </m:sSub>
        <m:r>
          <m:rPr>
            <m:sty m:val="p"/>
          </m:rPr>
          <w:rPr>
            <w:rFonts w:ascii="Cambria Math" w:hAnsi="Cambria Math"/>
          </w:rPr>
          <m:t xml:space="preserve">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Without the sovereignty premium, all countries import training from the single cheapest global producer. With a positive </w:t>
      </w:r>
      <m:oMath>
        <m:r>
          <m:rPr>
            <m:sty m:val="i"/>
          </m:rPr>
          <w:rPr>
            <w:rFonts w:ascii="Cambria Math" w:hAnsi="Cambria Math"/>
          </w:rPr>
          <m:t xml:space="preserve">λ</m:t>
        </m:r>
      </m:oMath>
      <w:r>
        <w:t>, countries whose domestic cost falls within the sovereignty band produce domestically.</w:t>
      </w:r>
    </w:p>
    <w:p>
      <w:pPr>
        <w:spacing w:before="0" w:after="160"/>
        <w:ind w:firstLine="0"/>
        <w:jc w:val="both"/>
      </w:pPr>
      <w:r>
        <w:t xml:space="preserve">This condition yields a country-specific switching threshold. Country </w:t>
      </w:r>
      <m:oMath>
        <m:r>
          <m:rPr>
            <m:sty m:val="i"/>
          </m:rPr>
          <w:rPr>
            <w:rFonts w:ascii="Cambria Math" w:hAnsi="Cambria Math"/>
          </w:rPr>
          <m:t xml:space="preserve">k</m:t>
        </m:r>
      </m:oMath>
      <w:r>
        <w:t xml:space="preserve"> sources training domestically if and only if </w:t>
      </w:r>
      <m:oMath>
        <m:r>
          <m:rPr>
            <m:sty m:val="i"/>
          </m:rPr>
          <w:rPr>
            <w:rFonts w:ascii="Cambria Math" w:hAnsi="Cambria Math"/>
          </w:rPr>
          <m:t xml:space="preserve">λ</m:t>
        </m:r>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where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r>
          <m:rPr>
            <m:sty m:val="p"/>
          </m:rPr>
          <w:rPr>
            <w:rFonts w:ascii="Cambria Math" w:hAnsi="Cambria Math"/>
          </w:rPr>
          <m:t xml:space="preserve">min</m:t>
        </m:r>
        <m:sSub>
          <m:sSubPr/>
          <m:e>
            <m:r>
              <m:rPr>
                <m:sty m:val="i"/>
              </m:rPr>
              <w:rPr>
                <w:rFonts w:ascii="Cambria Math" w:hAnsi="Cambria Math"/>
              </w:rPr>
              <m:t xml:space="preserve"> </m:t>
            </m:r>
          </m:e>
          <m:sub>
            <m:r>
              <m:rPr>
                <m:sty m:val="i"/>
              </m:rPr>
              <w:rPr>
                <w:rFonts w:ascii="Cambria Math" w:hAnsi="Cambria Math"/>
              </w:rPr>
              <m:t xml:space="preserve">j≠k</m:t>
            </m:r>
          </m:sub>
        </m:sSub>
        <m:r>
          <m:rPr>
            <m:sty m:val="p"/>
          </m:rPr>
          <w:rPr>
            <w:rFonts w:ascii="Cambria Math" w:hAnsi="Cambria Math"/>
          </w:rPr>
          <m:t xml:space="preserve">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− 1</m:t>
        </m:r>
      </m:oMath>
      <w:r>
        <w:t>.</w:t>
      </w:r>
    </w:p>
    <w:p>
      <w:pPr>
        <w:spacing w:before="0" w:after="160"/>
        <w:ind w:firstLine="0"/>
        <w:jc w:val="both"/>
      </w:pPr>
      <w:r>
        <w:t>The threshold is country-specific and varies widely. Near-frontier countries switch to domestic production with minimal sovereignty premia: Kyrgyzstan requires only λ* = 2.0%, China 4.6%, and the United States 7.1%. High-cost countries require much larger premia: Germany needs λ* = 12.5% and Japan 13.4%. This predicts which countries are most likely to resist compute trade liberalization: those with high λ* face large cost penalties from sovereignty-driven domestic sourcing.</w:t>
      </w:r>
    </w:p>
    <w:p>
      <w:pPr>
        <w:spacing w:before="0" w:after="160"/>
        <w:ind w:firstLine="0"/>
        <w:jc w:val="both"/>
      </w:pPr>
      <w:r>
        <w:rPr>
          <w:rFonts w:ascii="Times New Roman" w:hAnsi="Times New Roman"/>
          <w:b w:val="0"/>
          <w:i/>
          <w:sz w:val="24"/>
        </w:rPr>
        <w:t xml:space="preserve">Inference.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the buyer weighs both cost and latency: </w:t>
      </w:r>
      <m:oMath>
        <m:sSubSup>
          <m:sSubSupPr/>
          <m:e>
            <m:r>
              <m:rPr>
                <m:sty m:val="i"/>
              </m:rPr>
              <w:rPr>
                <w:rFonts w:ascii="Cambria Math" w:hAnsi="Cambria Math"/>
              </w:rPr>
              <m:t xml:space="preserve">j</m:t>
            </m:r>
          </m:e>
          <m:sub>
            <m:r>
              <m:rPr>
                <m:sty m:val="i"/>
              </m:rPr>
              <w:rPr>
                <w:rFonts w:ascii="Cambria Math" w:hAnsi="Cambria Math"/>
              </w:rPr>
              <m:t xml:space="preserve">I</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r>
        <w:t xml:space="preserve">. A country with low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but high latency to demand center </w:t>
      </w:r>
      <m:oMath>
        <m:r>
          <m:rPr>
            <m:sty m:val="i"/>
          </m:rPr>
          <w:rPr>
            <w:rFonts w:ascii="Cambria Math" w:hAnsi="Cambria Math"/>
          </w:rPr>
          <m:t xml:space="preserve">k</m:t>
        </m:r>
      </m:oMath>
      <w:r>
        <w:t xml:space="preserve"> may be uncompetitive for inference even if it dominates in training. This creates regional inference hubs: countries that combine moderate costs with geographic proximity to major markets.</w:t>
      </w:r>
    </w:p>
    <w:p>
      <w:pPr>
        <w:spacing w:before="0" w:after="160"/>
        <w:ind w:firstLine="0"/>
        <w:jc w:val="both"/>
      </w:pPr>
      <w:r>
        <w:rPr>
          <w:b/>
        </w:rPr>
        <w:t xml:space="preserve">Country Taxonomy. </w:t>
      </w:r>
      <w:r>
        <w:t>The model generates a natural classification of countries based on their cost position and geographic proximity to demand centers:</w:t>
      </w:r>
    </w:p>
    <w:p>
      <w:pPr>
        <w:spacing w:before="0" w:after="160"/>
        <w:ind w:firstLine="0"/>
        <w:jc w:val="both"/>
      </w:pPr>
      <w:r>
        <w:t xml:space="preserve">Equation (3) generates four possible sourcing regimes for each buyer </w:t>
      </w:r>
      <m:oMath>
        <m:r>
          <m:rPr>
            <m:sty m:val="i"/>
          </m:rPr>
          <w:rPr>
            <w:rFonts w:ascii="Cambria Math" w:hAnsi="Cambria Math"/>
          </w:rPr>
          <m:t xml:space="preserve">k</m:t>
        </m:r>
      </m:oMath>
      <w:r>
        <w:t>, depending on whether training and inference are sourced domestically or imported:</w:t>
      </w:r>
    </w:p>
    <w:p>
      <w:pPr>
        <w:spacing w:before="0" w:after="160"/>
        <w:ind w:firstLine="0"/>
        <w:jc w:val="both"/>
      </w:pPr>
      <w:r>
        <w:rPr>
          <w:i/>
        </w:rPr>
        <w:t xml:space="preserve">(i) Full import </w:t>
      </w:r>
      <m:oMath>
        <m:r>
          <m:rPr>
            <m:sty m:val="p"/>
          </m:rPr>
          <w:rPr>
            <w:rFonts w:ascii="Cambria Math" w:hAnsi="Cambria Math"/>
          </w:rPr>
          <m:t xml:space="preserve">(</m:t>
        </m:r>
        <m:sSubSup>
          <m:sSubSupPr/>
          <m:e>
            <m:r>
              <m:rPr>
                <m:sty m:val="i"/>
              </m:rPr>
              <w:rPr>
                <w:rFonts w:ascii="Cambria Math" w:hAnsi="Cambria Math"/>
              </w:rPr>
              <m:t xml:space="preserve">j</m:t>
            </m:r>
          </m:e>
          <m:sub>
            <m:r>
              <m:rPr>
                <m:sty m:val="i"/>
              </m:rPr>
              <w:rPr>
                <w:rFonts w:ascii="Cambria Math" w:hAnsi="Cambria Math"/>
              </w:rPr>
              <m:t xml:space="preserve">T</m:t>
            </m:r>
          </m:sub>
          <m:sup>
            <m:r>
              <m:rPr>
                <m:sty m:val="i"/>
              </m:rPr>
              <w:rPr>
                <w:rFonts w:ascii="Cambria Math" w:hAnsi="Cambria Math"/>
              </w:rPr>
              <m:t xml:space="preserve">*</m:t>
            </m:r>
          </m:sup>
        </m:sSubSup>
        <m:r>
          <m:rPr>
            <m:sty m:val="p"/>
          </m:rPr>
          <w:rPr>
            <w:rFonts w:ascii="Cambria Math" w:hAnsi="Cambria Math"/>
          </w:rPr>
          <m:t xml:space="preserve"> ≠ k, </m:t>
        </m:r>
        <m:sSubSup>
          <m:sSubSupPr/>
          <m:e>
            <m:r>
              <m:rPr>
                <m:sty m:val="i"/>
              </m:rPr>
              <w:rPr>
                <w:rFonts w:ascii="Cambria Math" w:hAnsi="Cambria Math"/>
              </w:rPr>
              <m:t xml:space="preserve">j</m:t>
            </m:r>
          </m:e>
          <m:sub>
            <m:r>
              <m:rPr>
                <m:sty m:val="i"/>
              </m:rPr>
              <w:rPr>
                <w:rFonts w:ascii="Cambria Math" w:hAnsi="Cambria Math"/>
              </w:rPr>
              <m:t xml:space="preserve">I</m:t>
            </m:r>
          </m:sub>
          <m:sup>
            <m:r>
              <m:rPr>
                <m:sty m:val="i"/>
              </m:rPr>
              <w:rPr>
                <w:rFonts w:ascii="Cambria Math" w:hAnsi="Cambria Math"/>
              </w:rPr>
              <m:t xml:space="preserve">*</m:t>
            </m:r>
          </m:sup>
        </m:sSubSup>
        <m:r>
          <m:rPr>
            <m:sty m:val="p"/>
          </m:rPr>
          <w:rPr>
            <w:rFonts w:ascii="Cambria Math" w:hAnsi="Cambria Math"/>
          </w:rPr>
          <m:t xml:space="preserve"> ≠ k)</m:t>
        </m:r>
      </m:oMath>
      <w:r>
        <w:t xml:space="preserve">. </w:t>
      </w:r>
      <w:r>
        <w:t xml:space="preserve">Countries with high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that import both training and inference from abroad. These countries have no cost advantage and rely entirely on foreign compute. Examples: Ireland, Croatia, Greenland.</w:t>
      </w:r>
    </w:p>
    <w:p>
      <w:pPr>
        <w:spacing w:before="0" w:after="160"/>
        <w:ind w:firstLine="0"/>
        <w:jc w:val="both"/>
      </w:pPr>
      <w:r>
        <w:rPr>
          <w:i/>
        </w:rPr>
        <w:t xml:space="preserve">(ii) Import training, domestic inference </w:t>
      </w:r>
      <m:oMath>
        <m:r>
          <m:rPr>
            <m:sty m:val="p"/>
          </m:rPr>
          <w:rPr>
            <w:rFonts w:ascii="Cambria Math" w:hAnsi="Cambria Math"/>
          </w:rPr>
          <m:t xml:space="preserve">(</m:t>
        </m:r>
        <m:sSubSup>
          <m:sSubSupPr/>
          <m:e>
            <m:r>
              <m:rPr>
                <m:sty m:val="i"/>
              </m:rPr>
              <w:rPr>
                <w:rFonts w:ascii="Cambria Math" w:hAnsi="Cambria Math"/>
              </w:rPr>
              <m:t xml:space="preserve">j</m:t>
            </m:r>
          </m:e>
          <m:sub>
            <m:r>
              <m:rPr>
                <m:sty m:val="i"/>
              </m:rPr>
              <w:rPr>
                <w:rFonts w:ascii="Cambria Math" w:hAnsi="Cambria Math"/>
              </w:rPr>
              <m:t xml:space="preserve">T</m:t>
            </m:r>
          </m:sub>
          <m:sup>
            <m:r>
              <m:rPr>
                <m:sty m:val="i"/>
              </m:rPr>
              <w:rPr>
                <w:rFonts w:ascii="Cambria Math" w:hAnsi="Cambria Math"/>
              </w:rPr>
              <m:t xml:space="preserve">*</m:t>
            </m:r>
          </m:sup>
        </m:sSubSup>
        <m:r>
          <m:rPr>
            <m:sty m:val="p"/>
          </m:rPr>
          <w:rPr>
            <w:rFonts w:ascii="Cambria Math" w:hAnsi="Cambria Math"/>
          </w:rPr>
          <m:t xml:space="preserve"> ≠ k, </m:t>
        </m:r>
        <m:sSubSup>
          <m:sSubSupPr/>
          <m:e>
            <m:r>
              <m:rPr>
                <m:sty m:val="i"/>
              </m:rPr>
              <w:rPr>
                <w:rFonts w:ascii="Cambria Math" w:hAnsi="Cambria Math"/>
              </w:rPr>
              <m:t xml:space="preserve">j</m:t>
            </m:r>
          </m:e>
          <m:sub>
            <m:r>
              <m:rPr>
                <m:sty m:val="i"/>
              </m:rPr>
              <w:rPr>
                <w:rFonts w:ascii="Cambria Math" w:hAnsi="Cambria Math"/>
              </w:rPr>
              <m:t xml:space="preserve">I</m:t>
            </m:r>
          </m:sub>
          <m:sup>
            <m:r>
              <m:rPr>
                <m:sty m:val="i"/>
              </m:rPr>
              <w:rPr>
                <w:rFonts w:ascii="Cambria Math" w:hAnsi="Cambria Math"/>
              </w:rPr>
              <m:t xml:space="preserve">*</m:t>
            </m:r>
          </m:sup>
        </m:sSubSup>
        <m:r>
          <m:rPr>
            <m:sty m:val="p"/>
          </m:rPr>
          <w:rPr>
            <w:rFonts w:ascii="Cambria Math" w:hAnsi="Cambria Math"/>
          </w:rPr>
          <m:t xml:space="preserve"> = k)</m:t>
        </m:r>
      </m:oMath>
      <w:r>
        <w:t xml:space="preserve">. </w:t>
      </w:r>
      <w:r>
        <w:t>The most common pure-cost regime: the country cannot compete on global training costs but its domestic latency advantage makes local inference cheaper than importing. Examples: Norway, Canada, Brazil, Australia.</w:t>
      </w:r>
    </w:p>
    <w:p>
      <w:pPr>
        <w:spacing w:before="0" w:after="160"/>
        <w:ind w:firstLine="0"/>
        <w:jc w:val="both"/>
      </w:pPr>
      <w:r>
        <w:rPr>
          <w:i/>
        </w:rPr>
        <w:t xml:space="preserve">(iii) Full domestic </w:t>
      </w:r>
      <m:oMath>
        <m:r>
          <m:rPr>
            <m:sty m:val="p"/>
          </m:rPr>
          <w:rPr>
            <w:rFonts w:ascii="Cambria Math" w:hAnsi="Cambria Math"/>
          </w:rPr>
          <m:t xml:space="preserve">(</m:t>
        </m:r>
        <m:sSubSup>
          <m:sSubSupPr/>
          <m:e>
            <m:r>
              <m:rPr>
                <m:sty m:val="i"/>
              </m:rPr>
              <w:rPr>
                <w:rFonts w:ascii="Cambria Math" w:hAnsi="Cambria Math"/>
              </w:rPr>
              <m:t xml:space="preserve">j</m:t>
            </m:r>
          </m:e>
          <m:sub>
            <m:r>
              <m:rPr>
                <m:sty m:val="i"/>
              </m:rPr>
              <w:rPr>
                <w:rFonts w:ascii="Cambria Math" w:hAnsi="Cambria Math"/>
              </w:rPr>
              <m:t xml:space="preserve">T</m:t>
            </m:r>
          </m:sub>
          <m:sup>
            <m:r>
              <m:rPr>
                <m:sty m:val="i"/>
              </m:rPr>
              <w:rPr>
                <w:rFonts w:ascii="Cambria Math" w:hAnsi="Cambria Math"/>
              </w:rPr>
              <m:t xml:space="preserve">*</m:t>
            </m:r>
          </m:sup>
        </m:sSubSup>
        <m:r>
          <m:rPr>
            <m:sty m:val="p"/>
          </m:rPr>
          <w:rPr>
            <w:rFonts w:ascii="Cambria Math" w:hAnsi="Cambria Math"/>
          </w:rPr>
          <m:t xml:space="preserve"> = k, </m:t>
        </m:r>
        <m:sSubSup>
          <m:sSubSupPr/>
          <m:e>
            <m:r>
              <m:rPr>
                <m:sty m:val="i"/>
              </m:rPr>
              <w:rPr>
                <w:rFonts w:ascii="Cambria Math" w:hAnsi="Cambria Math"/>
              </w:rPr>
              <m:t xml:space="preserve">j</m:t>
            </m:r>
          </m:e>
          <m:sub>
            <m:r>
              <m:rPr>
                <m:sty m:val="i"/>
              </m:rPr>
              <w:rPr>
                <w:rFonts w:ascii="Cambria Math" w:hAnsi="Cambria Math"/>
              </w:rPr>
              <m:t xml:space="preserve">I</m:t>
            </m:r>
          </m:sub>
          <m:sup>
            <m:r>
              <m:rPr>
                <m:sty m:val="i"/>
              </m:rPr>
              <w:rPr>
                <w:rFonts w:ascii="Cambria Math" w:hAnsi="Cambria Math"/>
              </w:rPr>
              <m:t xml:space="preserve">*</m:t>
            </m:r>
          </m:sup>
        </m:sSubSup>
        <m:r>
          <m:rPr>
            <m:sty m:val="p"/>
          </m:rPr>
          <w:rPr>
            <w:rFonts w:ascii="Cambria Math" w:hAnsi="Cambria Math"/>
          </w:rPr>
          <m:t xml:space="preserve"> = k)</m:t>
        </m:r>
      </m:oMath>
      <w:r>
        <w:t xml:space="preserve">. </w:t>
      </w:r>
      <w:r>
        <w:t xml:space="preserve">Under pure cost minimization, only the globally cheapest producer (Iran) falls in this category. With a sovereignty premium </w:t>
      </w:r>
      <m:oMath>
        <m:r>
          <m:rPr>
            <m:sty m:val="i"/>
          </m:rPr>
          <w:rPr>
            <w:rFonts w:ascii="Cambria Math" w:hAnsi="Cambria Math"/>
          </w:rPr>
          <m:t xml:space="preserve">λ</m:t>
        </m:r>
        <m:r>
          <m:rPr>
            <m:sty m:val="p"/>
          </m:rPr>
          <w:rPr>
            <w:rFonts w:ascii="Cambria Math" w:hAnsi="Cambria Math"/>
          </w:rPr>
          <m:t xml:space="preserve"> &gt; 0</m:t>
        </m:r>
      </m:oMath>
      <w:r>
        <w:t xml:space="preserve">, this becomes the dominant regime: countries with high production costs still produce domestically because the sovereignty markup makes imports more expensive. For instance, with </w:t>
      </w:r>
      <m:oMath>
        <m:r>
          <m:rPr>
            <m:sty m:val="i"/>
          </m:rPr>
          <w:rPr>
            <w:rFonts w:ascii="Cambria Math" w:hAnsi="Cambria Math"/>
          </w:rPr>
          <m:t xml:space="preserve">λ</m:t>
        </m:r>
        <m:r>
          <m:rPr>
            <m:sty m:val="p"/>
          </m:rPr>
          <w:rPr>
            <w:rFonts w:ascii="Cambria Math" w:hAnsi="Cambria Math"/>
          </w:rPr>
          <m:t xml:space="preserve"> = 10%</m:t>
        </m:r>
      </m:oMath>
      <w:r>
        <w:t>, countries like Japan ($1.25/hr) and Germany ($1.24/hr) produce both services domestically, even though their costs far exceed those of the cheapest producers.</w:t>
      </w:r>
    </w:p>
    <w:p>
      <w:pPr>
        <w:spacing w:before="0" w:after="160"/>
        <w:ind w:firstLine="0"/>
        <w:jc w:val="both"/>
      </w:pPr>
      <w:r>
        <w:rPr>
          <w:i/>
        </w:rPr>
        <w:t xml:space="preserve">(iv) Domestic training, import inference </w:t>
      </w:r>
      <m:oMath>
        <m:r>
          <m:rPr>
            <m:sty m:val="p"/>
          </m:rPr>
          <w:rPr>
            <w:rFonts w:ascii="Cambria Math" w:hAnsi="Cambria Math"/>
          </w:rPr>
          <m:t xml:space="preserve">(</m:t>
        </m:r>
        <m:sSubSup>
          <m:sSubSupPr/>
          <m:e>
            <m:r>
              <m:rPr>
                <m:sty m:val="i"/>
              </m:rPr>
              <w:rPr>
                <w:rFonts w:ascii="Cambria Math" w:hAnsi="Cambria Math"/>
              </w:rPr>
              <m:t xml:space="preserve">j</m:t>
            </m:r>
          </m:e>
          <m:sub>
            <m:r>
              <m:rPr>
                <m:sty m:val="i"/>
              </m:rPr>
              <w:rPr>
                <w:rFonts w:ascii="Cambria Math" w:hAnsi="Cambria Math"/>
              </w:rPr>
              <m:t xml:space="preserve">T</m:t>
            </m:r>
          </m:sub>
          <m:sup>
            <m:r>
              <m:rPr>
                <m:sty m:val="i"/>
              </m:rPr>
              <w:rPr>
                <w:rFonts w:ascii="Cambria Math" w:hAnsi="Cambria Math"/>
              </w:rPr>
              <m:t xml:space="preserve">*</m:t>
            </m:r>
          </m:sup>
        </m:sSubSup>
        <m:r>
          <m:rPr>
            <m:sty m:val="p"/>
          </m:rPr>
          <w:rPr>
            <w:rFonts w:ascii="Cambria Math" w:hAnsi="Cambria Math"/>
          </w:rPr>
          <m:t xml:space="preserve"> = k, </m:t>
        </m:r>
        <m:sSubSup>
          <m:sSubSupPr/>
          <m:e>
            <m:r>
              <m:rPr>
                <m:sty m:val="i"/>
              </m:rPr>
              <w:rPr>
                <w:rFonts w:ascii="Cambria Math" w:hAnsi="Cambria Math"/>
              </w:rPr>
              <m:t xml:space="preserve">j</m:t>
            </m:r>
          </m:e>
          <m:sub>
            <m:r>
              <m:rPr>
                <m:sty m:val="i"/>
              </m:rPr>
              <w:rPr>
                <w:rFonts w:ascii="Cambria Math" w:hAnsi="Cambria Math"/>
              </w:rPr>
              <m:t xml:space="preserve">I</m:t>
            </m:r>
          </m:sub>
          <m:sup>
            <m:r>
              <m:rPr>
                <m:sty m:val="i"/>
              </m:rPr>
              <w:rPr>
                <w:rFonts w:ascii="Cambria Math" w:hAnsi="Cambria Math"/>
              </w:rPr>
              <m:t xml:space="preserve">*</m:t>
            </m:r>
          </m:sup>
        </m:sSubSup>
        <m:r>
          <m:rPr>
            <m:sty m:val="p"/>
          </m:rPr>
          <w:rPr>
            <w:rFonts w:ascii="Cambria Math" w:hAnsi="Cambria Math"/>
          </w:rPr>
          <m:t xml:space="preserve"> ≠ k)</m:t>
        </m:r>
      </m:oMath>
      <w:r>
        <w:t xml:space="preserve">. </w:t>
      </w:r>
      <w:r>
        <w:t>Theoretically possible if a country is the cheapest globally (optimal for zero-latency training), but sufficiently remote that a nearby country offers cheaper inference. Empirically, this regime is empty: the cheapest producer’s cost advantage extends to domestic inference as well.</w:t>
      </w:r>
    </w:p>
    <w:p>
      <w:pPr>
        <w:spacing w:before="0" w:after="160"/>
        <w:ind w:firstLine="0"/>
        <w:jc w:val="both"/>
      </w:pPr>
      <w:r>
        <w:t xml:space="preserve">From the supply side, two patterns of specialization emerge. </w:t>
      </w:r>
      <w:r>
        <w:rPr>
          <w:i/>
        </w:rPr>
        <w:t xml:space="preserve">Training exporters </w:t>
      </w:r>
      <w:r>
        <w:t xml:space="preserve">are countries with the lowest global costs, which meet training demand worldwide because training has zero effective latency cost. </w:t>
      </w:r>
      <w:r>
        <w:rPr>
          <w:i/>
        </w:rPr>
        <w:t xml:space="preserve">Regional inference hubs </w:t>
      </w:r>
      <w:r>
        <w:t>are countries with moderate costs and low latency to major demand centers that export inference to nearby high-cost countries. Their competitive radius is bounded by latency. Examples: Kosovo (Southeastern Europe), Finland (Baltics), Algeria (Mediterranean).</w:t>
      </w:r>
    </w:p>
    <w:p>
      <w:pPr>
        <w:spacing w:before="0" w:after="160"/>
        <w:ind w:firstLine="0"/>
        <w:jc w:val="both"/>
      </w:pPr>
      <w:r>
        <w:t>Note that the production cost per GPU-hour is the same regardless of whether the GPU is used for training or inference: both services use the same hardware. The cost difference arises entirely from the trade cost: inference delivered over distance costs more because of the latency markup. From the buyer’s perspective, an inference FLOP costs more than a training FLOP because some compute is effectively lost to latency.</w:t>
      </w:r>
    </w:p>
    <w:p>
      <w:pPr>
        <w:spacing w:before="0" w:after="160"/>
        <w:ind w:firstLine="0"/>
        <w:jc w:val="both"/>
      </w:pPr>
      <w:r>
        <w:t xml:space="preserve">The cost structure also implies that every training exporter also exports inference to at least its own geographic neighborhood; the set of training exporters is a weak subset of inference exporters.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and for inference to nearby countries this cost advantage dominates the latency markup, so the same country wins the inference competition for proximate demand centers. This explains why regime (iv), domestic training with imported inference, is empirically empty and predicts that training exporters hold asymmetric market power: they compete globally for training and regionally for inference.</w:t>
      </w:r>
    </w:p>
    <w:p>
      <w:pPr>
        <w:spacing w:before="0" w:after="160"/>
        <w:ind w:firstLine="0"/>
        <w:jc w:val="both"/>
      </w:pPr>
      <w:r>
        <w:t xml:space="preserve">A related implication concerns market concentration. Let </w:t>
      </w:r>
      <m:oMath>
        <m:sSub>
          <m:sSubPr/>
          <m:e>
            <m:r>
              <m:rPr>
                <m:sty m:val="i"/>
              </m:rPr>
              <w:rPr>
                <w:rFonts w:ascii="Cambria Math" w:hAnsi="Cambria Math"/>
              </w:rPr>
              <m:t xml:space="preserve">HHI</m:t>
            </m:r>
          </m:e>
          <m:sub>
            <m:r>
              <m:rPr>
                <m:sty m:val="i"/>
              </m:rPr>
              <w:rPr>
                <w:rFonts w:ascii="Cambria Math" w:hAnsi="Cambria Math"/>
              </w:rPr>
              <m:t xml:space="preserve">s</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(demand share served by j)</m:t>
                </m:r>
              </m:e>
              <m:sup>
                <m:r>
                  <m:rPr>
                    <m:sty m:val="p"/>
                  </m:rPr>
                  <w:rPr>
                    <w:rFonts w:ascii="Cambria Math" w:hAnsi="Cambria Math"/>
                  </w:rPr>
                  <m:t xml:space="preserve">2</m:t>
                </m:r>
              </m:sup>
            </m:sSup>
          </m:e>
        </m:nary>
      </m:oMath>
      <w:r>
        <w:t xml:space="preserve"> for service </w:t>
      </w:r>
      <m:oMath>
        <m:r>
          <m:rPr>
            <m:sty m:val="i"/>
          </m:rPr>
          <w:rPr>
            <w:rFonts w:ascii="Cambria Math" w:hAnsi="Cambria Math"/>
          </w:rPr>
          <m:t xml:space="preserve">s</m:t>
        </m:r>
      </m:oMath>
      <w:r>
        <w:t xml:space="preserve">. Then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HHI</m:t>
            </m:r>
          </m:e>
          <m:sub>
            <m:r>
              <m:rPr>
                <m:sty m:val="i"/>
              </m:rPr>
              <w:rPr>
                <w:rFonts w:ascii="Cambria Math" w:hAnsi="Cambria Math"/>
              </w:rPr>
              <m:t xml:space="preserve">I</m:t>
            </m:r>
          </m:sub>
        </m:sSub>
      </m:oMath>
      <w:r>
        <w:t>: training has no geography dimension, so demand pools at the single cheapest producer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while inference has latency costs that segment the market into regional hubs, dispersing market share (</w:t>
      </w:r>
      <m:oMath>
        <m:sSub>
          <m:sSubPr/>
          <m:e>
            <m:r>
              <m:rPr>
                <m:sty m:val="i"/>
              </m:rPr>
              <w:rPr>
                <w:rFonts w:ascii="Cambria Math" w:hAnsi="Cambria Math"/>
              </w:rPr>
              <m:t xml:space="preserve">HHI</m:t>
            </m:r>
          </m:e>
          <m:sub>
            <m:r>
              <m:rPr>
                <m:sty m:val="i"/>
              </m:rPr>
              <w:rPr>
                <w:rFonts w:ascii="Cambria Math" w:hAnsi="Cambria Math"/>
              </w:rPr>
              <m:t xml:space="preserve">I</m:t>
            </m:r>
          </m:sub>
        </m:sSub>
        <m:r>
          <m:rPr>
            <m:sty m:val="p"/>
          </m:rPr>
          <w:rPr>
            <w:rFonts w:ascii="Cambria Math" w:hAnsi="Cambria Math"/>
          </w:rPr>
          <m:t xml:space="preserve"> &lt; 1</m:t>
        </m:r>
      </m:oMath>
      <w:r>
        <w:t>). In our calibration, the demand-weighted HHI for training is 0.99 (highly concentrated), versus 0.12 for inference (moderately concentrated).</w:t>
      </w:r>
    </w:p>
    <w:p>
      <w:pPr>
        <w:pStyle w:val="Heading1"/>
      </w:pPr>
      <w:r>
        <w:rPr>
          <w:rFonts w:ascii="Times New Roman" w:hAnsi="Times New Roman"/>
          <w:color w:val="2F5496"/>
        </w:rPr>
        <w:t>5. The Make-or-Buy Decision</w:t>
      </w:r>
    </w:p>
    <w:p>
      <w:pPr>
        <w:spacing w:before="0" w:after="160"/>
        <w:ind w:firstLine="0"/>
        <w:jc w:val="both"/>
      </w:pPr>
      <w:r>
        <w:t xml:space="preserve">A country that wishes to produce FLOPs domestically must first build a data center, incurring a country-specific fixed cost </w:t>
      </w:r>
      <m:oMath>
        <m:sSub>
          <m:sSubPr/>
          <m:e>
            <m:r>
              <m:rPr>
                <m:sty m:val="i"/>
              </m:rPr>
              <w:rPr>
                <w:rFonts w:ascii="Cambria Math" w:hAnsi="Cambria Math"/>
              </w:rPr>
              <m:t xml:space="preserve">F</m:t>
            </m:r>
          </m:e>
          <m:sub>
            <m:r>
              <m:rPr>
                <m:sty m:val="i"/>
              </m:rPr>
              <w:rPr>
                <w:rFonts w:ascii="Cambria Math" w:hAnsi="Cambria Math"/>
              </w:rPr>
              <m:t xml:space="preserve">j</m:t>
            </m:r>
          </m:sub>
        </m:sSub>
      </m:oMath>
      <w:r>
        <w:t xml:space="preserve">. This cost depends on local construction prices, land costs, and regulatory requirements, and is proportional to the construction cost parameter </w:t>
      </w:r>
      <m:oMath>
        <m:sSub>
          <m:sSubPr/>
          <m:e>
            <m:r>
              <m:rPr>
                <m:sty m:val="i"/>
              </m:rPr>
              <w:rPr>
                <w:rFonts w:ascii="Cambria Math" w:hAnsi="Cambria Math"/>
              </w:rPr>
              <m:t xml:space="preserve">p</m:t>
            </m:r>
          </m:e>
          <m:sub>
            <m:r>
              <m:rPr>
                <m:sty m:val="i"/>
              </m:rPr>
              <w:rPr>
                <w:rFonts w:ascii="Cambria Math" w:hAnsi="Cambria Math"/>
              </w:rPr>
              <m:t xml:space="preserve">L,j</m:t>
            </m:r>
          </m:sub>
        </m:sSub>
      </m:oMath>
      <w:r>
        <w:t>. The entry decision trades off the fixed cost against the expected operating margin.</w:t>
      </w:r>
    </w:p>
    <w:p>
      <w:pPr>
        <w:spacing w:before="0" w:after="40"/>
        <w:ind w:firstLine="0"/>
        <w:jc w:val="both"/>
      </w:pPr>
      <w:r>
        <w:t xml:space="preserve">We close the model by specifying demand.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country </w:t>
      </w:r>
      <m:oMath>
        <m:r>
          <m:rPr>
            <m:sty m:val="i"/>
          </m:rPr>
          <w:rPr>
            <w:rFonts w:ascii="Cambria Math" w:hAnsi="Cambria Math"/>
          </w:rPr>
          <m:t xml:space="preserve">k</m:t>
        </m:r>
      </m:oMath>
      <w:r>
        <w:t xml:space="preserve">. Following the gravity-model tradition (</w:t>
      </w:r>
      <w:bookmarkStart w:id="215" w:name="Anderson2003txt"/>
      <w:hyperlink w:anchor="Anderson2003" w:history="1">
        <w:r>
          <w:rPr>
            <w:color w:val="1F3864"/>
            <w:u w:val="single"/>
          </w:rPr>
          <w:t xml:space="preserve">Anderson and van Wincoop 2003</w:t>
        </w:r>
      </w:hyperlink>
      <w:bookmarkEnd w:id="215"/>
      <w:r>
        <w:t xml:space="preserve">), we proxy compute demand using GDP at purchasing power parity: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GDP</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GDP</m:t>
                      </m:r>
                    </m:e>
                    <m:sub>
                      <m:r>
                        <m:rPr>
                          <m:sty m:val="i"/>
                        </m:rPr>
                        <w:rPr>
                          <w:rFonts w:ascii="Cambria Math" w:hAnsi="Cambria Math"/>
                        </w:rPr>
                        <m:t xml:space="preserve">k′</m:t>
                      </m:r>
                    </m:sub>
                  </m:sSub>
                </m:e>
              </m:nary>
            </m:oMath>
          </w:p>
        </w:tc>
        <w:tc>
          <w:tcPr>
            <w:tcW w:w="1400" w:type="dxa"/>
            <w:vAlign w:val="center"/>
          </w:tcPr>
          <w:p>
            <w:pPr>
              <w:jc w:val="right"/>
              <w:spacing w:before="60" w:after="60"/>
            </w:pPr>
            <w:r>
              <w:t>(5)</w:t>
            </w:r>
          </w:p>
        </w:tc>
      </w:tr>
    </w:tbl>
    <w:p>
      <w:pPr>
        <w:spacing w:before="0" w:after="160"/>
        <w:ind w:firstLine="0"/>
        <w:jc w:val="both"/>
      </w:pPr>
      <w:r>
        <w:t xml:space="preserve">where </w:t>
      </w:r>
      <m:oMath>
        <m:r>
          <m:rPr>
            <m:sty m:val="i"/>
          </m:rPr>
          <w:rPr>
            <w:rFonts w:ascii="Cambria Math" w:hAnsi="Cambria Math"/>
          </w:rPr>
          <m:t xml:space="preserve">Q</m:t>
        </m:r>
      </m:oMath>
      <w:r>
        <w:t xml:space="preserve"> is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GDP at purchasing power parity. This is a standard gravity-model proxy: larger economies demand more compute services. Since all results below depend only on demand </w:t>
      </w:r>
      <w:r>
        <w:rPr>
          <w:i/>
        </w:rPr>
        <w:t>shares</w:t>
      </w:r>
      <w:r>
        <w:t xml:space="preserve">, not on the absolute level </w:t>
      </w:r>
      <m:oMath>
        <m:r>
          <m:rPr>
            <m:sty m:val="i"/>
          </m:rPr>
          <w:rPr>
            <w:rFonts w:ascii="Cambria Math" w:hAnsi="Cambria Math"/>
          </w:rPr>
          <m:t xml:space="preserve">Q</m:t>
        </m:r>
      </m:oMath>
      <w:r>
        <w:t>, the calibration does not require an estimate of total global compute spending.</w:t>
      </w:r>
    </w:p>
    <w:p>
      <w:pPr>
        <w:spacing w:before="0" w:after="40"/>
        <w:ind w:firstLine="0"/>
        <w:jc w:val="both"/>
      </w:pPr>
      <w:r>
        <w:t xml:space="preserve">The entry decision has a natural characterization. Country </w:t>
      </w:r>
      <m:oMath>
        <m:r>
          <m:rPr>
            <m:sty m:val="i"/>
          </m:rPr>
          <w:rPr>
            <w:rFonts w:ascii="Cambria Math" w:hAnsi="Cambria Math"/>
          </w:rPr>
          <m:t xml:space="preserve">j</m:t>
        </m:r>
      </m:oMath>
      <w:r>
        <w:t xml:space="preserve"> enters the FLOP export market (builds a data center) if and only if:</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nary>
                <m:naryPr>
                  <m:chr m:val="∑"/>
                  <m:supHide m:val="1"/>
                </m:naryPr>
                <m:sub>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r>
                    <m:rPr>
                      <m:sty m:val="i"/>
                    </m:rPr>
                    <w:rPr>
                      <w:rFonts w:ascii="Cambria Math" w:hAnsi="Cambria Math"/>
                    </w:rPr>
                    <m:t xml:space="preserve">j</m:t>
                  </m:r>
                </m:sub>
                <m:sup/>
                <m:e>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e>
              </m:nary>
              <m:r>
                <m:rPr>
                  <m:sty m:val="p"/>
                </m:rPr>
                <w:rPr>
                  <w:rFonts w:ascii="Cambria Math" w:hAnsi="Cambria Math"/>
                </w:rPr>
                <m:t xml:space="preserve"> ≥ </m:t>
              </m:r>
              <m:sSub>
                <m:sSubPr/>
                <m:e>
                  <m:r>
                    <m:rPr>
                      <m:sty m:val="i"/>
                    </m:rPr>
                    <w:rPr>
                      <w:rFonts w:ascii="Cambria Math" w:hAnsi="Cambria Math"/>
                    </w:rPr>
                    <m:t xml:space="preserve">F</m:t>
                  </m:r>
                </m:e>
                <m:sub>
                  <m:r>
                    <m:rPr>
                      <m:sty m:val="i"/>
                    </m:rPr>
                    <w:rPr>
                      <w:rFonts w:ascii="Cambria Math" w:hAnsi="Cambria Math"/>
                    </w:rPr>
                    <m:t xml:space="preserve">j</m:t>
                  </m:r>
                </m:sub>
              </m:sSub>
            </m:oMath>
          </w:p>
        </w:tc>
        <w:tc>
          <w:tcPr>
            <w:tcW w:w="1400" w:type="dxa"/>
            <w:vAlign w:val="center"/>
          </w:tcPr>
          <w:p>
            <w:pPr>
              <w:jc w:val="right"/>
              <w:spacing w:before="60" w:after="60"/>
            </w:pPr>
            <w:r>
              <w:t>(6)</w:t>
            </w:r>
          </w:p>
        </w:tc>
      </w:tr>
    </w:tbl>
    <w:p>
      <w:pPr>
        <w:spacing w:before="0" w:after="160"/>
        <w:ind w:firstLine="0"/>
        <w:jc w:val="both"/>
      </w:pPr>
      <w:r>
        <w:t xml:space="preserve">where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the volume of compute demanded by country </w:t>
      </w:r>
      <m:oMath>
        <m:r>
          <m:rPr>
            <m:sty m:val="i"/>
          </m:rPr>
          <w:rPr>
            <w:rFonts w:ascii="Cambria Math" w:hAnsi="Cambria Math"/>
          </w:rPr>
          <m:t xml:space="preserve">k</m:t>
        </m:r>
      </m:oMath>
      <w:r>
        <w:t xml:space="preserve">, and the summation ranges over all demand centers </w:t>
      </w:r>
      <m:oMath>
        <m:r>
          <m:rPr>
            <m:sty m:val="i"/>
          </m:rPr>
          <w:rPr>
            <w:rFonts w:ascii="Cambria Math" w:hAnsi="Cambria Math"/>
          </w:rPr>
          <m:t xml:space="preserve">k</m:t>
        </m:r>
      </m:oMath>
      <w:r>
        <w:t xml:space="preserve"> for which </w:t>
      </w:r>
      <m:oMath>
        <m:r>
          <m:rPr>
            <m:sty m:val="i"/>
          </m:rPr>
          <w:rPr>
            <w:rFonts w:ascii="Cambria Math" w:hAnsi="Cambria Math"/>
          </w:rPr>
          <m:t xml:space="preserve">j</m:t>
        </m:r>
      </m:oMath>
      <w:r>
        <w:t xml:space="preserve"> is the optimal source per equation (4). Expected volume is determined by the global market, not by country </w:t>
      </w:r>
      <m:oMath>
        <m:r>
          <m:rPr>
            <m:sty m:val="i"/>
          </m:rPr>
          <w:rPr>
            <w:rFonts w:ascii="Cambria Math" w:hAnsi="Cambria Math"/>
          </w:rPr>
          <m:t xml:space="preserve">j</m:t>
        </m:r>
      </m:oMath>
      <w:r>
        <w:t xml:space="preserve">’s own size. A small country like Kyrgyzstan could, if it is the cheapest producer, attract training demand from the entire world. However, small cheap-energy countries may have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below the global average yet still fail the entry condition if an even cheaper country exists, because the cheapest producer captures all training volume. For inference, the competitive catchment area is limited by latency: a remote country, no matter how cheap, serves only a small geographic radius.</w:t>
      </w:r>
    </w:p>
    <w:p>
      <w:pPr>
        <w:spacing w:before="0" w:after="160"/>
        <w:ind w:firstLine="0"/>
        <w:jc w:val="both"/>
      </w:pPr>
      <w:r>
        <w:t xml:space="preserve">Construction costs vary substantially across countries. A data center in Norway costs more to build than one in Uzbekistan, even if Norway has cheaper electricity. The entry condition thus depends on both the operating margin (driven by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and the fixed cost (driven by </w:t>
      </w:r>
      <m:oMath>
        <m:sSub>
          <m:sSubPr/>
          <m:e>
            <m:r>
              <m:rPr>
                <m:sty m:val="i"/>
              </m:rPr>
              <w:rPr>
                <w:rFonts w:ascii="Cambria Math" w:hAnsi="Cambria Math"/>
              </w:rPr>
              <m:t xml:space="preserve">F</m:t>
            </m:r>
          </m:e>
          <m:sub>
            <m:r>
              <m:rPr>
                <m:sty m:val="i"/>
              </m:rPr>
              <w:rPr>
                <w:rFonts w:ascii="Cambria Math" w:hAnsi="Cambria Math"/>
              </w:rPr>
              <m:t xml:space="preserve">j</m:t>
            </m:r>
          </m:sub>
        </m:sSub>
      </m:oMath>
      <w:r>
        <w:t xml:space="preserve">). As in the heterogeneous-firm trade model of </w:t>
      </w:r>
      <w:bookmarkStart w:id="216" w:name="HMY2004txt"/>
      <w:hyperlink w:anchor="HMY2004" w:history="1">
        <w:r>
          <w:rPr>
            <w:color w:val="1F3864"/>
            <w:u w:val="single"/>
          </w:rPr>
          <w:t xml:space="preserve">Helpman, Melitz, and Yeaple (2004)</w:t>
        </w:r>
      </w:hyperlink>
      <w:bookmarkEnd w:id="216"/>
      <w:r>
        <w:t xml:space="preserve">, only sufficiently productive units, here countries with sufficiently low cost, find it worthwhile to enter.</w:t>
      </w:r>
    </w:p>
    <w:p>
      <w:pPr>
        <w:spacing w:before="0" w:after="160"/>
        <w:ind w:firstLine="0"/>
        <w:jc w:val="both"/>
      </w:pPr>
      <w:r>
        <w:t xml:space="preserve">The sovereignty premium </w:t>
      </w:r>
      <m:oMath>
        <m:r>
          <m:rPr>
            <m:sty m:val="i"/>
          </m:rPr>
          <w:rPr>
            <w:rFonts w:ascii="Cambria Math" w:hAnsi="Cambria Math"/>
          </w:rPr>
          <m:t xml:space="preserve">λ</m:t>
        </m:r>
      </m:oMath>
      <w:r>
        <w:t xml:space="preserve"> interacts with the entry decision in two ways. First, it shifts some import demand toward domestic production, reducing the volume available to foreign exporters. Second, it raises the effective price that domestic producers can charge, improving the margin for domestic entry. The combined effect is that the sovereignty premium expands the set of countries that find it profitable to build data centers.</w:t>
      </w:r>
    </w:p>
    <w:p>
      <w:pPr>
        <w:spacing w:before="0" w:after="160"/>
        <w:ind w:firstLine="0"/>
        <w:jc w:val="both"/>
      </w:pPr>
      <w:r>
        <w:rPr>
          <w:rFonts w:ascii="Times New Roman" w:hAnsi="Times New Roman"/>
          <w:b w:val="0"/>
          <w:i/>
          <w:sz w:val="24"/>
        </w:rPr>
        <w:t xml:space="preserve">Welfare cost of sovereignty. </w:t>
      </w:r>
      <w:r>
        <w:t xml:space="preserve">The sovereignty premium imposes a welfare cost by diverting demand from the cheapest global producer to more expensive domestic sources. We define the aggregate welfare cost as the demand-weighted extra spending from sovereignty-induced domestic sourcing: </w:t>
      </w:r>
      <m:oMath>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r>
              <m:rPr>
                <m:sty m:val="p"/>
              </m:rPr>
              <w:rPr>
                <w:rFonts w:ascii="Cambria Math" w:hAnsi="Cambria Math"/>
              </w:rPr>
              <m:t xml:space="preserve">min</m:t>
            </m:r>
            <m:sSub>
              <m:sSubPr/>
              <m:e>
                <m:r>
                  <m:rPr>
                    <m:sty m:val="i"/>
                  </m:rPr>
                  <w:rPr>
                    <w:rFonts w:ascii="Cambria Math" w:hAnsi="Cambria Math"/>
                  </w:rPr>
                  <m:t xml:space="preserve"> </m:t>
                </m:r>
              </m:e>
              <m:sub>
                <m:r>
                  <m:rPr>
                    <m:sty m:val="i"/>
                  </m:rPr>
                  <w:rPr>
                    <w:rFonts w:ascii="Cambria Math" w:hAnsi="Cambria Math"/>
                  </w:rPr>
                  <m:t xml:space="preserve">j</m:t>
                </m:r>
              </m:sub>
            </m:sSub>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e>
        </m:nary>
      </m:oMath>
      <w:r>
        <w:t>, summed over countries that switch to domestic production. In our calibration (Section 7), this cost amounts to 9.5% of demand-weighted average spending.</w:t>
      </w:r>
    </w:p>
    <w:p>
      <w:pPr>
        <w:spacing w:before="0" w:after="160"/>
        <w:ind w:firstLine="0"/>
        <w:jc w:val="both"/>
      </w:pPr>
      <w:r>
        <w:t>The model in Sections 3–5 yields predictions about which countries produce FLOPs and which import them, conditional on observable parameters: electricity prices, temperatures, construction costs, and bilateral latencies. We now calibrate the model using data for 86 countries. Section 6 describes the data sources, and Section 7 presents the calibration results and discusses the implied sourcing patterns for major demand centers.</w:t>
      </w:r>
    </w:p>
    <w:p>
      <w:pPr>
        <w:pStyle w:val="Heading1"/>
      </w:pPr>
      <w:r>
        <w:rPr>
          <w:rFonts w:ascii="Times New Roman" w:hAnsi="Times New Roman"/>
          <w:color w:val="2F5496"/>
        </w:rPr>
        <w:t>6. Data</w:t>
      </w:r>
    </w:p>
    <w:p>
      <w:pPr>
        <w:spacing w:before="0" w:after="160"/>
        <w:ind w:firstLine="0"/>
        <w:jc w:val="both"/>
      </w:pPr>
      <w:r>
        <w:t xml:space="preserve">Calibrating the model requires data on each component of equations (2) and (3): electricity prices, temperatures, construction costs, and bilateral latencies. </w:t>
      </w:r>
      <w:r>
        <w:rPr>
          <w:i/>
        </w:rPr>
        <w:t xml:space="preserve">Electricity prices. </w:t>
      </w:r>
      <w:r>
        <w:t xml:space="preserve">For European countries, we use Eurostat industrial electricity prices in the 20,000–69,999 MWh consumption band (nrg_pc_205), which corresponds to large industrial consumers (</w:t>
      </w:r>
      <w:bookmarkStart w:id="234" w:name="Eurostat2025txt"/>
      <w:hyperlink w:anchor="Eurostat2025" w:history="1">
        <w:r>
          <w:rPr>
            <w:color w:val="1F3864"/>
            <w:u w:val="single"/>
          </w:rPr>
          <w:t xml:space="preserve">Eurostat 2025</w:t>
        </w:r>
      </w:hyperlink>
      <w:bookmarkEnd w:id="234"/>
      <w:r>
        <w:t xml:space="preserve">). For non-European countries, we use national regulator tariff sheets and secondary sources: U.S. Energy Information Administration (</w:t>
      </w:r>
      <w:bookmarkStart w:id="239" w:name="EIA2025txt"/>
      <w:hyperlink w:anchor="EIA2025" w:history="1">
        <w:r>
          <w:rPr>
            <w:color w:val="1F3864"/>
            <w:u w:val="single"/>
          </w:rPr>
          <w:t xml:space="preserve">EIA 2025</w:t>
        </w:r>
      </w:hyperlink>
      <w:bookmarkEnd w:id="239"/>
      <w:r>
        <w:t xml:space="preserve">) for the United States; KEPCO for South Korea; national utility tariffs for Central Asian countries (Barki Tojik, AERA, Ministry of Energy of Uzbekistan); and </w:t>
      </w:r>
      <w:bookmarkStart w:id="217" w:name="GlobalPetrolPrices2025txt"/>
      <w:hyperlink w:anchor="GlobalPetrolPrices2025" w:history="1">
        <w:r>
          <w:rPr>
            <w:color w:val="1F3864"/>
            <w:u w:val="single"/>
          </w:rPr>
          <w:t xml:space="preserve">GlobalPetrolPrices (2025)</w:t>
        </w:r>
      </w:hyperlink>
      <w:bookmarkEnd w:id="217"/>
      <w:r>
        <w:t xml:space="preserve"> for remaining countries. All prices are converted to USD/kWh at 2024 average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for each country is computed from ERA5 reanalysis data (</w:t>
      </w:r>
      <w:bookmarkStart w:id="218" w:name="Hersbach2020txt"/>
      <w:hyperlink w:anchor="Hersbach2020" w:history="1">
        <w:r>
          <w:rPr>
            <w:color w:val="1F3864"/>
            <w:u w:val="single"/>
          </w:rPr>
          <w:t xml:space="preserve">Hersbach et al. 2020</w:t>
        </w:r>
      </w:hyperlink>
      <w:bookmarkEnd w:id="218"/>
      <w:r>
        <w:t xml:space="preserve">) as the average monthly maximum in the three warmest months, aggregated across populated grid cells. </w:t>
      </w:r>
      <w:r>
        <w:t xml:space="preserve">Data center construction costs per watt of IT capacity are from the Turner &amp; Townsend Data Centre Construction Cost Index 2025, which reports actual costs ($/W) for 37 countries across 52 markets (</w:t>
      </w:r>
      <w:bookmarkStart w:id="219" w:name="TurnerTownsend2025txt"/>
      <w:hyperlink w:anchor="TurnerTownsend2025" w:history="1">
        <w:r>
          <w:rPr>
            <w:color w:val="1F3864"/>
            <w:u w:val="single"/>
          </w:rPr>
          <w:t xml:space="preserve">Turner &amp; Townsend 2025</w:t>
        </w:r>
      </w:hyperlink>
      <w:bookmarkEnd w:id="219"/>
      <w:r>
        <w:t xml:space="preserve">). For the remaining countries, we predict construction costs using a log-linear regression: ln($/W) = </w:t>
      </w:r>
      <m:oMath>
        <m:r>
          <m:rPr>
            <m:sty m:val="i"/>
          </m:rPr>
          <w:rPr>
            <w:rFonts w:ascii="Cambria Math" w:hAnsi="Cambria Math"/>
          </w:rPr>
          <m:t xml:space="preserve">a</m:t>
        </m:r>
        <m:r>
          <m:rPr>
            <m:sty m:val="p"/>
          </m:rPr>
          <w:rPr>
            <w:rFonts w:ascii="Cambria Math" w:hAnsi="Cambria Math"/>
          </w:rPr>
          <m:t xml:space="preserve"> + </m:t>
        </m:r>
        <m:sSub>
          <m:sSubPr/>
          <m:e>
            <m:r>
              <m:rPr>
                <m:sty m:val="i"/>
              </m:rPr>
              <w:rPr>
                <w:rFonts w:ascii="Cambria Math" w:hAnsi="Cambria Math"/>
              </w:rPr>
              <m:t xml:space="preserve">b</m:t>
            </m:r>
          </m:e>
          <m:sub>
            <m:r>
              <m:rPr>
                <m:sty m:val="i"/>
              </m:rPr>
              <w:rPr>
                <w:rFonts w:ascii="Cambria Math" w:hAnsi="Cambria Math"/>
              </w:rPr>
              <m:t xml:space="preserve">1</m:t>
            </m:r>
          </m:sub>
        </m:sSub>
        <m:r>
          <m:rPr>
            <m:sty m:val="p"/>
          </m:rPr>
          <w:rPr>
            <w:rFonts w:ascii="Cambria Math" w:hAnsi="Cambria Math"/>
          </w:rPr>
          <m:t xml:space="preserve"> · ln(GDP per capita)</m:t>
        </m:r>
      </m:oMath>
      <w:r>
        <w:t xml:space="preserve"> (</w:t>
      </w:r>
      <m:oMath>
        <m:sSup>
          <m:sSupPr/>
          <m:e>
            <m:r>
              <m:rPr>
                <m:sty m:val="i"/>
              </m:rPr>
              <w:rPr>
                <w:rFonts w:ascii="Cambria Math" w:hAnsi="Cambria Math"/>
              </w:rPr>
              <m:t xml:space="preserve">R</m:t>
            </m:r>
          </m:e>
          <m:sup>
            <m:r>
              <m:rPr>
                <m:sty m:val="i"/>
              </m:rPr>
              <w:rPr>
                <w:rFonts w:ascii="Cambria Math" w:hAnsi="Cambria Math"/>
              </w:rPr>
              <m:t xml:space="preserve">2</m:t>
            </m:r>
          </m:sup>
        </m:sSup>
        <m:r>
          <m:rPr>
            <m:sty m:val="p"/>
          </m:rPr>
          <w:rPr>
            <w:rFonts w:ascii="Cambria Math" w:hAnsi="Cambria Math"/>
          </w:rPr>
          <m:t xml:space="preserve"> = 0.43</m:t>
        </m:r>
      </m:oMath>
      <w:r>
        <w:t>). The low explanatory power reflects the fact that construction costs depend on factors beyond income levels, such as labor markets, building codes, and imported-materials logistics, that GDP per capita captures imperfectly. Resource-rich Gulf states, for instance, may have lower construction costs than their GDP would predict due to imported labor and streamlined permitting. Since construction is only 3–6% of total FLOP costs, imputation error matters less than it might seem: 95% prediction intervals for imputed countries span about ±$3.50/W, which translates to ±$0.02/hr in total cost (1.5–2% of the mean). Costs are amortized over 15 years. In equation (2), construction costs are expressed per kilowatt ($/kW); the raw data in $/W is converted by multiplying by 1,000.</w:t>
      </w:r>
      <w:r>
        <w:rPr>
          <w:rStyle w:val="FootnoteReference"/>
        </w:rPr>
        <w:footnoteReference w:id="10"/>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20" w:name="WonderNetwork2024txt"/>
      <w:hyperlink w:anchor="WonderNetwork2024" w:history="1">
        <w:r>
          <w:rPr>
            <w:color w:val="1F3864"/>
            <w:u w:val="single"/>
          </w:rPr>
          <w:t xml:space="preserve">WonderNetwork 2024</w:t>
        </w:r>
      </w:hyperlink>
      <w:bookmarkEnd w:id="220"/>
      <w:r>
        <w:t xml:space="preserve">). For each country pair, we use the median round-trip time (RTT) in milliseconds. Domestic latency defaults to 5 ms where no intra-country measurement is available. These measurements reflect today’s network infrastructure. New undersea cables, terrestrial fiber, and CDN expansions could cut bilateral latencies enough to redraw inference trade patterns, opening distant low-cost producers to markets they cannot currently reach. </w:t>
      </w:r>
      <w:r>
        <w:rPr>
          <w:i/>
        </w:rPr>
        <w:t xml:space="preserve">Hardware. </w:t>
      </w:r>
      <w:r>
        <w:t xml:space="preserve">We use the NVIDIA H100 SXM GPU as the reference hardware platform: list price $25,000, thermal design power 700W, economic lifetime 3 years, utilization rate 90% (</w:t>
      </w:r>
      <w:bookmarkStart w:id="221" w:name="NVIDIA2024txt"/>
      <w:hyperlink w:anchor="NVIDIA2024" w:history="1">
        <w:r>
          <w:rPr>
            <w:color w:val="1F3864"/>
            <w:u w:val="single"/>
          </w:rPr>
          <w:t xml:space="preserve">NVIDIA 2024</w:t>
        </w:r>
      </w:hyperlink>
      <w:bookmarkEnd w:id="221"/>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$1.056</m:t>
        </m:r>
      </m:oMath>
      <w:r>
        <w:t>/hr. GPU prices are assumed uniform across countries; in practice, export controls raise effective prices for some countries (see Section 7).</w:t>
      </w:r>
    </w:p>
    <w:p>
      <w:pPr>
        <w:spacing w:before="0" w:after="160"/>
        <w:ind w:firstLine="0"/>
        <w:jc w:val="both"/>
      </w:pPr>
      <w:r>
        <w:rPr>
          <w:rFonts w:ascii="Times New Roman" w:hAnsi="Times New Roman"/>
          <w:b w:val="0"/>
          <w:i/>
          <w:sz w:val="24"/>
        </w:rPr>
        <w:t xml:space="preserve">Other parameters. </w:t>
      </w:r>
      <w:r>
        <w:t xml:space="preserve">The latency degradation parameter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latency inflates inference cost by 8%. This value is calibrated to match the observed willingness of cloud providers to invest in regional points of presence: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a latency difference of 100 ms (roughly the intercontinental round-trip between Europe and East Asia) imposes an 8% cost penalty, consistent with industry evidence that web-service revenue declines by approximately 1% per 100 ms of additional latency. The sovereignty premium is </w:t>
      </w:r>
      <m:oMath>
        <m:r>
          <m:rPr>
            <m:sty m:val="i"/>
          </m:rPr>
          <w:rPr>
            <w:rFonts w:ascii="Cambria Math" w:hAnsi="Cambria Math"/>
          </w:rPr>
          <m:t xml:space="preserve">λ</m:t>
        </m:r>
        <m:r>
          <m:rPr>
            <m:sty m:val="p"/>
          </m:rPr>
          <w:rPr>
            <w:rFonts w:ascii="Cambria Math" w:hAnsi="Cambria Math"/>
          </w:rPr>
          <m:t xml:space="preserve"> = 10%</m:t>
        </m:r>
      </m:oMath>
      <w:r>
        <w:t>. Sensitivity to both parameters is explored in Section 7.</w:t>
      </w:r>
      <w:r>
        <w:rPr>
          <w:rStyle w:val="FootnoteReference"/>
        </w:rPr>
        <w:footnoteReference w:id="11"/>
      </w:r>
    </w:p>
    <w:p>
      <w:pPr>
        <w:spacing w:before="0" w:after="160"/>
        <w:ind w:firstLine="0"/>
        <w:jc w:val="both"/>
      </w:pPr>
      <w:r>
        <w:rPr>
          <w:rFonts w:ascii="Times New Roman" w:hAnsi="Times New Roman"/>
          <w:b w:val="0"/>
          <w:i/>
          <w:sz w:val="24"/>
        </w:rPr>
        <w:t xml:space="preserve">Demand. </w:t>
      </w:r>
      <w:r>
        <w:t xml:space="preserve">We proxy 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with total GDP at purchasing power parity (</w:t>
      </w:r>
      <w:bookmarkStart w:id="235" w:name="WorldBank2024txt"/>
      <w:hyperlink w:anchor="WorldBank2024" w:history="1">
        <w:r>
          <w:rPr>
            <w:color w:val="1F3864"/>
            <w:u w:val="single"/>
          </w:rPr>
          <w:t xml:space="preserve">World Bank 2024</w:t>
        </w:r>
      </w:hyperlink>
      <w:bookmarkEnd w:id="235"/>
      <w:r>
        <w:t xml:space="preserve">, </w:t>
      </w:r>
      <w:bookmarkStart w:id="222" w:name="Anderson2003txt"/>
      <w:hyperlink w:anchor="Anderson2003" w:history="1">
        <w:r>
          <w:rPr>
            <w:color w:val="1F3864"/>
            <w:u w:val="single"/>
          </w:rPr>
          <w:t xml:space="preserve">Anderson and van Wincoop 2003</w:t>
        </w:r>
      </w:hyperlink>
      <w:bookmarkEnd w:id="222"/>
      <w:r>
        <w:t xml:space="preserve">), as specified in equation (5). The five largest demand centers—China (20%), United States of America (16%), India (8.5%), Russia (4%), and Japan (4%)—account for 52% of global demand. GDP is a rough proxy. Actual compute demand is probably more concentrated, since the United States and China have outsized technology sectors. Cloud revenue shares or installed data center capacity would be better demand measures, but neither is available at the country level. If anything, our GDP-based shares understate concentration, which would push training-market HHI even higher.</w:t>
      </w:r>
    </w:p>
    <w:p>
      <w:pPr>
        <w:pStyle w:val="Heading1"/>
      </w:pPr>
      <w:r>
        <w:rPr>
          <w:rFonts w:ascii="Times New Roman" w:hAnsi="Times New Roman"/>
          <w:color w:val="2F5496"/>
        </w:rPr>
        <w:t>7. Calibration and Discussion</w:t>
      </w:r>
    </w:p>
    <w:p>
      <w:pPr>
        <w:spacing w:before="0" w:after="160"/>
        <w:ind w:firstLine="0"/>
        <w:jc w:val="both"/>
      </w:pPr>
      <w:r>
        <w:t xml:space="preserve">We calibrate the model for </w:t>
      </w:r>
      <m:oMath>
        <m:r>
          <m:rPr>
            <m:sty m:val="i"/>
          </m:rPr>
          <w:rPr>
            <w:rFonts w:ascii="Cambria Math" w:hAnsi="Cambria Math"/>
          </w:rPr>
          <m:t xml:space="preserve">N</m:t>
        </m:r>
        <m:r>
          <m:rPr>
            <m:sty m:val="p"/>
          </m:rPr>
          <w:rPr>
            <w:rFonts w:ascii="Cambria Math" w:hAnsi="Cambria Math"/>
          </w:rPr>
          <m:t xml:space="preserve"> = 86</m:t>
        </m:r>
      </m:oMath>
      <w:r>
        <w:t xml:space="preserve"> countries (30 in ECA, 56 non-ECA comparators). </w:t>
      </w:r>
      <w:r>
        <w:t xml:space="preserve">The unit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represents the total hourly cost of operating one GPU in country </w:t>
      </w:r>
      <m:oMath>
        <m:r>
          <m:rPr>
            <m:sty m:val="i"/>
          </m:rPr>
          <w:rPr>
            <w:rFonts w:ascii="Cambria Math" w:hAnsi="Cambria Math"/>
          </w:rPr>
          <m:t xml:space="preserve">j</m:t>
        </m:r>
      </m:oMath>
      <w:r>
        <w:t>, measured in dollars per GPU-hour ($/hr). It is the sum of hourly electricity cost, amortized hardware cost ($1.06/hr), and amortized construction cost.</w:t>
      </w:r>
    </w:p>
    <w:p>
      <w:pPr>
        <w:spacing w:before="0" w:after="160"/>
        <w:ind w:firstLine="0"/>
        <w:jc w:val="both"/>
      </w:pPr>
      <w:r>
        <w:t xml:space="preserve">The regime column reports the optimal sourcing strategy for each country as a demand center, derived from the sourcing rule in equation (4) under pure cost minimization (without the sovereignty premium). </w:t>
      </w:r>
      <w:r>
        <w:rPr>
          <w:i/>
        </w:rPr>
        <w:t>Import</w:t>
      </w:r>
      <w:r>
        <w:t xml:space="preserve"> means the country imports both training and inference. </w:t>
      </w:r>
      <w:r>
        <w:rPr>
          <w:i/>
        </w:rPr>
        <w:t>Hybrid</w:t>
      </w:r>
      <w:r>
        <w:t xml:space="preserve"> means the country imports training from the cheapest global source but produces inference domestically or from a nearby hub. </w:t>
      </w:r>
      <w:r>
        <w:rPr>
          <w:i/>
        </w:rPr>
        <w:t>Domestic</w:t>
      </w:r>
      <w:r>
        <w:t xml:space="preserve"> means the country produces both services domestically because it has the lowest cost including latency. </w:t>
      </w:r>
      <w:bookmarkStart w:id="100" w:name="TableA1txt"/>
      <w:hyperlink w:anchor="TableA1" w:history="1">
        <w:r>
          <w:rPr>
            <w:color w:val="1F3864"/>
            <w:u w:val="single"/>
          </w:rPr>
          <w:t xml:space="preserve">Table A1</w:t>
        </w:r>
      </w:hyperlink>
      <w:bookmarkEnd w:id="100"/>
      <w:r>
        <w:t xml:space="preserve"> in the Appendix reports the full results for all </w:t>
      </w:r>
      <m:oMath>
        <m:r>
          <m:rPr>
            <m:sty m:val="i"/>
          </m:rPr>
          <w:rPr>
            <w:rFonts w:ascii="Cambria Math" w:hAnsi="Cambria Math"/>
          </w:rPr>
          <m:t xml:space="preserve">N</m:t>
        </m:r>
        <m:r>
          <m:rPr>
            <m:sty m:val="p"/>
          </m:rPr>
          <w:rPr>
            <w:rFonts w:ascii="Cambria Math" w:hAnsi="Cambria Math"/>
          </w:rPr>
          <m:t xml:space="preserve"> = 86</m:t>
        </m:r>
      </m:oMath>
      <w:r>
        <w:t xml:space="preserve"> countries, sorted by total unit cost.</w:t>
      </w:r>
    </w:p>
    <w:p>
      <w:pPr>
        <w:spacing w:before="0" w:after="160"/>
        <w:ind w:firstLine="0"/>
        <w:jc w:val="both"/>
      </w:pPr>
      <w:r>
        <w:t>The cheapest FLOP producer globally is Iran ($1.10/hr), benefiting from heavily subsidized electricity at $0.005/kWh. Among ECA countries, the five cheapest are Turkmenistan ($1.11/hr, subsidized electricity), Kyrgyzstan ($1.13/hr, hydropower), Russia ($1.14/hr), Kosovo ($1.14/hr), and Ukraine ($1.15/hr). The Nordics benefit from low PUE (1.08–1.10). At the expensive end, Ireland ($1.28/hr) and Greenland ($1.32/hr) face high electricity prices. Construction costs account for 3–6% of total costs, ranging from $0.033/hr (China) to $0.078/hr (Japan, Singapore).</w:t>
      </w:r>
    </w:p>
    <w:p>
      <w:pPr>
        <w:spacing w:before="0" w:after="160"/>
        <w:ind w:firstLine="0"/>
        <w:jc w:val="both"/>
      </w:pPr>
      <w:r>
        <w:t xml:space="preserve">Under pure cost minimization (without sovereignty), 44 of 86 countries (51%) are in </w:t>
      </w:r>
      <w:r>
        <w:rPr>
          <w:i/>
        </w:rPr>
        <w:t>full import</w:t>
      </w:r>
      <w:r>
        <w:t xml:space="preserve">, 38 (44%) in </w:t>
      </w:r>
      <w:r>
        <w:rPr>
          <w:i/>
        </w:rPr>
        <w:t>hybrid</w:t>
      </w:r>
      <w:r>
        <w:t xml:space="preserve">, and 1 (1%) in </w:t>
      </w:r>
      <w:r>
        <w:rPr>
          <w:i/>
        </w:rPr>
        <w:t>domestic</w:t>
      </w:r>
      <w:r>
        <w:t xml:space="preserve">. Training concentrates entirely at the cheapest global producer. Inference organizes into regional hubs: Kosovo serves Southeastern Europe, Algeria the Mediterranean, Finland the Baltics, Canada North America. A sovereignty premium </w:t>
      </w:r>
      <m:oMath>
        <m:r>
          <m:rPr>
            <m:sty m:val="i"/>
          </m:rPr>
          <w:rPr>
            <w:rFonts w:ascii="Cambria Math" w:hAnsi="Cambria Math"/>
          </w:rPr>
          <m:t xml:space="preserve">λ</m:t>
        </m:r>
        <m:r>
          <m:rPr>
            <m:sty m:val="p"/>
          </m:rPr>
          <w:rPr>
            <w:rFonts w:ascii="Cambria Math" w:hAnsi="Cambria Math"/>
          </w:rPr>
          <m:t xml:space="preserve"> = 10%</m:t>
        </m:r>
      </m:oMath>
      <w:r>
        <w:t xml:space="preserve"> shifts 55 countries (64%) to </w:t>
      </w:r>
      <w:r>
        <w:rPr>
          <w:i/>
        </w:rPr>
        <w:t>domestic</w:t>
      </w:r>
      <w:r>
        <w:t xml:space="preserve">, 27 (31%) to </w:t>
      </w:r>
      <w:r>
        <w:rPr>
          <w:i/>
        </w:rPr>
        <w:t>hybrid</w:t>
      </w:r>
      <w:r>
        <w:t xml:space="preserve">, and only 1 (1%) remain </w:t>
      </w:r>
      <w:r>
        <w:rPr>
          <w:i/>
        </w:rPr>
        <w:t>full import</w:t>
      </w:r>
      <w:r>
        <w:t>. The sovereignty premium is particularly powerful for inference: since the latency markup within Europe is moderate (10–40 ms, adding 1–3%), even a small domestic preference tips the decision away from importing.</w:t>
      </w:r>
    </w:p>
    <w:p>
      <w:pPr>
        <w:spacing w:before="0" w:after="160"/>
        <w:ind w:firstLine="0"/>
        <w:jc w:val="both"/>
      </w:pPr>
      <w:r>
        <w:t xml:space="preserve">In practice, </w:t>
      </w:r>
      <m:oMath>
        <m:r>
          <m:rPr>
            <m:sty m:val="i"/>
          </m:rPr>
          <w:rPr>
            <w:rFonts w:ascii="Cambria Math" w:hAnsi="Cambria Math"/>
          </w:rPr>
          <m:t xml:space="preserve">λ</m:t>
        </m:r>
      </m:oMath>
      <w:r>
        <w:t xml:space="preserve"> is bilateral and heterogeneous. Between allies with mutual data adequacy agreements (e.g., EU member states), the effective sovereignty premium may be near zero. Between geopolitical adversaries, it is effectively infinite: the United States would not source training from Iran regardless of cost, and current sanctions make such transactions illegal. Our uniform </w:t>
      </w:r>
      <m:oMath>
        <m:r>
          <m:rPr>
            <m:sty m:val="i"/>
          </m:rPr>
          <w:rPr>
            <w:rFonts w:ascii="Cambria Math" w:hAnsi="Cambria Math"/>
          </w:rPr>
          <m:t xml:space="preserve">λ</m:t>
        </m:r>
        <m:r>
          <m:rPr>
            <m:sty m:val="p"/>
          </m:rPr>
          <w:rPr>
            <w:rFonts w:ascii="Cambria Math" w:hAnsi="Cambria Math"/>
          </w:rPr>
          <m:t xml:space="preserve"> = 10%</m:t>
        </m:r>
      </m:oMath>
      <w:r>
        <w:t xml:space="preserve"> should therefore be understood as an average over non-adversarial country pairs. Although Iran has the lowest production cost in our calibration, this reflects heavily subsidized electricity ($0.005/kWh) and is largely irrelevant for trade because international sanctions exclude it from most markets. In a model with bilateral </w:t>
      </w:r>
      <m:oMath>
        <m:sSub>
          <m:sSubPr/>
          <m:e>
            <m:r>
              <m:rPr>
                <m:sty m:val="i"/>
              </m:rPr>
              <w:rPr>
                <w:rFonts w:ascii="Cambria Math" w:hAnsi="Cambria Math"/>
              </w:rPr>
              <m:t xml:space="preserve">λ</m:t>
            </m:r>
          </m:e>
          <m:sub>
            <m:r>
              <m:rPr>
                <m:sty m:val="i"/>
              </m:rPr>
              <w:rPr>
                <w:rFonts w:ascii="Cambria Math" w:hAnsi="Cambria Math"/>
              </w:rPr>
              <m:t xml:space="preserve">jk</m:t>
            </m:r>
          </m:sub>
        </m:sSub>
      </m:oMath>
      <w:r>
        <w:t>, sanctioned countries would be excluded from serving most demand centers, and the effective cheapest suppliers become Turkmenistan ($1.11/hr) and Kyrgyzstan ($1.13/hr).</w:t>
      </w:r>
    </w:p>
    <w:p>
      <w:pPr>
        <w:spacing w:before="0" w:after="160"/>
        <w:ind w:firstLine="0"/>
        <w:jc w:val="both"/>
      </w:pPr>
      <w:r>
        <w:rPr>
          <w:rFonts w:ascii="Times New Roman" w:hAnsi="Times New Roman"/>
          <w:b w:val="0"/>
          <w:i/>
          <w:sz w:val="24"/>
        </w:rPr>
        <w:t xml:space="preserve">Demand-weighted trade flows. </w:t>
      </w:r>
      <w:r>
        <w:t xml:space="preserve">Weighting the sourcing patterns by demand shares (equation 5), training concentrates at the single cheapest producer. Since Iran’s low electricity price ($0.005/kWh) reflects heavy subsidies and the country faces broad international sanctions, we report training flows excluding sanctioned producers: Turkmenistan ($1.11/hr) captures 99.5% of global training demand. </w:t>
      </w:r>
      <w:r>
        <w:t>Inference is far more dispersed: the top five inference suppliers are Kyrgyzstan (21%), Canada (19%), Algeria (15%), India (8%), Russia (4%), together serving 67% of global inference demand. The demand-weighted HHI for training is 0.99, versus 0.12 for inference, confirming that training is far more concentrated than inference.</w:t>
      </w:r>
    </w:p>
    <w:p>
      <w:pPr>
        <w:spacing w:before="0" w:after="160"/>
        <w:ind w:firstLine="0"/>
        <w:jc w:val="both"/>
      </w:pPr>
      <w:r>
        <w:t xml:space="preserve">That all training demand pools at one producer is an artifact of the model’s assumptions—homogeneous FLOPs, zero transport costs, and no capacity limits. In practice, training would be spread across suppliers by power-grid constraints (no single country can absorb unlimited demand), risk diversification (firms hedge against outages by splitting workloads), differences in regulatory and data-governance regimes, and long-term contracts. A simple bounded-capacity extension makes the point: if each country can supply at most a fixed share of global demand, proportional to its power generation capacity, buyers fill the cheapest supplier first, then spill over to the next cheapest, and so on. Training demand then spreads across the low-cost tier rather than collapsing to a single country,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falls sharply. Inference, already dispersed by latency, is less affected. We keep the unconstrained formulation for tractability. The cost rankings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HHI</m:t>
            </m:r>
          </m:e>
          <m:sub>
            <m:r>
              <m:rPr>
                <m:sty m:val="i"/>
              </m:rPr>
              <w:rPr>
                <w:rFonts w:ascii="Cambria Math" w:hAnsi="Cambria Math"/>
              </w:rPr>
              <m:t xml:space="preserve">I</m:t>
            </m:r>
          </m:sub>
        </m:sSub>
      </m:oMath>
      <w:r>
        <w:t xml:space="preserve"> survive under bounded capacity.</w:t>
      </w:r>
    </w:p>
    <w:p>
      <w:pPr>
        <w:spacing w:before="0" w:after="160"/>
        <w:ind w:firstLine="0"/>
        <w:jc w:val="both"/>
      </w:pPr>
      <w:r>
        <w:t>Among developing countries, Kyrgyzstan captures 21% of global inference demand by serving China and Kazakhstan—a striking result for a country with GDP under $15 billion. Algeria serves as the inference hub for Western Europe, capturing 15% of global inference demand from 14 European countries including Germany, France, the United Kingdom, and Italy. These patterns show how cheap-energy developing countries can earn export revenue from much larger economies.</w:t>
      </w:r>
    </w:p>
    <w:p>
      <w:pPr>
        <w:spacing w:before="0" w:after="160"/>
        <w:ind w:firstLine="0"/>
        <w:jc w:val="both"/>
      </w:pPr>
      <w:r>
        <w:t>Doubling the sovereignty premium to 20% shifts 29 additional countries to domestic training production, reducing the share of global training demand available to foreign producers from 16% to 0%. At 20%, nearly all countries produce training domestically, and the export market for training effectively disappears. Inference export revenue is more resilient to sovereignty premia because the latency advantage of proximity partially insulates regional hubs.</w:t>
      </w:r>
    </w:p>
    <w:p>
      <w:pPr>
        <w:spacing w:before="0" w:after="160"/>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pure-cost optimum sources training from the cheapest available producer and inference from Canada ($1.19/hr), reflecting Canada’s combination of low cost and minimal cross-border latency. For major European demand centers, inference is sourced from Algeria at delivered costs of $1.18/hr for Germany, $1.18/hr for the United Kingdom, and $1.17/hr for France. Algeria’s subsidized electricity and moderate Mediterranean latency make it the European inference hub. For China, the cheapest inference source is Kyrgyzstan ($1.16/hr), a bordering country with hydropower-based electricity. Russia produces inference domestically even under pure cost minimization ($1.18/hr), as its low energy costs offset moderate latency. The Gulf states present another pattern: Saudi Arabia ($1.17/hr) and the UAE ($1.17/hr) also produce inference domestically, benefiting from subsidized energy and expanding datacenter capacity. These patterns illustrate the model’s core prediction: inference organizes around latency-bounded regional hubs, and each major market has a distinct optimal supplier determined by geography. With a sovereignty premium of 10%, the United States, China, Russia, and the Gulf states all shift to full domestic production, while Germany still imports training but produces inference domestically.</w:t>
      </w:r>
    </w:p>
    <w:p>
      <w:pPr>
        <w:spacing w:before="0" w:after="160"/>
        <w:ind w:firstLine="0"/>
        <w:jc w:val="both"/>
      </w:pPr>
      <w:r>
        <w:rPr>
          <w:rFonts w:ascii="Times New Roman" w:hAnsi="Times New Roman"/>
          <w:b w:val="0"/>
          <w:i/>
          <w:sz w:val="24"/>
        </w:rPr>
        <w:t xml:space="preserve">Governance and political economy. </w:t>
      </w:r>
      <w:r>
        <w:t xml:space="preserve">These cost rankings assume globally uniform hardware prices and abstract from institutional heterogeneity. In practice, GPU export controls raise effective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for Iran, Russia, and Belarus; grid reliability varies widely; the EU’s GDPR and AI Act create hard barriers for inference on personal data; and agglomeration economies (</w:t>
      </w:r>
      <w:bookmarkStart w:id="223" w:name="Krugman1991txt"/>
      <w:hyperlink w:anchor="Krugman1991" w:history="1">
        <w:r>
          <w:rPr>
            <w:color w:val="1F3864"/>
            <w:u w:val="single"/>
          </w:rPr>
          <w:t xml:space="preserve">Krugman 1991</w:t>
        </w:r>
      </w:hyperlink>
      <w:bookmarkEnd w:id="223"/>
      <w:r>
        <w:t xml:space="preserve">) favor established hubs despite higher costs. Data center investments are large, long-lived, and immobile, so the viability of a country as a compute exporter depends on institutional factors not captured by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alone. Several of the cheapest producers in our calibration (Iran, Turkmenistan, Uzbekistan) rank poorly on property rights and rule of law indices, and subsidized electricity prices may be politically fragile. The fixed entry cost </w:t>
      </w:r>
      <m:oMath>
        <m:sSub>
          <m:sSubPr/>
          <m:e>
            <m:r>
              <m:rPr>
                <m:sty m:val="i"/>
              </m:rPr>
              <w:rPr>
                <w:rFonts w:ascii="Cambria Math" w:hAnsi="Cambria Math"/>
              </w:rPr>
              <m:t xml:space="preserve">F</m:t>
            </m:r>
          </m:e>
          <m:sub>
            <m:r>
              <m:rPr>
                <m:sty m:val="i"/>
              </m:rPr>
              <w:rPr>
                <w:rFonts w:ascii="Cambria Math" w:hAnsi="Cambria Math"/>
              </w:rPr>
              <m:t xml:space="preserve">j</m:t>
            </m:r>
          </m:sub>
        </m:sSub>
      </m:oMath>
      <w:r>
        <w:t xml:space="preserve"> should therefore be interpreted as including an institutional premium required to attract foreign capital.</w:t>
      </w:r>
    </w:p>
    <w:p>
      <w:pPr>
        <w:spacing w:before="0" w:after="160"/>
        <w:ind w:firstLine="0"/>
        <w:jc w:val="both"/>
      </w:pPr>
      <w:r>
        <w:t xml:space="preserve">The EU’s GDPR and AI Act segment the compute market along regulatory lines, reinforcing the sovereignty premium </w:t>
      </w:r>
      <m:oMath>
        <m:r>
          <m:rPr>
            <m:sty m:val="i"/>
          </m:rPr>
          <w:rPr>
            <w:rFonts w:ascii="Cambria Math" w:hAnsi="Cambria Math"/>
          </w:rPr>
          <m:t xml:space="preserve">λ</m:t>
        </m:r>
      </m:oMath>
      <w:r>
        <w:t xml:space="preserve"> as a structural feature. U.S. export controls on advanced GPUs raise the effective hardware cost </w:t>
      </w:r>
      <m:oMath>
        <m:r>
          <m:rPr>
            <m:sty m:val="i"/>
          </m:rPr>
          <w:rPr>
            <w:rFonts w:ascii="Cambria Math" w:hAnsi="Cambria Math"/>
          </w:rPr>
          <m:t xml:space="preserve">ρ</m:t>
        </m:r>
      </m:oMath>
      <w:r>
        <w:t xml:space="preserve"> for sanctioned countries, potentially offsetting any electricity cost advantage and discouraging long-term investment. Grid reliability further narrows the set of viable exporters: countries with frequent outages face backup-generation costs not reflected in headline electricity prices, so effective costs should be understood as reliability-adjusted. Taken together, these governance factors suggest that viable compute exporters are a strict subset of low-cost producers: those that combine cheap energy with adequate institutional quality, such as the Nordic countries, Canada, and parts of the Gulf and Central Asia. Water is another constraint. Evaporative cooling consumes large volumes, and several of the cheapest producers (Iran, Turkmenistan, Egypt, Saudi Arabia) are water-scarce. Liquid cooling reduces water needs but does not eliminate them.</w:t>
      </w:r>
    </w:p>
    <w:p>
      <w:pPr>
        <w:spacing w:before="0" w:after="160"/>
        <w:ind w:firstLine="0"/>
        <w:jc w:val="both"/>
      </w:pPr>
      <w:r>
        <w:t xml:space="preserve">A deeper issue concerns the sustainability of subsidized electricity prices at an export scale. Several of the cheapest producers in our calibration, including Iran ($0.005/kWh), Turkmenistan ($0.01/kWh), and Egypt ($0.038/kWh), benefit from domestic energy subsidies. At a small scale, hosting a data center is a net gain: the facility pays the subsidized tariff and generates export revenue, employment, and tax receipts. At export scale, however, the fiscal arithmetic reverses. A country that becomes a major training hub would channel hundreds of megawatts of subsidized electricity into serving foreign demand, effectively transferring the subsidy to foreign AI companies. The implicit fiscal cost, the gap between the subsidized tariff and the long-run marginal cost of generation, would scale linearly with export volume. Governments would face a choice between raising electricity prices for data centers (eroding the cost advantage), maintaining subsidies at growing fiscal cost, or capping data center capacity. This suggests that the lowest-cost producers in our calibration are unlikely to serve global training demand at the volumes implied by pure cost minimization. The sustainable export frontier is defined not by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alone but by the price at which electricity can be supplied without fiscal subsidy.</w:t>
      </w:r>
    </w:p>
    <w:p>
      <w:pPr>
        <w:spacing w:before="0" w:after="160"/>
        <w:ind w:firstLine="0"/>
        <w:jc w:val="both"/>
      </w:pPr>
      <w:r>
        <w:t>How sensitive are the rankings to subsidized electricity? We replace observed tariffs in 5 subsidy-dependent countries (Iran, Turkmenistan, Algeria, Egypt, and Uzbekistan) with estimated long-run marginal costs of generation at opportunity-cost fuel prices, specifically $0.05/kWh for gas exporters (the approximate cost of combined-cycle generation at export-parity fuel prices) and $0.075–$0.085/kWh for gas importers with subsidies. The five cheapest producers become Kyrgyzstan ($1.13/hr), Ethiopia ($1.13/hr), Canada ($1.14/hr), Russia ($1.14/hr), and Kosovo ($1.14/hr). Hydropower countries (Kyrgyzstan, Canada, Norway) and cold-climate producers (Russia, Kosovo) move up, and Iran drops from first to 7th. The model’s structure is unchanged: training still goes to the cheapest producer, inference still clusters in regional hubs, and the sovereignty premium still pushes countries toward domestic production. What changes is who sits at the top: hydropower replaces subsidized gas. Cheap electricity still confers comparative advantage in compute, but the advantage has to be real rather than fiscal.</w:t>
      </w:r>
    </w:p>
    <w:p>
      <w:pPr>
        <w:spacing w:before="0" w:after="160"/>
        <w:ind w:firstLine="0"/>
        <w:jc w:val="both"/>
      </w:pPr>
      <w:r>
        <w:rPr>
          <w:rFonts w:ascii="Times New Roman" w:hAnsi="Times New Roman"/>
          <w:b w:val="0"/>
          <w:i/>
          <w:sz w:val="24"/>
        </w:rPr>
        <w:t xml:space="preserve">Model extensions. </w:t>
      </w:r>
      <w:r>
        <w:t xml:space="preserve">The model can be extended in several directions. (i) bounded capacity per country, so that grid limits spread training across multiple low-cost producers as discussed above, (ii) stochastic disruptions (grid outages, political instability) that give buyers a reason to split workloads across providers, (iii) heterogeneous demand segmented by latency tolerance, (iv) endogenous electricity prices with upward-sloping supply curves, (v) carbon pricing that introduces a “green premium” for hydropower-rich countries, (vi) strategic interaction among oligopolistic providers, and (vii) governance as a multiplicative cost shifter on </w:t>
      </w:r>
      <m:oMath>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1"/>
      </w:pPr>
      <w:r>
        <w:rPr>
          <w:rFonts w:ascii="Times New Roman" w:hAnsi="Times New Roman"/>
          <w:color w:val="2F5496"/>
        </w:rPr>
        <w:t>8. Conclusion</w:t>
      </w:r>
    </w:p>
    <w:p>
      <w:pPr>
        <w:spacing w:before="0" w:after="160"/>
        <w:ind w:firstLine="0"/>
        <w:jc w:val="both"/>
      </w:pPr>
      <w:r>
        <w:t>We develop a trade model for computing services (FLOPs) in which countries produce and export computing capacity based on their electricity prices, climate, and construction costs. We distinguish two service types, latency-insensitive training and latency-sensitive inference, and introduce a sovereignty premium to capture governments’ preference for domestic data processing. We derive buyers’ optimal sourcing decisions and producers’ entry conditions, and establish three comparative static results: country-specific sovereignty thresholds, the nesting of training exporters within inference exporters, and greater concentration in training than in inference markets. We calibrate the model for 86 countries using data on electricity prices, temperatures, construction costs, bilateral latencies, and GDP-based demand shares.</w:t>
      </w:r>
    </w:p>
    <w:p>
      <w:pPr>
        <w:spacing w:before="0" w:after="160"/>
        <w:ind w:firstLine="0"/>
        <w:jc w:val="both"/>
      </w:pPr>
      <w:r>
        <w:t>Across 86 countries, cheap-energy peripheries serve as FLOP exporters for training, while inference organizes into regional hubs bounded by latency. The sovereignty premium rationalizes widespread domestic investment, shifting the majority of countries from import to domestic production, at a demand-weighted welfare cost of 9.5% of average compute spending. The model generates a country taxonomy (full importers, training exporters, inference hubs, and hybrid regimes) that maps onto observed investment patterns.</w:t>
      </w:r>
    </w:p>
    <w:p>
      <w:pPr>
        <w:spacing w:before="0" w:after="160"/>
        <w:ind w:firstLine="0"/>
        <w:jc w:val="both"/>
      </w:pPr>
      <w:r>
        <w:t>For developing countries, the results point to a new avenue for economic participation in the global economy. Countries like Kyrgyzstan, Uzbekistan, and Egypt, which rank among the cheapest FLOP producers in our calibration, could convert cheap electricity into a high-value digital export without building a domestic AI research ecosystem. FLOP exporting is the digital equivalent of resource-based industrialization, but with the advantage that the “resource” (electricity) is renewable and the product (compute) serves the fastest-growing sector of the world economy.</w:t>
      </w:r>
    </w:p>
    <w:p>
      <w:pPr>
        <w:spacing w:before="0" w:after="160"/>
        <w:ind w:firstLine="0"/>
        <w:jc w:val="both"/>
      </w:pPr>
      <w:r>
        <w:t>The policy implications are asymmetric. Restricting training imports raises costs without a proximity benefit, since training is latency-insensitive. Supporting domestic inference has a genuine latency rationale, but is less justified for countries close to low-cost neighbors. For developing countries seeking to enter the compute export market, the binding constraints are not technological but institutional. Reliable power grids, political stability, data governance frameworks, and international connectivity determine whether cost advantages translate into actual exports.</w:t>
      </w:r>
    </w:p>
    <w:p>
      <w:pPr>
        <w:spacing w:before="0" w:after="0"/>
      </w:pPr>
      <w:r>
        <w:br w:type="page"/>
      </w:r>
    </w:p>
    <w:p>
      <w:pPr>
        <w:pStyle w:val="Heading1"/>
      </w:pPr>
      <w:r>
        <w:rPr>
          <w:rFonts w:ascii="Times New Roman" w:hAnsi="Times New Roman"/>
          <w:color w:val="2F5496"/>
        </w:rPr>
        <w:t>Appendix</w:t>
      </w:r>
    </w:p>
    <w:p>
      <w:pPr>
        <w:spacing w:before="0" w:after="60"/>
        <w:ind w:firstLine="0"/>
        <w:jc w:val="both"/>
      </w:pPr>
      <w:bookmarkStart w:id="101" w:name="TableA1"/>
      <w:hyperlink w:anchor="TableA1txt" w:history="1">
        <w:r>
          <w:rPr>
            <w:b/>
            <w:sz w:val="20"/>
            <w:color w:val="1F3864"/>
            <w:u w:val="single"/>
          </w:rPr>
          <w:t>Table A1</w:t>
        </w:r>
      </w:hyperlink>
      <w:bookmarkEnd w:id="101"/>
      <w:r>
        <w:rPr>
          <w:b/>
          <w:sz w:val="20"/>
        </w:rPr>
        <w:t>. Unit cost of FLOP production by country (H100 GPU-hour)</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500" w:type="dxa"/>
          </w:tcPr>
          <w:p>
            <w:pPr>
              <w:jc w:val="center"/>
              <w:spacing w:before="10" w:after="10"/>
            </w:pPr>
            <w:r/>
            <w:r>
              <w:rPr>
                <w:b/>
                <w:sz w:val="16"/>
              </w:rPr>
              <w:t>Rank</w:t>
            </w:r>
          </w:p>
        </w:tc>
        <w:tc>
          <w:tcPr>
            <w:tcBorders>
              <w:top w:val="single" w:sz="4" w:space="0" w:color="auto"/>
              <w:bottom w:val="single" w:sz="4" w:space="0" w:color="auto"/>
            </w:tcBorders>
            <w:tcW w:w="1800" w:type="dxa"/>
          </w:tcPr>
          <w:p>
            <w:pPr>
              <w:jc w:val="center"/>
              <w:spacing w:before="10" w:after="10"/>
            </w:pPr>
            <w:r/>
            <w:r>
              <w:rPr>
                <w:b/>
                <w:sz w:val="16"/>
              </w:rPr>
              <w:t>Country</w:t>
            </w:r>
          </w:p>
        </w:tc>
        <w:tc>
          <w:tcPr>
            <w:tcBorders>
              <w:top w:val="single" w:sz="4" w:space="0" w:color="auto"/>
              <w:bottom w:val="single" w:sz="4" w:space="0" w:color="auto"/>
            </w:tcBorders>
            <w:tcW w:w="950" w:type="dxa"/>
          </w:tcPr>
          <w:p>
            <w:pPr>
              <w:jc w:val="center"/>
              <w:spacing w:before="10" w:after="10"/>
            </w:pPr>
            <w:r/>
            <w:r>
              <w:rPr>
                <w:b/>
                <w:sz w:val="16"/>
              </w:rPr>
              <w:t>Total Cost</w:t>
              <w:br/>
              <w:t>($/hr)</w:t>
            </w:r>
          </w:p>
        </w:tc>
        <w:tc>
          <w:tcPr>
            <w:tcBorders>
              <w:top w:val="single" w:sz="4" w:space="0" w:color="auto"/>
              <w:bottom w:val="single" w:sz="4" w:space="0" w:color="auto"/>
            </w:tcBorders>
            <w:tcW w:w="950" w:type="dxa"/>
          </w:tcPr>
          <w:p>
            <w:pPr>
              <w:jc w:val="center"/>
              <w:spacing w:before="10" w:after="10"/>
            </w:pPr>
            <w:r/>
            <w:r>
              <w:rPr>
                <w:b/>
                <w:sz w:val="16"/>
              </w:rPr>
              <w:t>Electricity</w:t>
              <w:br/>
              <w:t>Cost ($/hr)</w:t>
            </w:r>
          </w:p>
        </w:tc>
        <w:tc>
          <w:tcPr>
            <w:tcBorders>
              <w:top w:val="single" w:sz="4" w:space="0" w:color="auto"/>
              <w:bottom w:val="single" w:sz="4" w:space="0" w:color="auto"/>
            </w:tcBorders>
            <w:tcW w:w="950" w:type="dxa"/>
          </w:tcPr>
          <w:p>
            <w:pPr>
              <w:jc w:val="center"/>
              <w:spacing w:before="10" w:after="10"/>
            </w:pPr>
            <w:r/>
            <w:r>
              <w:rPr>
                <w:b/>
                <w:sz w:val="16"/>
              </w:rPr>
              <w:t>Construction</w:t>
              <w:br/>
              <w:t>Cost ($/hr)</w:t>
            </w:r>
          </w:p>
        </w:tc>
        <w:tc>
          <w:tcPr>
            <w:tcBorders>
              <w:top w:val="single" w:sz="4" w:space="0" w:color="auto"/>
              <w:bottom w:val="single" w:sz="4" w:space="0" w:color="auto"/>
            </w:tcBorders>
            <w:tcW w:w="550" w:type="dxa"/>
          </w:tcPr>
          <w:p>
            <w:pPr>
              <w:jc w:val="center"/>
              <w:spacing w:before="10" w:after="10"/>
            </w:pPr>
            <w:r/>
            <w:r>
              <w:rPr>
                <w:b/>
                <w:sz w:val="16"/>
              </w:rPr>
              <w:t>PUE</w:t>
            </w:r>
          </w:p>
        </w:tc>
        <w:tc>
          <w:tcPr>
            <w:tcBorders>
              <w:top w:val="single" w:sz="4" w:space="0" w:color="auto"/>
              <w:bottom w:val="single" w:sz="4" w:space="0" w:color="auto"/>
            </w:tcBorders>
            <w:tcW w:w="950" w:type="dxa"/>
          </w:tcPr>
          <w:p>
            <w:pPr>
              <w:jc w:val="center"/>
              <w:spacing w:before="10" w:after="10"/>
            </w:pPr>
            <w:r/>
            <w:r>
              <w:rPr>
                <w:b/>
                <w:sz w:val="16"/>
              </w:rPr>
              <w:t>Elec. Price</w:t>
              <w:br/>
              <w:t>($/kWh)</w:t>
            </w:r>
          </w:p>
        </w:tc>
        <w:tc>
          <w:tcPr>
            <w:tcBorders>
              <w:top w:val="single" w:sz="4" w:space="0" w:color="auto"/>
              <w:bottom w:val="single" w:sz="4" w:space="0" w:color="auto"/>
            </w:tcBorders>
            <w:tcW w:w="950" w:type="dxa"/>
          </w:tcPr>
          <w:p>
            <w:pPr>
              <w:jc w:val="center"/>
              <w:spacing w:before="10" w:after="10"/>
            </w:pPr>
            <w:r/>
            <w:r>
              <w:rPr>
                <w:b/>
                <w:sz w:val="16"/>
              </w:rPr>
              <w:t>Pure-Cost</w:t>
              <w:br/>
              <w:t>Regime</w:t>
            </w:r>
          </w:p>
        </w:tc>
      </w:tr>
      <w:tr>
        <w:tc>
          <w:tcPr>
            <w:tcW w:w="500" w:type="dxa"/>
          </w:tcPr>
          <w:p>
            <w:pPr>
              <w:spacing w:before="10" w:after="10"/>
            </w:pPr>
            <w:r/>
            <w:r>
              <w:rPr>
                <w:sz w:val="16"/>
              </w:rPr>
              <w:t>2</w:t>
            </w:r>
          </w:p>
        </w:tc>
        <w:tc>
          <w:tcPr>
            <w:tcW w:w="1800" w:type="dxa"/>
          </w:tcPr>
          <w:p>
            <w:pPr>
              <w:spacing w:before="10" w:after="10"/>
            </w:pPr>
            <w:r/>
            <w:r>
              <w:rPr>
                <w:sz w:val="16"/>
              </w:rPr>
              <w:t>Turkmenistan</w:t>
            </w:r>
          </w:p>
        </w:tc>
        <w:tc>
          <w:tcPr>
            <w:tcW w:w="950" w:type="dxa"/>
          </w:tcPr>
          <w:p>
            <w:pPr>
              <w:jc w:val="right"/>
              <w:spacing w:before="10" w:after="10"/>
            </w:pPr>
            <w:r/>
            <w:r>
              <w:rPr>
                <w:sz w:val="16"/>
              </w:rPr>
              <w:t>$1.11</w:t>
            </w:r>
          </w:p>
        </w:tc>
        <w:tc>
          <w:tcPr>
            <w:tcW w:w="950" w:type="dxa"/>
          </w:tcPr>
          <w:p>
            <w:pPr>
              <w:jc w:val="right"/>
              <w:spacing w:before="10" w:after="10"/>
            </w:pPr>
            <w:r/>
            <w:r>
              <w:rPr>
                <w:sz w:val="16"/>
              </w:rPr>
              <w:t>$0.009</w:t>
            </w:r>
          </w:p>
        </w:tc>
        <w:tc>
          <w:tcPr>
            <w:tcW w:w="950" w:type="dxa"/>
          </w:tcPr>
          <w:p>
            <w:pPr>
              <w:jc w:val="right"/>
              <w:spacing w:before="10" w:after="10"/>
            </w:pPr>
            <w:r/>
            <w:r>
              <w:rPr>
                <w:sz w:val="16"/>
              </w:rPr>
              <w:t>$0.048</w:t>
            </w:r>
          </w:p>
        </w:tc>
        <w:tc>
          <w:tcPr>
            <w:tcW w:w="550" w:type="dxa"/>
          </w:tcPr>
          <w:p>
            <w:pPr>
              <w:jc w:val="right"/>
              <w:spacing w:before="10" w:after="10"/>
            </w:pPr>
            <w:r/>
            <w:r>
              <w:rPr>
                <w:sz w:val="16"/>
              </w:rPr>
              <w:t>1.34</w:t>
            </w:r>
          </w:p>
        </w:tc>
        <w:tc>
          <w:tcPr>
            <w:tcW w:w="950" w:type="dxa"/>
          </w:tcPr>
          <w:p>
            <w:pPr>
              <w:jc w:val="right"/>
              <w:spacing w:before="10" w:after="10"/>
            </w:pPr>
            <w:r/>
            <w:r>
              <w:rPr>
                <w:sz w:val="16"/>
              </w:rPr>
              <w:t>$0.010</w:t>
            </w:r>
          </w:p>
        </w:tc>
        <w:tc>
          <w:tcPr>
            <w:tcW w:w="950" w:type="dxa"/>
          </w:tcPr>
          <w:p>
            <w:pPr>
              <w:spacing w:before="10" w:after="10"/>
            </w:pPr>
            <w:r/>
            <w:r>
              <w:rPr>
                <w:sz w:val="16"/>
              </w:rPr>
              <w:t>hybrid</w:t>
            </w:r>
          </w:p>
        </w:tc>
      </w:tr>
      <w:tr>
        <w:tc>
          <w:tcPr>
            <w:tcW w:w="500" w:type="dxa"/>
          </w:tcPr>
          <w:p>
            <w:pPr>
              <w:spacing w:before="10" w:after="10"/>
            </w:pPr>
            <w:r/>
            <w:r>
              <w:rPr>
                <w:sz w:val="16"/>
              </w:rPr>
              <w:t>3</w:t>
            </w:r>
          </w:p>
        </w:tc>
        <w:tc>
          <w:tcPr>
            <w:tcW w:w="1800" w:type="dxa"/>
          </w:tcPr>
          <w:p>
            <w:pPr>
              <w:spacing w:before="10" w:after="10"/>
            </w:pPr>
            <w:r/>
            <w:r>
              <w:rPr>
                <w:sz w:val="16"/>
              </w:rPr>
              <w:t>Kyrgyzstan</w:t>
            </w:r>
          </w:p>
        </w:tc>
        <w:tc>
          <w:tcPr>
            <w:tcW w:w="950" w:type="dxa"/>
          </w:tcPr>
          <w:p>
            <w:pPr>
              <w:jc w:val="right"/>
              <w:spacing w:before="10" w:after="10"/>
            </w:pPr>
            <w:r/>
            <w:r>
              <w:rPr>
                <w:sz w:val="16"/>
              </w:rPr>
              <w:t>$1.13</w:t>
            </w:r>
          </w:p>
        </w:tc>
        <w:tc>
          <w:tcPr>
            <w:tcW w:w="950" w:type="dxa"/>
          </w:tcPr>
          <w:p>
            <w:pPr>
              <w:jc w:val="right"/>
              <w:spacing w:before="10" w:after="10"/>
            </w:pPr>
            <w:r/>
            <w:r>
              <w:rPr>
                <w:sz w:val="16"/>
              </w:rPr>
              <w:t>$0.029</w:t>
            </w:r>
          </w:p>
        </w:tc>
        <w:tc>
          <w:tcPr>
            <w:tcW w:w="950" w:type="dxa"/>
          </w:tcPr>
          <w:p>
            <w:pPr>
              <w:jc w:val="right"/>
              <w:spacing w:before="10" w:after="10"/>
            </w:pPr>
            <w:r/>
            <w:r>
              <w:rPr>
                <w:sz w:val="16"/>
              </w:rPr>
              <w:t>$0.040</w:t>
            </w:r>
          </w:p>
        </w:tc>
        <w:tc>
          <w:tcPr>
            <w:tcW w:w="550" w:type="dxa"/>
          </w:tcPr>
          <w:p>
            <w:pPr>
              <w:jc w:val="right"/>
              <w:spacing w:before="10" w:after="10"/>
            </w:pPr>
            <w:r/>
            <w:r>
              <w:rPr>
                <w:sz w:val="16"/>
              </w:rPr>
              <w:t>1.08</w:t>
            </w:r>
          </w:p>
        </w:tc>
        <w:tc>
          <w:tcPr>
            <w:tcW w:w="950" w:type="dxa"/>
          </w:tcPr>
          <w:p>
            <w:pPr>
              <w:jc w:val="right"/>
              <w:spacing w:before="10" w:after="10"/>
            </w:pPr>
            <w:r/>
            <w:r>
              <w:rPr>
                <w:sz w:val="16"/>
              </w:rPr>
              <w:t>$0.038</w:t>
            </w:r>
          </w:p>
        </w:tc>
        <w:tc>
          <w:tcPr>
            <w:tcW w:w="950" w:type="dxa"/>
          </w:tcPr>
          <w:p>
            <w:pPr>
              <w:spacing w:before="10" w:after="10"/>
            </w:pPr>
            <w:r/>
            <w:r>
              <w:rPr>
                <w:sz w:val="16"/>
              </w:rPr>
              <w:t>hybrid</w:t>
            </w:r>
          </w:p>
        </w:tc>
      </w:tr>
      <w:tr>
        <w:tc>
          <w:tcPr>
            <w:tcW w:w="500" w:type="dxa"/>
          </w:tcPr>
          <w:p>
            <w:pPr>
              <w:spacing w:before="10" w:after="10"/>
            </w:pPr>
            <w:r/>
            <w:r>
              <w:rPr>
                <w:sz w:val="16"/>
              </w:rPr>
              <w:t>8</w:t>
            </w:r>
          </w:p>
        </w:tc>
        <w:tc>
          <w:tcPr>
            <w:tcW w:w="1800" w:type="dxa"/>
          </w:tcPr>
          <w:p>
            <w:pPr>
              <w:spacing w:before="10" w:after="10"/>
            </w:pPr>
            <w:r/>
            <w:r>
              <w:rPr>
                <w:sz w:val="16"/>
              </w:rPr>
              <w:t>Russia</w:t>
            </w:r>
          </w:p>
        </w:tc>
        <w:tc>
          <w:tcPr>
            <w:tcW w:w="950" w:type="dxa"/>
          </w:tcPr>
          <w:p>
            <w:pPr>
              <w:jc w:val="right"/>
              <w:spacing w:before="10" w:after="10"/>
            </w:pPr>
            <w:r/>
            <w:r>
              <w:rPr>
                <w:sz w:val="16"/>
              </w:rPr>
              <w:t>$1.14</w:t>
            </w:r>
          </w:p>
        </w:tc>
        <w:tc>
          <w:tcPr>
            <w:tcW w:w="950" w:type="dxa"/>
          </w:tcPr>
          <w:p>
            <w:pPr>
              <w:jc w:val="right"/>
              <w:spacing w:before="10" w:after="10"/>
            </w:pPr>
            <w:r/>
            <w:r>
              <w:rPr>
                <w:sz w:val="16"/>
              </w:rPr>
              <w:t>$0.031</w:t>
            </w:r>
          </w:p>
        </w:tc>
        <w:tc>
          <w:tcPr>
            <w:tcW w:w="950" w:type="dxa"/>
          </w:tcPr>
          <w:p>
            <w:pPr>
              <w:jc w:val="right"/>
              <w:spacing w:before="10" w:after="10"/>
            </w:pPr>
            <w:r/>
            <w:r>
              <w:rPr>
                <w:sz w:val="16"/>
              </w:rPr>
              <w:t>$0.053</w:t>
            </w:r>
          </w:p>
        </w:tc>
        <w:tc>
          <w:tcPr>
            <w:tcW w:w="550" w:type="dxa"/>
          </w:tcPr>
          <w:p>
            <w:pPr>
              <w:jc w:val="right"/>
              <w:spacing w:before="10" w:after="10"/>
            </w:pPr>
            <w:r/>
            <w:r>
              <w:rPr>
                <w:sz w:val="16"/>
              </w:rPr>
              <w:t>1.11</w:t>
            </w:r>
          </w:p>
        </w:tc>
        <w:tc>
          <w:tcPr>
            <w:tcW w:w="950" w:type="dxa"/>
          </w:tcPr>
          <w:p>
            <w:pPr>
              <w:jc w:val="right"/>
              <w:spacing w:before="10" w:after="10"/>
            </w:pPr>
            <w:r/>
            <w:r>
              <w:rPr>
                <w:sz w:val="16"/>
              </w:rPr>
              <w:t>$0.040</w:t>
            </w:r>
          </w:p>
        </w:tc>
        <w:tc>
          <w:tcPr>
            <w:tcW w:w="950" w:type="dxa"/>
          </w:tcPr>
          <w:p>
            <w:pPr>
              <w:spacing w:before="10" w:after="10"/>
            </w:pPr>
            <w:r/>
            <w:r>
              <w:rPr>
                <w:sz w:val="16"/>
              </w:rPr>
              <w:t>hybrid</w:t>
            </w:r>
          </w:p>
        </w:tc>
      </w:tr>
      <w:tr>
        <w:tc>
          <w:tcPr>
            <w:tcW w:w="500" w:type="dxa"/>
          </w:tcPr>
          <w:p>
            <w:pPr>
              <w:spacing w:before="10" w:after="10"/>
            </w:pPr>
            <w:r/>
            <w:r>
              <w:rPr>
                <w:sz w:val="16"/>
              </w:rPr>
              <w:t>9</w:t>
            </w:r>
          </w:p>
        </w:tc>
        <w:tc>
          <w:tcPr>
            <w:tcW w:w="1800" w:type="dxa"/>
          </w:tcPr>
          <w:p>
            <w:pPr>
              <w:spacing w:before="10" w:after="10"/>
            </w:pPr>
            <w:r/>
            <w:r>
              <w:rPr>
                <w:sz w:val="16"/>
              </w:rPr>
              <w:t>Kosovo</w:t>
            </w:r>
          </w:p>
        </w:tc>
        <w:tc>
          <w:tcPr>
            <w:tcW w:w="950" w:type="dxa"/>
          </w:tcPr>
          <w:p>
            <w:pPr>
              <w:jc w:val="right"/>
              <w:spacing w:before="10" w:after="10"/>
            </w:pPr>
            <w:r/>
            <w:r>
              <w:rPr>
                <w:sz w:val="16"/>
              </w:rPr>
              <w:t>$1.14</w:t>
            </w:r>
          </w:p>
        </w:tc>
        <w:tc>
          <w:tcPr>
            <w:tcW w:w="950" w:type="dxa"/>
          </w:tcPr>
          <w:p>
            <w:pPr>
              <w:jc w:val="right"/>
              <w:spacing w:before="10" w:after="10"/>
            </w:pPr>
            <w:r/>
            <w:r>
              <w:rPr>
                <w:sz w:val="16"/>
              </w:rPr>
              <w:t>$0.038</w:t>
            </w:r>
          </w:p>
        </w:tc>
        <w:tc>
          <w:tcPr>
            <w:tcW w:w="950" w:type="dxa"/>
          </w:tcPr>
          <w:p>
            <w:pPr>
              <w:jc w:val="right"/>
              <w:spacing w:before="10" w:after="10"/>
            </w:pPr>
            <w:r/>
            <w:r>
              <w:rPr>
                <w:sz w:val="16"/>
              </w:rPr>
              <w:t>$0.047</w:t>
            </w:r>
          </w:p>
        </w:tc>
        <w:tc>
          <w:tcPr>
            <w:tcW w:w="550" w:type="dxa"/>
          </w:tcPr>
          <w:p>
            <w:pPr>
              <w:jc w:val="right"/>
              <w:spacing w:before="10" w:after="10"/>
            </w:pPr>
            <w:r/>
            <w:r>
              <w:rPr>
                <w:sz w:val="16"/>
              </w:rPr>
              <w:t>1.17</w:t>
            </w:r>
          </w:p>
        </w:tc>
        <w:tc>
          <w:tcPr>
            <w:tcW w:w="950" w:type="dxa"/>
          </w:tcPr>
          <w:p>
            <w:pPr>
              <w:jc w:val="right"/>
              <w:spacing w:before="10" w:after="10"/>
            </w:pPr>
            <w:r/>
            <w:r>
              <w:rPr>
                <w:sz w:val="16"/>
              </w:rPr>
              <w:t>$0.047</w:t>
            </w:r>
          </w:p>
        </w:tc>
        <w:tc>
          <w:tcPr>
            <w:tcW w:w="950" w:type="dxa"/>
          </w:tcPr>
          <w:p>
            <w:pPr>
              <w:spacing w:before="10" w:after="10"/>
            </w:pPr>
            <w:r/>
            <w:r>
              <w:rPr>
                <w:sz w:val="16"/>
              </w:rPr>
              <w:t>hybrid</w:t>
            </w:r>
          </w:p>
        </w:tc>
      </w:tr>
      <w:tr>
        <w:tc>
          <w:tcPr>
            <w:tcW w:w="500" w:type="dxa"/>
          </w:tcPr>
          <w:p>
            <w:pPr>
              <w:spacing w:before="10" w:after="10"/>
            </w:pPr>
            <w:r/>
            <w:r>
              <w:rPr>
                <w:sz w:val="16"/>
              </w:rPr>
              <w:t>11</w:t>
            </w:r>
          </w:p>
        </w:tc>
        <w:tc>
          <w:tcPr>
            <w:tcW w:w="1800" w:type="dxa"/>
          </w:tcPr>
          <w:p>
            <w:pPr>
              <w:spacing w:before="10" w:after="10"/>
            </w:pPr>
            <w:r/>
            <w:r>
              <w:rPr>
                <w:sz w:val="16"/>
              </w:rPr>
              <w:t>Ukraine</w:t>
            </w:r>
          </w:p>
        </w:tc>
        <w:tc>
          <w:tcPr>
            <w:tcW w:w="950" w:type="dxa"/>
          </w:tcPr>
          <w:p>
            <w:pPr>
              <w:jc w:val="right"/>
              <w:spacing w:before="10" w:after="10"/>
            </w:pPr>
            <w:r/>
            <w:r>
              <w:rPr>
                <w:sz w:val="16"/>
              </w:rPr>
              <w:t>$1.15</w:t>
            </w:r>
          </w:p>
        </w:tc>
        <w:tc>
          <w:tcPr>
            <w:tcW w:w="950" w:type="dxa"/>
          </w:tcPr>
          <w:p>
            <w:pPr>
              <w:jc w:val="right"/>
              <w:spacing w:before="10" w:after="10"/>
            </w:pPr>
            <w:r/>
            <w:r>
              <w:rPr>
                <w:sz w:val="16"/>
              </w:rPr>
              <w:t>$0.047</w:t>
            </w:r>
          </w:p>
        </w:tc>
        <w:tc>
          <w:tcPr>
            <w:tcW w:w="950" w:type="dxa"/>
          </w:tcPr>
          <w:p>
            <w:pPr>
              <w:jc w:val="right"/>
              <w:spacing w:before="10" w:after="10"/>
            </w:pPr>
            <w:r/>
            <w:r>
              <w:rPr>
                <w:sz w:val="16"/>
              </w:rPr>
              <w:t>$0.046</w:t>
            </w:r>
          </w:p>
        </w:tc>
        <w:tc>
          <w:tcPr>
            <w:tcW w:w="550" w:type="dxa"/>
          </w:tcPr>
          <w:p>
            <w:pPr>
              <w:jc w:val="right"/>
              <w:spacing w:before="10" w:after="10"/>
            </w:pPr>
            <w:r/>
            <w:r>
              <w:rPr>
                <w:sz w:val="16"/>
              </w:rPr>
              <w:t>1.19</w:t>
            </w:r>
          </w:p>
        </w:tc>
        <w:tc>
          <w:tcPr>
            <w:tcW w:w="950" w:type="dxa"/>
          </w:tcPr>
          <w:p>
            <w:pPr>
              <w:jc w:val="right"/>
              <w:spacing w:before="10" w:after="10"/>
            </w:pPr>
            <w:r/>
            <w:r>
              <w:rPr>
                <w:sz w:val="16"/>
              </w:rPr>
              <w:t>$0.057</w:t>
            </w:r>
          </w:p>
        </w:tc>
        <w:tc>
          <w:tcPr>
            <w:tcW w:w="950" w:type="dxa"/>
          </w:tcPr>
          <w:p>
            <w:pPr>
              <w:spacing w:before="10" w:after="10"/>
            </w:pPr>
            <w:r/>
            <w:r>
              <w:rPr>
                <w:sz w:val="16"/>
              </w:rPr>
              <w:t>hybrid</w:t>
            </w:r>
          </w:p>
        </w:tc>
      </w:tr>
      <w:tr>
        <w:tc>
          <w:tcPr>
            <w:tcW w:w="500" w:type="dxa"/>
          </w:tcPr>
          <w:p>
            <w:pPr>
              <w:spacing w:before="10" w:after="10"/>
            </w:pPr>
            <w:r/>
            <w:r>
              <w:rPr>
                <w:sz w:val="16"/>
              </w:rPr>
              <w:t>12</w:t>
            </w:r>
          </w:p>
        </w:tc>
        <w:tc>
          <w:tcPr>
            <w:tcW w:w="1800" w:type="dxa"/>
          </w:tcPr>
          <w:p>
            <w:pPr>
              <w:spacing w:before="10" w:after="10"/>
            </w:pPr>
            <w:r/>
            <w:r>
              <w:rPr>
                <w:sz w:val="16"/>
              </w:rPr>
              <w:t>Tajikistan</w:t>
            </w:r>
          </w:p>
        </w:tc>
        <w:tc>
          <w:tcPr>
            <w:tcW w:w="950" w:type="dxa"/>
          </w:tcPr>
          <w:p>
            <w:pPr>
              <w:jc w:val="right"/>
              <w:spacing w:before="10" w:after="10"/>
            </w:pPr>
            <w:r/>
            <w:r>
              <w:rPr>
                <w:sz w:val="16"/>
              </w:rPr>
              <w:t>$1.15</w:t>
            </w:r>
          </w:p>
        </w:tc>
        <w:tc>
          <w:tcPr>
            <w:tcW w:w="950" w:type="dxa"/>
          </w:tcPr>
          <w:p>
            <w:pPr>
              <w:jc w:val="right"/>
              <w:spacing w:before="10" w:after="10"/>
            </w:pPr>
            <w:r/>
            <w:r>
              <w:rPr>
                <w:sz w:val="16"/>
              </w:rPr>
              <w:t>$0.057</w:t>
            </w:r>
          </w:p>
        </w:tc>
        <w:tc>
          <w:tcPr>
            <w:tcW w:w="950" w:type="dxa"/>
          </w:tcPr>
          <w:p>
            <w:pPr>
              <w:jc w:val="right"/>
              <w:spacing w:before="10" w:after="10"/>
            </w:pPr>
            <w:r/>
            <w:r>
              <w:rPr>
                <w:sz w:val="16"/>
              </w:rPr>
              <w:t>$0.037</w:t>
            </w:r>
          </w:p>
        </w:tc>
        <w:tc>
          <w:tcPr>
            <w:tcW w:w="550" w:type="dxa"/>
          </w:tcPr>
          <w:p>
            <w:pPr>
              <w:jc w:val="right"/>
              <w:spacing w:before="10" w:after="10"/>
            </w:pPr>
            <w:r/>
            <w:r>
              <w:rPr>
                <w:sz w:val="16"/>
              </w:rPr>
              <w:t>1.11</w:t>
            </w:r>
          </w:p>
        </w:tc>
        <w:tc>
          <w:tcPr>
            <w:tcW w:w="950" w:type="dxa"/>
          </w:tcPr>
          <w:p>
            <w:pPr>
              <w:jc w:val="right"/>
              <w:spacing w:before="10" w:after="10"/>
            </w:pPr>
            <w:r/>
            <w:r>
              <w:rPr>
                <w:sz w:val="16"/>
              </w:rPr>
              <w:t>$0.074</w:t>
            </w:r>
          </w:p>
        </w:tc>
        <w:tc>
          <w:tcPr>
            <w:tcW w:w="950" w:type="dxa"/>
          </w:tcPr>
          <w:p>
            <w:pPr>
              <w:spacing w:before="10" w:after="10"/>
            </w:pPr>
            <w:r/>
            <w:r>
              <w:rPr>
                <w:sz w:val="16"/>
              </w:rPr>
              <w:t>import</w:t>
            </w:r>
          </w:p>
        </w:tc>
      </w:tr>
      <w:tr>
        <w:tc>
          <w:tcPr>
            <w:tcW w:w="500" w:type="dxa"/>
          </w:tcPr>
          <w:p>
            <w:pPr>
              <w:spacing w:before="10" w:after="10"/>
            </w:pPr>
            <w:r/>
            <w:r>
              <w:rPr>
                <w:sz w:val="16"/>
              </w:rPr>
              <w:t>14</w:t>
            </w:r>
          </w:p>
        </w:tc>
        <w:tc>
          <w:tcPr>
            <w:tcW w:w="1800" w:type="dxa"/>
          </w:tcPr>
          <w:p>
            <w:pPr>
              <w:spacing w:before="10" w:after="10"/>
            </w:pPr>
            <w:r/>
            <w:r>
              <w:rPr>
                <w:sz w:val="16"/>
              </w:rPr>
              <w:t>Montenegro</w:t>
            </w:r>
          </w:p>
        </w:tc>
        <w:tc>
          <w:tcPr>
            <w:tcW w:w="950" w:type="dxa"/>
          </w:tcPr>
          <w:p>
            <w:pPr>
              <w:jc w:val="right"/>
              <w:spacing w:before="10" w:after="10"/>
            </w:pPr>
            <w:r/>
            <w:r>
              <w:rPr>
                <w:sz w:val="16"/>
              </w:rPr>
              <w:t>$1.15</w:t>
            </w:r>
          </w:p>
        </w:tc>
        <w:tc>
          <w:tcPr>
            <w:tcW w:w="950" w:type="dxa"/>
          </w:tcPr>
          <w:p>
            <w:pPr>
              <w:jc w:val="right"/>
              <w:spacing w:before="10" w:after="10"/>
            </w:pPr>
            <w:r/>
            <w:r>
              <w:rPr>
                <w:sz w:val="16"/>
              </w:rPr>
              <w:t>$0.042</w:t>
            </w:r>
          </w:p>
        </w:tc>
        <w:tc>
          <w:tcPr>
            <w:tcW w:w="950" w:type="dxa"/>
          </w:tcPr>
          <w:p>
            <w:pPr>
              <w:jc w:val="right"/>
              <w:spacing w:before="10" w:after="10"/>
            </w:pPr>
            <w:r/>
            <w:r>
              <w:rPr>
                <w:sz w:val="16"/>
              </w:rPr>
              <w:t>$0.054</w:t>
            </w:r>
          </w:p>
        </w:tc>
        <w:tc>
          <w:tcPr>
            <w:tcW w:w="550" w:type="dxa"/>
          </w:tcPr>
          <w:p>
            <w:pPr>
              <w:jc w:val="right"/>
              <w:spacing w:before="10" w:after="10"/>
            </w:pPr>
            <w:r/>
            <w:r>
              <w:rPr>
                <w:sz w:val="16"/>
              </w:rPr>
              <w:t>1.18</w:t>
            </w:r>
          </w:p>
        </w:tc>
        <w:tc>
          <w:tcPr>
            <w:tcW w:w="950" w:type="dxa"/>
          </w:tcPr>
          <w:p>
            <w:pPr>
              <w:jc w:val="right"/>
              <w:spacing w:before="10" w:after="10"/>
            </w:pPr>
            <w:r/>
            <w:r>
              <w:rPr>
                <w:sz w:val="16"/>
              </w:rPr>
              <w:t>$0.051</w:t>
            </w:r>
          </w:p>
        </w:tc>
        <w:tc>
          <w:tcPr>
            <w:tcW w:w="950" w:type="dxa"/>
          </w:tcPr>
          <w:p>
            <w:pPr>
              <w:spacing w:before="10" w:after="10"/>
            </w:pPr>
            <w:r/>
            <w:r>
              <w:rPr>
                <w:sz w:val="16"/>
              </w:rPr>
              <w:t>hybrid</w:t>
            </w:r>
          </w:p>
        </w:tc>
      </w:tr>
      <w:tr>
        <w:tc>
          <w:tcPr>
            <w:tcW w:w="500" w:type="dxa"/>
          </w:tcPr>
          <w:p>
            <w:pPr>
              <w:spacing w:before="10" w:after="10"/>
            </w:pPr>
            <w:r/>
            <w:r>
              <w:rPr>
                <w:sz w:val="16"/>
              </w:rPr>
              <w:t>18</w:t>
            </w:r>
          </w:p>
        </w:tc>
        <w:tc>
          <w:tcPr>
            <w:tcW w:w="1800" w:type="dxa"/>
          </w:tcPr>
          <w:p>
            <w:pPr>
              <w:spacing w:before="10" w:after="10"/>
            </w:pPr>
            <w:r/>
            <w:r>
              <w:rPr>
                <w:sz w:val="16"/>
              </w:rPr>
              <w:t>Azerbaijan</w:t>
            </w:r>
          </w:p>
        </w:tc>
        <w:tc>
          <w:tcPr>
            <w:tcW w:w="950" w:type="dxa"/>
          </w:tcPr>
          <w:p>
            <w:pPr>
              <w:jc w:val="right"/>
              <w:spacing w:before="10" w:after="10"/>
            </w:pPr>
            <w:r/>
            <w:r>
              <w:rPr>
                <w:sz w:val="16"/>
              </w:rPr>
              <w:t>$1.16</w:t>
            </w:r>
          </w:p>
        </w:tc>
        <w:tc>
          <w:tcPr>
            <w:tcW w:w="950" w:type="dxa"/>
          </w:tcPr>
          <w:p>
            <w:pPr>
              <w:jc w:val="right"/>
              <w:spacing w:before="10" w:after="10"/>
            </w:pPr>
            <w:r/>
            <w:r>
              <w:rPr>
                <w:sz w:val="16"/>
              </w:rPr>
              <w:t>$0.053</w:t>
            </w:r>
          </w:p>
        </w:tc>
        <w:tc>
          <w:tcPr>
            <w:tcW w:w="950" w:type="dxa"/>
          </w:tcPr>
          <w:p>
            <w:pPr>
              <w:jc w:val="right"/>
              <w:spacing w:before="10" w:after="10"/>
            </w:pPr>
            <w:r/>
            <w:r>
              <w:rPr>
                <w:sz w:val="16"/>
              </w:rPr>
              <w:t>$0.049</w:t>
            </w:r>
          </w:p>
        </w:tc>
        <w:tc>
          <w:tcPr>
            <w:tcW w:w="550" w:type="dxa"/>
          </w:tcPr>
          <w:p>
            <w:pPr>
              <w:jc w:val="right"/>
              <w:spacing w:before="10" w:after="10"/>
            </w:pPr>
            <w:r/>
            <w:r>
              <w:rPr>
                <w:sz w:val="16"/>
              </w:rPr>
              <w:t>1.22</w:t>
            </w:r>
          </w:p>
        </w:tc>
        <w:tc>
          <w:tcPr>
            <w:tcW w:w="950" w:type="dxa"/>
          </w:tcPr>
          <w:p>
            <w:pPr>
              <w:jc w:val="right"/>
              <w:spacing w:before="10" w:after="10"/>
            </w:pPr>
            <w:r/>
            <w:r>
              <w:rPr>
                <w:sz w:val="16"/>
              </w:rPr>
              <w:t>$0.062</w:t>
            </w:r>
          </w:p>
        </w:tc>
        <w:tc>
          <w:tcPr>
            <w:tcW w:w="950" w:type="dxa"/>
          </w:tcPr>
          <w:p>
            <w:pPr>
              <w:spacing w:before="10" w:after="10"/>
            </w:pPr>
            <w:r/>
            <w:r>
              <w:rPr>
                <w:sz w:val="16"/>
              </w:rPr>
              <w:t>import</w:t>
            </w:r>
          </w:p>
        </w:tc>
      </w:tr>
      <w:tr>
        <w:tc>
          <w:tcPr>
            <w:tcW w:w="500" w:type="dxa"/>
          </w:tcPr>
          <w:p>
            <w:pPr>
              <w:spacing w:before="10" w:after="10"/>
            </w:pPr>
            <w:r/>
            <w:r>
              <w:rPr>
                <w:sz w:val="16"/>
              </w:rPr>
              <w:t>21</w:t>
            </w:r>
          </w:p>
        </w:tc>
        <w:tc>
          <w:tcPr>
            <w:tcW w:w="1800" w:type="dxa"/>
          </w:tcPr>
          <w:p>
            <w:pPr>
              <w:spacing w:before="10" w:after="10"/>
            </w:pPr>
            <w:r/>
            <w:r>
              <w:rPr>
                <w:sz w:val="16"/>
              </w:rPr>
              <w:t>Uzbekistan</w:t>
            </w:r>
          </w:p>
        </w:tc>
        <w:tc>
          <w:tcPr>
            <w:tcW w:w="950" w:type="dxa"/>
          </w:tcPr>
          <w:p>
            <w:pPr>
              <w:jc w:val="right"/>
              <w:spacing w:before="10" w:after="10"/>
            </w:pPr>
            <w:r/>
            <w:r>
              <w:rPr>
                <w:sz w:val="16"/>
              </w:rPr>
              <w:t>$1.16</w:t>
            </w:r>
          </w:p>
        </w:tc>
        <w:tc>
          <w:tcPr>
            <w:tcW w:w="950" w:type="dxa"/>
          </w:tcPr>
          <w:p>
            <w:pPr>
              <w:jc w:val="right"/>
              <w:spacing w:before="10" w:after="10"/>
            </w:pPr>
            <w:r/>
            <w:r>
              <w:rPr>
                <w:sz w:val="16"/>
              </w:rPr>
              <w:t>$0.065</w:t>
            </w:r>
          </w:p>
        </w:tc>
        <w:tc>
          <w:tcPr>
            <w:tcW w:w="950" w:type="dxa"/>
          </w:tcPr>
          <w:p>
            <w:pPr>
              <w:jc w:val="right"/>
              <w:spacing w:before="10" w:after="10"/>
            </w:pPr>
            <w:r/>
            <w:r>
              <w:rPr>
                <w:sz w:val="16"/>
              </w:rPr>
              <w:t>$0.042</w:t>
            </w:r>
          </w:p>
        </w:tc>
        <w:tc>
          <w:tcPr>
            <w:tcW w:w="550" w:type="dxa"/>
          </w:tcPr>
          <w:p>
            <w:pPr>
              <w:jc w:val="right"/>
              <w:spacing w:before="10" w:after="10"/>
            </w:pPr>
            <w:r/>
            <w:r>
              <w:rPr>
                <w:sz w:val="16"/>
              </w:rPr>
              <w:t>1.30</w:t>
            </w:r>
          </w:p>
        </w:tc>
        <w:tc>
          <w:tcPr>
            <w:tcW w:w="950" w:type="dxa"/>
          </w:tcPr>
          <w:p>
            <w:pPr>
              <w:jc w:val="right"/>
              <w:spacing w:before="10" w:after="10"/>
            </w:pPr>
            <w:r/>
            <w:r>
              <w:rPr>
                <w:sz w:val="16"/>
              </w:rPr>
              <w:t>$0.071</w:t>
            </w:r>
          </w:p>
        </w:tc>
        <w:tc>
          <w:tcPr>
            <w:tcW w:w="950" w:type="dxa"/>
          </w:tcPr>
          <w:p>
            <w:pPr>
              <w:spacing w:before="10" w:after="10"/>
            </w:pPr>
            <w:r/>
            <w:r>
              <w:rPr>
                <w:sz w:val="16"/>
              </w:rPr>
              <w:t>import</w:t>
            </w:r>
          </w:p>
        </w:tc>
      </w:tr>
      <w:tr>
        <w:tc>
          <w:tcPr>
            <w:tcW w:w="500" w:type="dxa"/>
          </w:tcPr>
          <w:p>
            <w:pPr>
              <w:spacing w:before="10" w:after="10"/>
            </w:pPr>
            <w:r/>
            <w:r>
              <w:rPr>
                <w:sz w:val="16"/>
              </w:rPr>
              <w:t>23</w:t>
            </w:r>
          </w:p>
        </w:tc>
        <w:tc>
          <w:tcPr>
            <w:tcW w:w="1800" w:type="dxa"/>
          </w:tcPr>
          <w:p>
            <w:pPr>
              <w:spacing w:before="10" w:after="10"/>
            </w:pPr>
            <w:r/>
            <w:r>
              <w:rPr>
                <w:sz w:val="16"/>
              </w:rPr>
              <w:t>Kazakhstan</w:t>
            </w:r>
          </w:p>
        </w:tc>
        <w:tc>
          <w:tcPr>
            <w:tcW w:w="950" w:type="dxa"/>
          </w:tcPr>
          <w:p>
            <w:pPr>
              <w:jc w:val="right"/>
              <w:spacing w:before="10" w:after="10"/>
            </w:pPr>
            <w:r/>
            <w:r>
              <w:rPr>
                <w:sz w:val="16"/>
              </w:rPr>
              <w:t>$1.17</w:t>
            </w:r>
          </w:p>
        </w:tc>
        <w:tc>
          <w:tcPr>
            <w:tcW w:w="950" w:type="dxa"/>
          </w:tcPr>
          <w:p>
            <w:pPr>
              <w:jc w:val="right"/>
              <w:spacing w:before="10" w:after="10"/>
            </w:pPr>
            <w:r/>
            <w:r>
              <w:rPr>
                <w:sz w:val="16"/>
              </w:rPr>
              <w:t>$0.057</w:t>
            </w:r>
          </w:p>
        </w:tc>
        <w:tc>
          <w:tcPr>
            <w:tcW w:w="950" w:type="dxa"/>
          </w:tcPr>
          <w:p>
            <w:pPr>
              <w:jc w:val="right"/>
              <w:spacing w:before="10" w:after="10"/>
            </w:pPr>
            <w:r/>
            <w:r>
              <w:rPr>
                <w:sz w:val="16"/>
              </w:rPr>
              <w:t>$0.053</w:t>
            </w:r>
          </w:p>
        </w:tc>
        <w:tc>
          <w:tcPr>
            <w:tcW w:w="550" w:type="dxa"/>
          </w:tcPr>
          <w:p>
            <w:pPr>
              <w:jc w:val="right"/>
              <w:spacing w:before="10" w:after="10"/>
            </w:pPr>
            <w:r/>
            <w:r>
              <w:rPr>
                <w:sz w:val="16"/>
              </w:rPr>
              <w:t>1.23</w:t>
            </w:r>
          </w:p>
        </w:tc>
        <w:tc>
          <w:tcPr>
            <w:tcW w:w="950" w:type="dxa"/>
          </w:tcPr>
          <w:p>
            <w:pPr>
              <w:jc w:val="right"/>
              <w:spacing w:before="10" w:after="10"/>
            </w:pPr>
            <w:r/>
            <w:r>
              <w:rPr>
                <w:sz w:val="16"/>
              </w:rPr>
              <w:t>$0.066</w:t>
            </w:r>
          </w:p>
        </w:tc>
        <w:tc>
          <w:tcPr>
            <w:tcW w:w="950" w:type="dxa"/>
          </w:tcPr>
          <w:p>
            <w:pPr>
              <w:spacing w:before="10" w:after="10"/>
            </w:pPr>
            <w:r/>
            <w:r>
              <w:rPr>
                <w:sz w:val="16"/>
              </w:rPr>
              <w:t>import</w:t>
            </w:r>
          </w:p>
        </w:tc>
      </w:tr>
      <w:tr>
        <w:tc>
          <w:tcPr>
            <w:tcW w:w="500" w:type="dxa"/>
          </w:tcPr>
          <w:p>
            <w:pPr>
              <w:spacing w:before="10" w:after="10"/>
            </w:pPr>
            <w:r/>
            <w:r>
              <w:rPr>
                <w:sz w:val="16"/>
              </w:rPr>
              <w:t>31</w:t>
            </w:r>
          </w:p>
        </w:tc>
        <w:tc>
          <w:tcPr>
            <w:tcW w:w="1800" w:type="dxa"/>
          </w:tcPr>
          <w:p>
            <w:pPr>
              <w:spacing w:before="10" w:after="10"/>
            </w:pPr>
            <w:r/>
            <w:r>
              <w:rPr>
                <w:sz w:val="16"/>
              </w:rPr>
              <w:t>Georgia</w:t>
            </w:r>
          </w:p>
        </w:tc>
        <w:tc>
          <w:tcPr>
            <w:tcW w:w="950" w:type="dxa"/>
          </w:tcPr>
          <w:p>
            <w:pPr>
              <w:jc w:val="right"/>
              <w:spacing w:before="10" w:after="10"/>
            </w:pPr>
            <w:r/>
            <w:r>
              <w:rPr>
                <w:sz w:val="16"/>
              </w:rPr>
              <w:t>$1.18</w:t>
            </w:r>
          </w:p>
        </w:tc>
        <w:tc>
          <w:tcPr>
            <w:tcW w:w="950" w:type="dxa"/>
          </w:tcPr>
          <w:p>
            <w:pPr>
              <w:jc w:val="right"/>
              <w:spacing w:before="10" w:after="10"/>
            </w:pPr>
            <w:r/>
            <w:r>
              <w:rPr>
                <w:sz w:val="16"/>
              </w:rPr>
              <w:t>$0.073</w:t>
            </w:r>
          </w:p>
        </w:tc>
        <w:tc>
          <w:tcPr>
            <w:tcW w:w="950" w:type="dxa"/>
          </w:tcPr>
          <w:p>
            <w:pPr>
              <w:jc w:val="right"/>
              <w:spacing w:before="10" w:after="10"/>
            </w:pPr>
            <w:r/>
            <w:r>
              <w:rPr>
                <w:sz w:val="16"/>
              </w:rPr>
              <w:t>$0.050</w:t>
            </w:r>
          </w:p>
        </w:tc>
        <w:tc>
          <w:tcPr>
            <w:tcW w:w="550" w:type="dxa"/>
          </w:tcPr>
          <w:p>
            <w:pPr>
              <w:jc w:val="right"/>
              <w:spacing w:before="10" w:after="10"/>
            </w:pPr>
            <w:r/>
            <w:r>
              <w:rPr>
                <w:sz w:val="16"/>
              </w:rPr>
              <w:t>1.15</w:t>
            </w:r>
          </w:p>
        </w:tc>
        <w:tc>
          <w:tcPr>
            <w:tcW w:w="950" w:type="dxa"/>
          </w:tcPr>
          <w:p>
            <w:pPr>
              <w:jc w:val="right"/>
              <w:spacing w:before="10" w:after="10"/>
            </w:pPr>
            <w:r/>
            <w:r>
              <w:rPr>
                <w:sz w:val="16"/>
              </w:rPr>
              <w:t>$0.091</w:t>
            </w:r>
          </w:p>
        </w:tc>
        <w:tc>
          <w:tcPr>
            <w:tcW w:w="950" w:type="dxa"/>
          </w:tcPr>
          <w:p>
            <w:pPr>
              <w:spacing w:before="10" w:after="10"/>
            </w:pPr>
            <w:r/>
            <w:r>
              <w:rPr>
                <w:sz w:val="16"/>
              </w:rPr>
              <w:t>import</w:t>
            </w:r>
          </w:p>
        </w:tc>
      </w:tr>
      <w:tr>
        <w:tc>
          <w:tcPr>
            <w:tcW w:w="500" w:type="dxa"/>
          </w:tcPr>
          <w:p>
            <w:pPr>
              <w:spacing w:before="10" w:after="10"/>
            </w:pPr>
            <w:r/>
            <w:r>
              <w:rPr>
                <w:sz w:val="16"/>
              </w:rPr>
              <w:t>33</w:t>
            </w:r>
          </w:p>
        </w:tc>
        <w:tc>
          <w:tcPr>
            <w:tcW w:w="1800" w:type="dxa"/>
          </w:tcPr>
          <w:p>
            <w:pPr>
              <w:spacing w:before="10" w:after="10"/>
            </w:pPr>
            <w:r/>
            <w:r>
              <w:rPr>
                <w:sz w:val="16"/>
              </w:rPr>
              <w:t>Turkey</w:t>
            </w:r>
          </w:p>
        </w:tc>
        <w:tc>
          <w:tcPr>
            <w:tcW w:w="950" w:type="dxa"/>
          </w:tcPr>
          <w:p>
            <w:pPr>
              <w:jc w:val="right"/>
              <w:spacing w:before="10" w:after="10"/>
            </w:pPr>
            <w:r/>
            <w:r>
              <w:rPr>
                <w:sz w:val="16"/>
              </w:rPr>
              <w:t>$1.18</w:t>
            </w:r>
          </w:p>
        </w:tc>
        <w:tc>
          <w:tcPr>
            <w:tcW w:w="950" w:type="dxa"/>
          </w:tcPr>
          <w:p>
            <w:pPr>
              <w:jc w:val="right"/>
              <w:spacing w:before="10" w:after="10"/>
            </w:pPr>
            <w:r/>
            <w:r>
              <w:rPr>
                <w:sz w:val="16"/>
              </w:rPr>
              <w:t>$0.074</w:t>
            </w:r>
          </w:p>
        </w:tc>
        <w:tc>
          <w:tcPr>
            <w:tcW w:w="950" w:type="dxa"/>
          </w:tcPr>
          <w:p>
            <w:pPr>
              <w:jc w:val="right"/>
              <w:spacing w:before="10" w:after="10"/>
            </w:pPr>
            <w:r/>
            <w:r>
              <w:rPr>
                <w:sz w:val="16"/>
              </w:rPr>
              <w:t>$0.053</w:t>
            </w:r>
          </w:p>
        </w:tc>
        <w:tc>
          <w:tcPr>
            <w:tcW w:w="550" w:type="dxa"/>
          </w:tcPr>
          <w:p>
            <w:pPr>
              <w:jc w:val="right"/>
              <w:spacing w:before="10" w:after="10"/>
            </w:pPr>
            <w:r/>
            <w:r>
              <w:rPr>
                <w:sz w:val="16"/>
              </w:rPr>
              <w:t>1.22</w:t>
            </w:r>
          </w:p>
        </w:tc>
        <w:tc>
          <w:tcPr>
            <w:tcW w:w="950" w:type="dxa"/>
          </w:tcPr>
          <w:p>
            <w:pPr>
              <w:jc w:val="right"/>
              <w:spacing w:before="10" w:after="10"/>
            </w:pPr>
            <w:r/>
            <w:r>
              <w:rPr>
                <w:sz w:val="16"/>
              </w:rPr>
              <w:t>$0.086</w:t>
            </w:r>
          </w:p>
        </w:tc>
        <w:tc>
          <w:tcPr>
            <w:tcW w:w="950" w:type="dxa"/>
          </w:tcPr>
          <w:p>
            <w:pPr>
              <w:spacing w:before="10" w:after="10"/>
            </w:pPr>
            <w:r/>
            <w:r>
              <w:rPr>
                <w:sz w:val="16"/>
              </w:rPr>
              <w:t>hybrid</w:t>
            </w:r>
          </w:p>
        </w:tc>
      </w:tr>
      <w:tr>
        <w:tc>
          <w:tcPr>
            <w:tcW w:w="500" w:type="dxa"/>
          </w:tcPr>
          <w:p>
            <w:pPr>
              <w:spacing w:before="10" w:after="10"/>
            </w:pPr>
            <w:r/>
            <w:r>
              <w:rPr>
                <w:sz w:val="16"/>
              </w:rPr>
              <w:t>35</w:t>
            </w:r>
          </w:p>
        </w:tc>
        <w:tc>
          <w:tcPr>
            <w:tcW w:w="1800" w:type="dxa"/>
          </w:tcPr>
          <w:p>
            <w:pPr>
              <w:spacing w:before="10" w:after="10"/>
            </w:pPr>
            <w:r/>
            <w:r>
              <w:rPr>
                <w:sz w:val="16"/>
              </w:rPr>
              <w:t>Bosnia and Herz.</w:t>
            </w:r>
          </w:p>
        </w:tc>
        <w:tc>
          <w:tcPr>
            <w:tcW w:w="950" w:type="dxa"/>
          </w:tcPr>
          <w:p>
            <w:pPr>
              <w:jc w:val="right"/>
              <w:spacing w:before="10" w:after="10"/>
            </w:pPr>
            <w:r/>
            <w:r>
              <w:rPr>
                <w:sz w:val="16"/>
              </w:rPr>
              <w:t>$1.19</w:t>
            </w:r>
          </w:p>
        </w:tc>
        <w:tc>
          <w:tcPr>
            <w:tcW w:w="950" w:type="dxa"/>
          </w:tcPr>
          <w:p>
            <w:pPr>
              <w:jc w:val="right"/>
              <w:spacing w:before="10" w:after="10"/>
            </w:pPr>
            <w:r/>
            <w:r>
              <w:rPr>
                <w:sz w:val="16"/>
              </w:rPr>
              <w:t>$0.081</w:t>
            </w:r>
          </w:p>
        </w:tc>
        <w:tc>
          <w:tcPr>
            <w:tcW w:w="950" w:type="dxa"/>
          </w:tcPr>
          <w:p>
            <w:pPr>
              <w:jc w:val="right"/>
              <w:spacing w:before="10" w:after="10"/>
            </w:pPr>
            <w:r/>
            <w:r>
              <w:rPr>
                <w:sz w:val="16"/>
              </w:rPr>
              <w:t>$0.050</w:t>
            </w:r>
          </w:p>
        </w:tc>
        <w:tc>
          <w:tcPr>
            <w:tcW w:w="550" w:type="dxa"/>
          </w:tcPr>
          <w:p>
            <w:pPr>
              <w:jc w:val="right"/>
              <w:spacing w:before="10" w:after="10"/>
            </w:pPr>
            <w:r/>
            <w:r>
              <w:rPr>
                <w:sz w:val="16"/>
              </w:rPr>
              <w:t>1.18</w:t>
            </w:r>
          </w:p>
        </w:tc>
        <w:tc>
          <w:tcPr>
            <w:tcW w:w="950" w:type="dxa"/>
          </w:tcPr>
          <w:p>
            <w:pPr>
              <w:jc w:val="right"/>
              <w:spacing w:before="10" w:after="10"/>
            </w:pPr>
            <w:r/>
            <w:r>
              <w:rPr>
                <w:sz w:val="16"/>
              </w:rPr>
              <w:t>$0.099</w:t>
            </w:r>
          </w:p>
        </w:tc>
        <w:tc>
          <w:tcPr>
            <w:tcW w:w="950" w:type="dxa"/>
          </w:tcPr>
          <w:p>
            <w:pPr>
              <w:spacing w:before="10" w:after="10"/>
            </w:pPr>
            <w:r/>
            <w:r>
              <w:rPr>
                <w:sz w:val="16"/>
              </w:rPr>
              <w:t>hybrid</w:t>
            </w:r>
          </w:p>
        </w:tc>
      </w:tr>
      <w:tr>
        <w:tc>
          <w:tcPr>
            <w:tcW w:w="500" w:type="dxa"/>
          </w:tcPr>
          <w:p>
            <w:pPr>
              <w:spacing w:before="10" w:after="10"/>
            </w:pPr>
            <w:r/>
            <w:r>
              <w:rPr>
                <w:sz w:val="16"/>
              </w:rPr>
              <w:t>36</w:t>
            </w:r>
          </w:p>
        </w:tc>
        <w:tc>
          <w:tcPr>
            <w:tcW w:w="1800" w:type="dxa"/>
          </w:tcPr>
          <w:p>
            <w:pPr>
              <w:spacing w:before="10" w:after="10"/>
            </w:pPr>
            <w:r/>
            <w:r>
              <w:rPr>
                <w:sz w:val="16"/>
              </w:rPr>
              <w:t>Belarus</w:t>
            </w:r>
          </w:p>
        </w:tc>
        <w:tc>
          <w:tcPr>
            <w:tcW w:w="950" w:type="dxa"/>
          </w:tcPr>
          <w:p>
            <w:pPr>
              <w:jc w:val="right"/>
              <w:spacing w:before="10" w:after="10"/>
            </w:pPr>
            <w:r/>
            <w:r>
              <w:rPr>
                <w:sz w:val="16"/>
              </w:rPr>
              <w:t>$1.19</w:t>
            </w:r>
          </w:p>
        </w:tc>
        <w:tc>
          <w:tcPr>
            <w:tcW w:w="950" w:type="dxa"/>
          </w:tcPr>
          <w:p>
            <w:pPr>
              <w:jc w:val="right"/>
              <w:spacing w:before="10" w:after="10"/>
            </w:pPr>
            <w:r/>
            <w:r>
              <w:rPr>
                <w:sz w:val="16"/>
              </w:rPr>
              <w:t>$0.080</w:t>
            </w:r>
          </w:p>
        </w:tc>
        <w:tc>
          <w:tcPr>
            <w:tcW w:w="950" w:type="dxa"/>
          </w:tcPr>
          <w:p>
            <w:pPr>
              <w:jc w:val="right"/>
              <w:spacing w:before="10" w:after="10"/>
            </w:pPr>
            <w:r/>
            <w:r>
              <w:rPr>
                <w:sz w:val="16"/>
              </w:rPr>
              <w:t>$0.052</w:t>
            </w:r>
          </w:p>
        </w:tc>
        <w:tc>
          <w:tcPr>
            <w:tcW w:w="550" w:type="dxa"/>
          </w:tcPr>
          <w:p>
            <w:pPr>
              <w:jc w:val="right"/>
              <w:spacing w:before="10" w:after="10"/>
            </w:pPr>
            <w:r/>
            <w:r>
              <w:rPr>
                <w:sz w:val="16"/>
              </w:rPr>
              <w:t>1.15</w:t>
            </w:r>
          </w:p>
        </w:tc>
        <w:tc>
          <w:tcPr>
            <w:tcW w:w="950" w:type="dxa"/>
          </w:tcPr>
          <w:p>
            <w:pPr>
              <w:jc w:val="right"/>
              <w:spacing w:before="10" w:after="10"/>
            </w:pPr>
            <w:r/>
            <w:r>
              <w:rPr>
                <w:sz w:val="16"/>
              </w:rPr>
              <w:t>$0.099</w:t>
            </w:r>
          </w:p>
        </w:tc>
        <w:tc>
          <w:tcPr>
            <w:tcW w:w="950" w:type="dxa"/>
          </w:tcPr>
          <w:p>
            <w:pPr>
              <w:spacing w:before="10" w:after="10"/>
            </w:pPr>
            <w:r/>
            <w:r>
              <w:rPr>
                <w:sz w:val="16"/>
              </w:rPr>
              <w:t>import</w:t>
            </w:r>
          </w:p>
        </w:tc>
      </w:tr>
      <w:tr>
        <w:tc>
          <w:tcPr>
            <w:tcW w:w="500" w:type="dxa"/>
          </w:tcPr>
          <w:p>
            <w:pPr>
              <w:spacing w:before="10" w:after="10"/>
            </w:pPr>
            <w:r/>
            <w:r>
              <w:rPr>
                <w:sz w:val="16"/>
              </w:rPr>
              <w:t>42</w:t>
            </w:r>
          </w:p>
        </w:tc>
        <w:tc>
          <w:tcPr>
            <w:tcW w:w="1800" w:type="dxa"/>
          </w:tcPr>
          <w:p>
            <w:pPr>
              <w:spacing w:before="10" w:after="10"/>
            </w:pPr>
            <w:r/>
            <w:r>
              <w:rPr>
                <w:sz w:val="16"/>
              </w:rPr>
              <w:t>Armenia</w:t>
            </w:r>
          </w:p>
        </w:tc>
        <w:tc>
          <w:tcPr>
            <w:tcW w:w="950" w:type="dxa"/>
          </w:tcPr>
          <w:p>
            <w:pPr>
              <w:jc w:val="right"/>
              <w:spacing w:before="10" w:after="10"/>
            </w:pPr>
            <w:r/>
            <w:r>
              <w:rPr>
                <w:sz w:val="16"/>
              </w:rPr>
              <w:t>$1.20</w:t>
            </w:r>
          </w:p>
        </w:tc>
        <w:tc>
          <w:tcPr>
            <w:tcW w:w="950" w:type="dxa"/>
          </w:tcPr>
          <w:p>
            <w:pPr>
              <w:jc w:val="right"/>
              <w:spacing w:before="10" w:after="10"/>
            </w:pPr>
            <w:r/>
            <w:r>
              <w:rPr>
                <w:sz w:val="16"/>
              </w:rPr>
              <w:t>$0.089</w:t>
            </w:r>
          </w:p>
        </w:tc>
        <w:tc>
          <w:tcPr>
            <w:tcW w:w="950" w:type="dxa"/>
          </w:tcPr>
          <w:p>
            <w:pPr>
              <w:jc w:val="right"/>
              <w:spacing w:before="10" w:after="10"/>
            </w:pPr>
            <w:r/>
            <w:r>
              <w:rPr>
                <w:sz w:val="16"/>
              </w:rPr>
              <w:t>$0.049</w:t>
            </w:r>
          </w:p>
        </w:tc>
        <w:tc>
          <w:tcPr>
            <w:tcW w:w="550" w:type="dxa"/>
          </w:tcPr>
          <w:p>
            <w:pPr>
              <w:jc w:val="right"/>
              <w:spacing w:before="10" w:after="10"/>
            </w:pPr>
            <w:r/>
            <w:r>
              <w:rPr>
                <w:sz w:val="16"/>
              </w:rPr>
              <w:t>1.15</w:t>
            </w:r>
          </w:p>
        </w:tc>
        <w:tc>
          <w:tcPr>
            <w:tcW w:w="950" w:type="dxa"/>
          </w:tcPr>
          <w:p>
            <w:pPr>
              <w:jc w:val="right"/>
              <w:spacing w:before="10" w:after="10"/>
            </w:pPr>
            <w:r/>
            <w:r>
              <w:rPr>
                <w:sz w:val="16"/>
              </w:rPr>
              <w:t>$0.111</w:t>
            </w:r>
          </w:p>
        </w:tc>
        <w:tc>
          <w:tcPr>
            <w:tcW w:w="950" w:type="dxa"/>
          </w:tcPr>
          <w:p>
            <w:pPr>
              <w:spacing w:before="10" w:after="10"/>
            </w:pPr>
            <w:r/>
            <w:r>
              <w:rPr>
                <w:sz w:val="16"/>
              </w:rPr>
              <w:t>import</w:t>
            </w:r>
          </w:p>
        </w:tc>
      </w:tr>
      <w:tr>
        <w:tc>
          <w:tcPr>
            <w:tcW w:w="500" w:type="dxa"/>
          </w:tcPr>
          <w:p>
            <w:pPr>
              <w:spacing w:before="10" w:after="10"/>
            </w:pPr>
            <w:r/>
            <w:r>
              <w:rPr>
                <w:sz w:val="16"/>
              </w:rPr>
              <w:t>45</w:t>
            </w:r>
          </w:p>
        </w:tc>
        <w:tc>
          <w:tcPr>
            <w:tcW w:w="1800" w:type="dxa"/>
          </w:tcPr>
          <w:p>
            <w:pPr>
              <w:spacing w:before="10" w:after="10"/>
            </w:pPr>
            <w:r/>
            <w:r>
              <w:rPr>
                <w:sz w:val="16"/>
              </w:rPr>
              <w:t>Latvia</w:t>
            </w:r>
          </w:p>
        </w:tc>
        <w:tc>
          <w:tcPr>
            <w:tcW w:w="950" w:type="dxa"/>
          </w:tcPr>
          <w:p>
            <w:pPr>
              <w:jc w:val="right"/>
              <w:spacing w:before="10" w:after="10"/>
            </w:pPr>
            <w:r/>
            <w:r>
              <w:rPr>
                <w:sz w:val="16"/>
              </w:rPr>
              <w:t>$1.20</w:t>
            </w:r>
          </w:p>
        </w:tc>
        <w:tc>
          <w:tcPr>
            <w:tcW w:w="950" w:type="dxa"/>
          </w:tcPr>
          <w:p>
            <w:pPr>
              <w:jc w:val="right"/>
              <w:spacing w:before="10" w:after="10"/>
            </w:pPr>
            <w:r/>
            <w:r>
              <w:rPr>
                <w:sz w:val="16"/>
              </w:rPr>
              <w:t>$0.087</w:t>
            </w:r>
          </w:p>
        </w:tc>
        <w:tc>
          <w:tcPr>
            <w:tcW w:w="950" w:type="dxa"/>
          </w:tcPr>
          <w:p>
            <w:pPr>
              <w:jc w:val="right"/>
              <w:spacing w:before="10" w:after="10"/>
            </w:pPr>
            <w:r/>
            <w:r>
              <w:rPr>
                <w:sz w:val="16"/>
              </w:rPr>
              <w:t>$0.056</w:t>
            </w:r>
          </w:p>
        </w:tc>
        <w:tc>
          <w:tcPr>
            <w:tcW w:w="550" w:type="dxa"/>
          </w:tcPr>
          <w:p>
            <w:pPr>
              <w:jc w:val="right"/>
              <w:spacing w:before="10" w:after="10"/>
            </w:pPr>
            <w:r/>
            <w:r>
              <w:rPr>
                <w:sz w:val="16"/>
              </w:rPr>
              <w:t>1.13</w:t>
            </w:r>
          </w:p>
        </w:tc>
        <w:tc>
          <w:tcPr>
            <w:tcW w:w="950" w:type="dxa"/>
          </w:tcPr>
          <w:p>
            <w:pPr>
              <w:jc w:val="right"/>
              <w:spacing w:before="10" w:after="10"/>
            </w:pPr>
            <w:r/>
            <w:r>
              <w:rPr>
                <w:sz w:val="16"/>
              </w:rPr>
              <w:t>$0.110</w:t>
            </w:r>
          </w:p>
        </w:tc>
        <w:tc>
          <w:tcPr>
            <w:tcW w:w="950" w:type="dxa"/>
          </w:tcPr>
          <w:p>
            <w:pPr>
              <w:spacing w:before="10" w:after="10"/>
            </w:pPr>
            <w:r/>
            <w:r>
              <w:rPr>
                <w:sz w:val="16"/>
              </w:rPr>
              <w:t>import</w:t>
            </w:r>
          </w:p>
        </w:tc>
      </w:tr>
      <w:tr>
        <w:tc>
          <w:tcPr>
            <w:tcW w:w="500" w:type="dxa"/>
          </w:tcPr>
          <w:p>
            <w:pPr>
              <w:spacing w:before="10" w:after="10"/>
            </w:pPr>
            <w:r/>
            <w:r>
              <w:rPr>
                <w:sz w:val="16"/>
              </w:rPr>
              <w:t>47</w:t>
            </w:r>
          </w:p>
        </w:tc>
        <w:tc>
          <w:tcPr>
            <w:tcW w:w="1800" w:type="dxa"/>
          </w:tcPr>
          <w:p>
            <w:pPr>
              <w:spacing w:before="10" w:after="10"/>
            </w:pPr>
            <w:r/>
            <w:r>
              <w:rPr>
                <w:sz w:val="16"/>
              </w:rPr>
              <w:t>Poland</w:t>
            </w:r>
          </w:p>
        </w:tc>
        <w:tc>
          <w:tcPr>
            <w:tcW w:w="950" w:type="dxa"/>
          </w:tcPr>
          <w:p>
            <w:pPr>
              <w:jc w:val="right"/>
              <w:spacing w:before="10" w:after="10"/>
            </w:pPr>
            <w:r/>
            <w:r>
              <w:rPr>
                <w:sz w:val="16"/>
              </w:rPr>
              <w:t>$1.20</w:t>
            </w:r>
          </w:p>
        </w:tc>
        <w:tc>
          <w:tcPr>
            <w:tcW w:w="950" w:type="dxa"/>
          </w:tcPr>
          <w:p>
            <w:pPr>
              <w:jc w:val="right"/>
              <w:spacing w:before="10" w:after="10"/>
            </w:pPr>
            <w:r/>
            <w:r>
              <w:rPr>
                <w:sz w:val="16"/>
              </w:rPr>
              <w:t>$0.096</w:t>
            </w:r>
          </w:p>
        </w:tc>
        <w:tc>
          <w:tcPr>
            <w:tcW w:w="950" w:type="dxa"/>
          </w:tcPr>
          <w:p>
            <w:pPr>
              <w:jc w:val="right"/>
              <w:spacing w:before="10" w:after="10"/>
            </w:pPr>
            <w:r/>
            <w:r>
              <w:rPr>
                <w:sz w:val="16"/>
              </w:rPr>
              <w:t>$0.049</w:t>
            </w:r>
          </w:p>
        </w:tc>
        <w:tc>
          <w:tcPr>
            <w:tcW w:w="550" w:type="dxa"/>
          </w:tcPr>
          <w:p>
            <w:pPr>
              <w:jc w:val="right"/>
              <w:spacing w:before="10" w:after="10"/>
            </w:pPr>
            <w:r/>
            <w:r>
              <w:rPr>
                <w:sz w:val="16"/>
              </w:rPr>
              <w:t>1.15</w:t>
            </w:r>
          </w:p>
        </w:tc>
        <w:tc>
          <w:tcPr>
            <w:tcW w:w="950" w:type="dxa"/>
          </w:tcPr>
          <w:p>
            <w:pPr>
              <w:jc w:val="right"/>
              <w:spacing w:before="10" w:after="10"/>
            </w:pPr>
            <w:r/>
            <w:r>
              <w:rPr>
                <w:sz w:val="16"/>
              </w:rPr>
              <w:t>$0.119</w:t>
            </w:r>
          </w:p>
        </w:tc>
        <w:tc>
          <w:tcPr>
            <w:tcW w:w="950" w:type="dxa"/>
          </w:tcPr>
          <w:p>
            <w:pPr>
              <w:spacing w:before="10" w:after="10"/>
            </w:pPr>
            <w:r/>
            <w:r>
              <w:rPr>
                <w:sz w:val="16"/>
              </w:rPr>
              <w:t>import</w:t>
            </w:r>
          </w:p>
        </w:tc>
      </w:tr>
      <w:tr>
        <w:tc>
          <w:tcPr>
            <w:tcW w:w="500" w:type="dxa"/>
          </w:tcPr>
          <w:p>
            <w:pPr>
              <w:spacing w:before="10" w:after="10"/>
            </w:pPr>
            <w:r/>
            <w:r>
              <w:rPr>
                <w:sz w:val="16"/>
              </w:rPr>
              <w:t>55</w:t>
            </w:r>
          </w:p>
        </w:tc>
        <w:tc>
          <w:tcPr>
            <w:tcW w:w="1800" w:type="dxa"/>
          </w:tcPr>
          <w:p>
            <w:pPr>
              <w:spacing w:before="10" w:after="10"/>
            </w:pPr>
            <w:r/>
            <w:r>
              <w:rPr>
                <w:sz w:val="16"/>
              </w:rPr>
              <w:t>Serbia</w:t>
            </w:r>
          </w:p>
        </w:tc>
        <w:tc>
          <w:tcPr>
            <w:tcW w:w="950" w:type="dxa"/>
          </w:tcPr>
          <w:p>
            <w:pPr>
              <w:jc w:val="right"/>
              <w:spacing w:before="10" w:after="10"/>
            </w:pPr>
            <w:r/>
            <w:r>
              <w:rPr>
                <w:sz w:val="16"/>
              </w:rPr>
              <w:t>$1.21</w:t>
            </w:r>
          </w:p>
        </w:tc>
        <w:tc>
          <w:tcPr>
            <w:tcW w:w="950" w:type="dxa"/>
          </w:tcPr>
          <w:p>
            <w:pPr>
              <w:jc w:val="right"/>
              <w:spacing w:before="10" w:after="10"/>
            </w:pPr>
            <w:r/>
            <w:r>
              <w:rPr>
                <w:sz w:val="16"/>
              </w:rPr>
              <w:t>$0.101</w:t>
            </w:r>
          </w:p>
        </w:tc>
        <w:tc>
          <w:tcPr>
            <w:tcW w:w="950" w:type="dxa"/>
          </w:tcPr>
          <w:p>
            <w:pPr>
              <w:jc w:val="right"/>
              <w:spacing w:before="10" w:after="10"/>
            </w:pPr>
            <w:r/>
            <w:r>
              <w:rPr>
                <w:sz w:val="16"/>
              </w:rPr>
              <w:t>$0.052</w:t>
            </w:r>
          </w:p>
        </w:tc>
        <w:tc>
          <w:tcPr>
            <w:tcW w:w="550" w:type="dxa"/>
          </w:tcPr>
          <w:p>
            <w:pPr>
              <w:jc w:val="right"/>
              <w:spacing w:before="10" w:after="10"/>
            </w:pPr>
            <w:r/>
            <w:r>
              <w:rPr>
                <w:sz w:val="16"/>
              </w:rPr>
              <w:t>1.20</w:t>
            </w:r>
          </w:p>
        </w:tc>
        <w:tc>
          <w:tcPr>
            <w:tcW w:w="950" w:type="dxa"/>
          </w:tcPr>
          <w:p>
            <w:pPr>
              <w:jc w:val="right"/>
              <w:spacing w:before="10" w:after="10"/>
            </w:pPr>
            <w:r/>
            <w:r>
              <w:rPr>
                <w:sz w:val="16"/>
              </w:rPr>
              <w:t>$0.120</w:t>
            </w:r>
          </w:p>
        </w:tc>
        <w:tc>
          <w:tcPr>
            <w:tcW w:w="950" w:type="dxa"/>
          </w:tcPr>
          <w:p>
            <w:pPr>
              <w:spacing w:before="10" w:after="10"/>
            </w:pPr>
            <w:r/>
            <w:r>
              <w:rPr>
                <w:sz w:val="16"/>
              </w:rPr>
              <w:t>import</w:t>
            </w:r>
          </w:p>
        </w:tc>
      </w:tr>
      <w:tr>
        <w:tc>
          <w:tcPr>
            <w:tcW w:w="500" w:type="dxa"/>
          </w:tcPr>
          <w:p>
            <w:pPr>
              <w:spacing w:before="10" w:after="10"/>
            </w:pPr>
            <w:r/>
            <w:r>
              <w:rPr>
                <w:sz w:val="16"/>
              </w:rPr>
              <w:t>58</w:t>
            </w:r>
          </w:p>
        </w:tc>
        <w:tc>
          <w:tcPr>
            <w:tcW w:w="1800" w:type="dxa"/>
          </w:tcPr>
          <w:p>
            <w:pPr>
              <w:spacing w:before="10" w:after="10"/>
            </w:pPr>
            <w:r/>
            <w:r>
              <w:rPr>
                <w:sz w:val="16"/>
              </w:rPr>
              <w:t>Estonia</w:t>
            </w:r>
          </w:p>
        </w:tc>
        <w:tc>
          <w:tcPr>
            <w:tcW w:w="950" w:type="dxa"/>
          </w:tcPr>
          <w:p>
            <w:pPr>
              <w:jc w:val="right"/>
              <w:spacing w:before="10" w:after="10"/>
            </w:pPr>
            <w:r/>
            <w:r>
              <w:rPr>
                <w:sz w:val="16"/>
              </w:rPr>
              <w:t>$1.22</w:t>
            </w:r>
          </w:p>
        </w:tc>
        <w:tc>
          <w:tcPr>
            <w:tcW w:w="950" w:type="dxa"/>
          </w:tcPr>
          <w:p>
            <w:pPr>
              <w:jc w:val="right"/>
              <w:spacing w:before="10" w:after="10"/>
            </w:pPr>
            <w:r/>
            <w:r>
              <w:rPr>
                <w:sz w:val="16"/>
              </w:rPr>
              <w:t>$0.102</w:t>
            </w:r>
          </w:p>
        </w:tc>
        <w:tc>
          <w:tcPr>
            <w:tcW w:w="950" w:type="dxa"/>
          </w:tcPr>
          <w:p>
            <w:pPr>
              <w:jc w:val="right"/>
              <w:spacing w:before="10" w:after="10"/>
            </w:pPr>
            <w:r/>
            <w:r>
              <w:rPr>
                <w:sz w:val="16"/>
              </w:rPr>
              <w:t>$0.058</w:t>
            </w:r>
          </w:p>
        </w:tc>
        <w:tc>
          <w:tcPr>
            <w:tcW w:w="550" w:type="dxa"/>
          </w:tcPr>
          <w:p>
            <w:pPr>
              <w:jc w:val="right"/>
              <w:spacing w:before="10" w:after="10"/>
            </w:pPr>
            <w:r/>
            <w:r>
              <w:rPr>
                <w:sz w:val="16"/>
              </w:rPr>
              <w:t>1.13</w:t>
            </w:r>
          </w:p>
        </w:tc>
        <w:tc>
          <w:tcPr>
            <w:tcW w:w="950" w:type="dxa"/>
          </w:tcPr>
          <w:p>
            <w:pPr>
              <w:jc w:val="right"/>
              <w:spacing w:before="10" w:after="10"/>
            </w:pPr>
            <w:r/>
            <w:r>
              <w:rPr>
                <w:sz w:val="16"/>
              </w:rPr>
              <w:t>$0.129</w:t>
            </w:r>
          </w:p>
        </w:tc>
        <w:tc>
          <w:tcPr>
            <w:tcW w:w="950" w:type="dxa"/>
          </w:tcPr>
          <w:p>
            <w:pPr>
              <w:spacing w:before="10" w:after="10"/>
            </w:pPr>
            <w:r/>
            <w:r>
              <w:rPr>
                <w:sz w:val="16"/>
              </w:rPr>
              <w:t>import</w:t>
            </w:r>
          </w:p>
        </w:tc>
      </w:tr>
      <w:tr>
        <w:tc>
          <w:tcPr>
            <w:tcW w:w="500" w:type="dxa"/>
          </w:tcPr>
          <w:p>
            <w:pPr>
              <w:spacing w:before="10" w:after="10"/>
            </w:pPr>
            <w:r/>
            <w:r>
              <w:rPr>
                <w:sz w:val="16"/>
              </w:rPr>
              <w:t>62</w:t>
            </w:r>
          </w:p>
        </w:tc>
        <w:tc>
          <w:tcPr>
            <w:tcW w:w="1800" w:type="dxa"/>
          </w:tcPr>
          <w:p>
            <w:pPr>
              <w:spacing w:before="10" w:after="10"/>
            </w:pPr>
            <w:r/>
            <w:r>
              <w:rPr>
                <w:sz w:val="16"/>
              </w:rPr>
              <w:t>Moldova</w:t>
            </w:r>
          </w:p>
        </w:tc>
        <w:tc>
          <w:tcPr>
            <w:tcW w:w="950" w:type="dxa"/>
          </w:tcPr>
          <w:p>
            <w:pPr>
              <w:jc w:val="right"/>
              <w:spacing w:before="10" w:after="10"/>
            </w:pPr>
            <w:r/>
            <w:r>
              <w:rPr>
                <w:sz w:val="16"/>
              </w:rPr>
              <w:t>$1.22</w:t>
            </w:r>
          </w:p>
        </w:tc>
        <w:tc>
          <w:tcPr>
            <w:tcW w:w="950" w:type="dxa"/>
          </w:tcPr>
          <w:p>
            <w:pPr>
              <w:jc w:val="right"/>
              <w:spacing w:before="10" w:after="10"/>
            </w:pPr>
            <w:r/>
            <w:r>
              <w:rPr>
                <w:sz w:val="16"/>
              </w:rPr>
              <w:t>$0.115</w:t>
            </w:r>
          </w:p>
        </w:tc>
        <w:tc>
          <w:tcPr>
            <w:tcW w:w="950" w:type="dxa"/>
          </w:tcPr>
          <w:p>
            <w:pPr>
              <w:jc w:val="right"/>
              <w:spacing w:before="10" w:after="10"/>
            </w:pPr>
            <w:r/>
            <w:r>
              <w:rPr>
                <w:sz w:val="16"/>
              </w:rPr>
              <w:t>$0.048</w:t>
            </w:r>
          </w:p>
        </w:tc>
        <w:tc>
          <w:tcPr>
            <w:tcW w:w="550" w:type="dxa"/>
          </w:tcPr>
          <w:p>
            <w:pPr>
              <w:jc w:val="right"/>
              <w:spacing w:before="10" w:after="10"/>
            </w:pPr>
            <w:r/>
            <w:r>
              <w:rPr>
                <w:sz w:val="16"/>
              </w:rPr>
              <w:t>1.22</w:t>
            </w:r>
          </w:p>
        </w:tc>
        <w:tc>
          <w:tcPr>
            <w:tcW w:w="950" w:type="dxa"/>
          </w:tcPr>
          <w:p>
            <w:pPr>
              <w:jc w:val="right"/>
              <w:spacing w:before="10" w:after="10"/>
            </w:pPr>
            <w:r/>
            <w:r>
              <w:rPr>
                <w:sz w:val="16"/>
              </w:rPr>
              <w:t>$0.135</w:t>
            </w:r>
          </w:p>
        </w:tc>
        <w:tc>
          <w:tcPr>
            <w:tcW w:w="950" w:type="dxa"/>
          </w:tcPr>
          <w:p>
            <w:pPr>
              <w:spacing w:before="10" w:after="10"/>
            </w:pPr>
            <w:r/>
            <w:r>
              <w:rPr>
                <w:sz w:val="16"/>
              </w:rPr>
              <w:t>import</w:t>
            </w:r>
          </w:p>
        </w:tc>
      </w:tr>
      <w:tr>
        <w:tc>
          <w:tcPr>
            <w:tcW w:w="500" w:type="dxa"/>
          </w:tcPr>
          <w:p>
            <w:pPr>
              <w:spacing w:before="10" w:after="10"/>
            </w:pPr>
            <w:r/>
            <w:r>
              <w:rPr>
                <w:sz w:val="16"/>
              </w:rPr>
              <w:t>64</w:t>
            </w:r>
          </w:p>
        </w:tc>
        <w:tc>
          <w:tcPr>
            <w:tcW w:w="1800" w:type="dxa"/>
          </w:tcPr>
          <w:p>
            <w:pPr>
              <w:spacing w:before="10" w:after="10"/>
            </w:pPr>
            <w:r/>
            <w:r>
              <w:rPr>
                <w:sz w:val="16"/>
              </w:rPr>
              <w:t>Lithuania</w:t>
            </w:r>
          </w:p>
        </w:tc>
        <w:tc>
          <w:tcPr>
            <w:tcW w:w="950" w:type="dxa"/>
          </w:tcPr>
          <w:p>
            <w:pPr>
              <w:jc w:val="right"/>
              <w:spacing w:before="10" w:after="10"/>
            </w:pPr>
            <w:r/>
            <w:r>
              <w:rPr>
                <w:sz w:val="16"/>
              </w:rPr>
              <w:t>$1.22</w:t>
            </w:r>
          </w:p>
        </w:tc>
        <w:tc>
          <w:tcPr>
            <w:tcW w:w="950" w:type="dxa"/>
          </w:tcPr>
          <w:p>
            <w:pPr>
              <w:jc w:val="right"/>
              <w:spacing w:before="10" w:after="10"/>
            </w:pPr>
            <w:r/>
            <w:r>
              <w:rPr>
                <w:sz w:val="16"/>
              </w:rPr>
              <w:t>$0.107</w:t>
            </w:r>
          </w:p>
        </w:tc>
        <w:tc>
          <w:tcPr>
            <w:tcW w:w="950" w:type="dxa"/>
          </w:tcPr>
          <w:p>
            <w:pPr>
              <w:jc w:val="right"/>
              <w:spacing w:before="10" w:after="10"/>
            </w:pPr>
            <w:r/>
            <w:r>
              <w:rPr>
                <w:sz w:val="16"/>
              </w:rPr>
              <w:t>$0.058</w:t>
            </w:r>
          </w:p>
        </w:tc>
        <w:tc>
          <w:tcPr>
            <w:tcW w:w="550" w:type="dxa"/>
          </w:tcPr>
          <w:p>
            <w:pPr>
              <w:jc w:val="right"/>
              <w:spacing w:before="10" w:after="10"/>
            </w:pPr>
            <w:r/>
            <w:r>
              <w:rPr>
                <w:sz w:val="16"/>
              </w:rPr>
              <w:t>1.14</w:t>
            </w:r>
          </w:p>
        </w:tc>
        <w:tc>
          <w:tcPr>
            <w:tcW w:w="950" w:type="dxa"/>
          </w:tcPr>
          <w:p>
            <w:pPr>
              <w:jc w:val="right"/>
              <w:spacing w:before="10" w:after="10"/>
            </w:pPr>
            <w:r/>
            <w:r>
              <w:rPr>
                <w:sz w:val="16"/>
              </w:rPr>
              <w:t>$0.134</w:t>
            </w:r>
          </w:p>
        </w:tc>
        <w:tc>
          <w:tcPr>
            <w:tcW w:w="950" w:type="dxa"/>
          </w:tcPr>
          <w:p>
            <w:pPr>
              <w:spacing w:before="10" w:after="10"/>
            </w:pPr>
            <w:r/>
            <w:r>
              <w:rPr>
                <w:sz w:val="16"/>
              </w:rPr>
              <w:t>import</w:t>
            </w:r>
          </w:p>
        </w:tc>
      </w:tr>
      <w:tr>
        <w:tc>
          <w:tcPr>
            <w:tcW w:w="500" w:type="dxa"/>
          </w:tcPr>
          <w:p>
            <w:pPr>
              <w:spacing w:before="10" w:after="10"/>
            </w:pPr>
            <w:r/>
            <w:r>
              <w:rPr>
                <w:sz w:val="16"/>
              </w:rPr>
              <w:t>66</w:t>
            </w:r>
          </w:p>
        </w:tc>
        <w:tc>
          <w:tcPr>
            <w:tcW w:w="1800" w:type="dxa"/>
          </w:tcPr>
          <w:p>
            <w:pPr>
              <w:spacing w:before="10" w:after="10"/>
            </w:pPr>
            <w:r/>
            <w:r>
              <w:rPr>
                <w:sz w:val="16"/>
              </w:rPr>
              <w:t>North Macedonia</w:t>
            </w:r>
          </w:p>
        </w:tc>
        <w:tc>
          <w:tcPr>
            <w:tcW w:w="950" w:type="dxa"/>
          </w:tcPr>
          <w:p>
            <w:pPr>
              <w:jc w:val="right"/>
              <w:spacing w:before="10" w:after="10"/>
            </w:pPr>
            <w:r/>
            <w:r>
              <w:rPr>
                <w:sz w:val="16"/>
              </w:rPr>
              <w:t>$1.22</w:t>
            </w:r>
          </w:p>
        </w:tc>
        <w:tc>
          <w:tcPr>
            <w:tcW w:w="950" w:type="dxa"/>
          </w:tcPr>
          <w:p>
            <w:pPr>
              <w:jc w:val="right"/>
              <w:spacing w:before="10" w:after="10"/>
            </w:pPr>
            <w:r/>
            <w:r>
              <w:rPr>
                <w:sz w:val="16"/>
              </w:rPr>
              <w:t>$0.115</w:t>
            </w:r>
          </w:p>
        </w:tc>
        <w:tc>
          <w:tcPr>
            <w:tcW w:w="950" w:type="dxa"/>
          </w:tcPr>
          <w:p>
            <w:pPr>
              <w:jc w:val="right"/>
              <w:spacing w:before="10" w:after="10"/>
            </w:pPr>
            <w:r/>
            <w:r>
              <w:rPr>
                <w:sz w:val="16"/>
              </w:rPr>
              <w:t>$0.051</w:t>
            </w:r>
          </w:p>
        </w:tc>
        <w:tc>
          <w:tcPr>
            <w:tcW w:w="550" w:type="dxa"/>
          </w:tcPr>
          <w:p>
            <w:pPr>
              <w:jc w:val="right"/>
              <w:spacing w:before="10" w:after="10"/>
            </w:pPr>
            <w:r/>
            <w:r>
              <w:rPr>
                <w:sz w:val="16"/>
              </w:rPr>
              <w:t>1.21</w:t>
            </w:r>
          </w:p>
        </w:tc>
        <w:tc>
          <w:tcPr>
            <w:tcW w:w="950" w:type="dxa"/>
          </w:tcPr>
          <w:p>
            <w:pPr>
              <w:jc w:val="right"/>
              <w:spacing w:before="10" w:after="10"/>
            </w:pPr>
            <w:r/>
            <w:r>
              <w:rPr>
                <w:sz w:val="16"/>
              </w:rPr>
              <w:t>$0.135</w:t>
            </w:r>
          </w:p>
        </w:tc>
        <w:tc>
          <w:tcPr>
            <w:tcW w:w="950" w:type="dxa"/>
          </w:tcPr>
          <w:p>
            <w:pPr>
              <w:spacing w:before="10" w:after="10"/>
            </w:pPr>
            <w:r/>
            <w:r>
              <w:rPr>
                <w:sz w:val="16"/>
              </w:rPr>
              <w:t>hybrid</w:t>
            </w:r>
          </w:p>
        </w:tc>
      </w:tr>
      <w:tr>
        <w:tc>
          <w:tcPr>
            <w:tcW w:w="500" w:type="dxa"/>
          </w:tcPr>
          <w:p>
            <w:pPr>
              <w:spacing w:before="10" w:after="10"/>
            </w:pPr>
            <w:r/>
            <w:r>
              <w:rPr>
                <w:sz w:val="16"/>
              </w:rPr>
              <w:t>68</w:t>
            </w:r>
          </w:p>
        </w:tc>
        <w:tc>
          <w:tcPr>
            <w:tcW w:w="1800" w:type="dxa"/>
          </w:tcPr>
          <w:p>
            <w:pPr>
              <w:spacing w:before="10" w:after="10"/>
            </w:pPr>
            <w:r/>
            <w:r>
              <w:rPr>
                <w:sz w:val="16"/>
              </w:rPr>
              <w:t>Albania</w:t>
            </w:r>
          </w:p>
        </w:tc>
        <w:tc>
          <w:tcPr>
            <w:tcW w:w="950" w:type="dxa"/>
          </w:tcPr>
          <w:p>
            <w:pPr>
              <w:jc w:val="right"/>
              <w:spacing w:before="10" w:after="10"/>
            </w:pPr>
            <w:r/>
            <w:r>
              <w:rPr>
                <w:sz w:val="16"/>
              </w:rPr>
              <w:t>$1.23</w:t>
            </w:r>
          </w:p>
        </w:tc>
        <w:tc>
          <w:tcPr>
            <w:tcW w:w="950" w:type="dxa"/>
          </w:tcPr>
          <w:p>
            <w:pPr>
              <w:jc w:val="right"/>
              <w:spacing w:before="10" w:after="10"/>
            </w:pPr>
            <w:r/>
            <w:r>
              <w:rPr>
                <w:sz w:val="16"/>
              </w:rPr>
              <w:t>$0.125</w:t>
            </w:r>
          </w:p>
        </w:tc>
        <w:tc>
          <w:tcPr>
            <w:tcW w:w="950" w:type="dxa"/>
          </w:tcPr>
          <w:p>
            <w:pPr>
              <w:jc w:val="right"/>
              <w:spacing w:before="10" w:after="10"/>
            </w:pPr>
            <w:r/>
            <w:r>
              <w:rPr>
                <w:sz w:val="16"/>
              </w:rPr>
              <w:t>$0.051</w:t>
            </w:r>
          </w:p>
        </w:tc>
        <w:tc>
          <w:tcPr>
            <w:tcW w:w="550" w:type="dxa"/>
          </w:tcPr>
          <w:p>
            <w:pPr>
              <w:jc w:val="right"/>
              <w:spacing w:before="10" w:after="10"/>
            </w:pPr>
            <w:r/>
            <w:r>
              <w:rPr>
                <w:sz w:val="16"/>
              </w:rPr>
              <w:t>1.21</w:t>
            </w:r>
          </w:p>
        </w:tc>
        <w:tc>
          <w:tcPr>
            <w:tcW w:w="950" w:type="dxa"/>
          </w:tcPr>
          <w:p>
            <w:pPr>
              <w:jc w:val="right"/>
              <w:spacing w:before="10" w:after="10"/>
            </w:pPr>
            <w:r/>
            <w:r>
              <w:rPr>
                <w:sz w:val="16"/>
              </w:rPr>
              <w:t>$0.147</w:t>
            </w:r>
          </w:p>
        </w:tc>
        <w:tc>
          <w:tcPr>
            <w:tcW w:w="950" w:type="dxa"/>
          </w:tcPr>
          <w:p>
            <w:pPr>
              <w:spacing w:before="10" w:after="10"/>
            </w:pPr>
            <w:r/>
            <w:r>
              <w:rPr>
                <w:sz w:val="16"/>
              </w:rPr>
              <w:t>import</w:t>
            </w:r>
          </w:p>
        </w:tc>
      </w:tr>
      <w:tr>
        <w:tc>
          <w:tcPr>
            <w:tcW w:w="500" w:type="dxa"/>
          </w:tcPr>
          <w:p>
            <w:pPr>
              <w:spacing w:before="10" w:after="10"/>
            </w:pPr>
            <w:r/>
            <w:r>
              <w:rPr>
                <w:sz w:val="16"/>
              </w:rPr>
              <w:t>69</w:t>
            </w:r>
          </w:p>
        </w:tc>
        <w:tc>
          <w:tcPr>
            <w:tcW w:w="1800" w:type="dxa"/>
          </w:tcPr>
          <w:p>
            <w:pPr>
              <w:spacing w:before="10" w:after="10"/>
            </w:pPr>
            <w:r/>
            <w:r>
              <w:rPr>
                <w:sz w:val="16"/>
              </w:rPr>
              <w:t>Slovenia</w:t>
            </w:r>
          </w:p>
        </w:tc>
        <w:tc>
          <w:tcPr>
            <w:tcW w:w="950" w:type="dxa"/>
          </w:tcPr>
          <w:p>
            <w:pPr>
              <w:jc w:val="right"/>
              <w:spacing w:before="10" w:after="10"/>
            </w:pPr>
            <w:r/>
            <w:r>
              <w:rPr>
                <w:sz w:val="16"/>
              </w:rPr>
              <w:t>$1.24</w:t>
            </w:r>
          </w:p>
        </w:tc>
        <w:tc>
          <w:tcPr>
            <w:tcW w:w="950" w:type="dxa"/>
          </w:tcPr>
          <w:p>
            <w:pPr>
              <w:jc w:val="right"/>
              <w:spacing w:before="10" w:after="10"/>
            </w:pPr>
            <w:r/>
            <w:r>
              <w:rPr>
                <w:sz w:val="16"/>
              </w:rPr>
              <w:t>$0.122</w:t>
            </w:r>
          </w:p>
        </w:tc>
        <w:tc>
          <w:tcPr>
            <w:tcW w:w="950" w:type="dxa"/>
          </w:tcPr>
          <w:p>
            <w:pPr>
              <w:jc w:val="right"/>
              <w:spacing w:before="10" w:after="10"/>
            </w:pPr>
            <w:r/>
            <w:r>
              <w:rPr>
                <w:sz w:val="16"/>
              </w:rPr>
              <w:t>$0.059</w:t>
            </w:r>
          </w:p>
        </w:tc>
        <w:tc>
          <w:tcPr>
            <w:tcW w:w="550" w:type="dxa"/>
          </w:tcPr>
          <w:p>
            <w:pPr>
              <w:jc w:val="right"/>
              <w:spacing w:before="10" w:after="10"/>
            </w:pPr>
            <w:r/>
            <w:r>
              <w:rPr>
                <w:sz w:val="16"/>
              </w:rPr>
              <w:t>1.18</w:t>
            </w:r>
          </w:p>
        </w:tc>
        <w:tc>
          <w:tcPr>
            <w:tcW w:w="950" w:type="dxa"/>
          </w:tcPr>
          <w:p>
            <w:pPr>
              <w:jc w:val="right"/>
              <w:spacing w:before="10" w:after="10"/>
            </w:pPr>
            <w:r/>
            <w:r>
              <w:rPr>
                <w:sz w:val="16"/>
              </w:rPr>
              <w:t>$0.147</w:t>
            </w:r>
          </w:p>
        </w:tc>
        <w:tc>
          <w:tcPr>
            <w:tcW w:w="950" w:type="dxa"/>
          </w:tcPr>
          <w:p>
            <w:pPr>
              <w:spacing w:before="10" w:after="10"/>
            </w:pPr>
            <w:r/>
            <w:r>
              <w:rPr>
                <w:sz w:val="16"/>
              </w:rPr>
              <w:t>import</w:t>
            </w:r>
          </w:p>
        </w:tc>
      </w:tr>
      <w:tr>
        <w:tc>
          <w:tcPr>
            <w:tcW w:w="500" w:type="dxa"/>
          </w:tcPr>
          <w:p>
            <w:pPr>
              <w:spacing w:before="10" w:after="10"/>
            </w:pPr>
            <w:r/>
            <w:r>
              <w:rPr>
                <w:sz w:val="16"/>
              </w:rPr>
              <w:t>70</w:t>
            </w:r>
          </w:p>
        </w:tc>
        <w:tc>
          <w:tcPr>
            <w:tcW w:w="1800" w:type="dxa"/>
          </w:tcPr>
          <w:p>
            <w:pPr>
              <w:spacing w:before="10" w:after="10"/>
            </w:pPr>
            <w:r/>
            <w:r>
              <w:rPr>
                <w:sz w:val="16"/>
              </w:rPr>
              <w:t>Romania</w:t>
            </w:r>
          </w:p>
        </w:tc>
        <w:tc>
          <w:tcPr>
            <w:tcW w:w="950" w:type="dxa"/>
          </w:tcPr>
          <w:p>
            <w:pPr>
              <w:jc w:val="right"/>
              <w:spacing w:before="10" w:after="10"/>
            </w:pPr>
            <w:r/>
            <w:r>
              <w:rPr>
                <w:sz w:val="16"/>
              </w:rPr>
              <w:t>$1.24</w:t>
            </w:r>
          </w:p>
        </w:tc>
        <w:tc>
          <w:tcPr>
            <w:tcW w:w="950" w:type="dxa"/>
          </w:tcPr>
          <w:p>
            <w:pPr>
              <w:jc w:val="right"/>
              <w:spacing w:before="10" w:after="10"/>
            </w:pPr>
            <w:r/>
            <w:r>
              <w:rPr>
                <w:sz w:val="16"/>
              </w:rPr>
              <w:t>$0.130</w:t>
            </w:r>
          </w:p>
        </w:tc>
        <w:tc>
          <w:tcPr>
            <w:tcW w:w="950" w:type="dxa"/>
          </w:tcPr>
          <w:p>
            <w:pPr>
              <w:jc w:val="right"/>
              <w:spacing w:before="10" w:after="10"/>
            </w:pPr>
            <w:r/>
            <w:r>
              <w:rPr>
                <w:sz w:val="16"/>
              </w:rPr>
              <w:t>$0.055</w:t>
            </w:r>
          </w:p>
        </w:tc>
        <w:tc>
          <w:tcPr>
            <w:tcW w:w="550" w:type="dxa"/>
          </w:tcPr>
          <w:p>
            <w:pPr>
              <w:jc w:val="right"/>
              <w:spacing w:before="10" w:after="10"/>
            </w:pPr>
            <w:r/>
            <w:r>
              <w:rPr>
                <w:sz w:val="16"/>
              </w:rPr>
              <w:t>1.19</w:t>
            </w:r>
          </w:p>
        </w:tc>
        <w:tc>
          <w:tcPr>
            <w:tcW w:w="950" w:type="dxa"/>
          </w:tcPr>
          <w:p>
            <w:pPr>
              <w:jc w:val="right"/>
              <w:spacing w:before="10" w:after="10"/>
            </w:pPr>
            <w:r/>
            <w:r>
              <w:rPr>
                <w:sz w:val="16"/>
              </w:rPr>
              <w:t>$0.156</w:t>
            </w:r>
          </w:p>
        </w:tc>
        <w:tc>
          <w:tcPr>
            <w:tcW w:w="950" w:type="dxa"/>
          </w:tcPr>
          <w:p>
            <w:pPr>
              <w:spacing w:before="10" w:after="10"/>
            </w:pPr>
            <w:r/>
            <w:r>
              <w:rPr>
                <w:sz w:val="16"/>
              </w:rPr>
              <w:t>import</w:t>
            </w:r>
          </w:p>
        </w:tc>
      </w:tr>
      <w:tr>
        <w:tc>
          <w:tcPr>
            <w:tcW w:w="500" w:type="dxa"/>
          </w:tcPr>
          <w:p>
            <w:pPr>
              <w:spacing w:before="10" w:after="10"/>
            </w:pPr>
            <w:r/>
            <w:r>
              <w:rPr>
                <w:sz w:val="16"/>
              </w:rPr>
              <w:t>72</w:t>
            </w:r>
          </w:p>
        </w:tc>
        <w:tc>
          <w:tcPr>
            <w:tcW w:w="1800" w:type="dxa"/>
          </w:tcPr>
          <w:p>
            <w:pPr>
              <w:spacing w:before="10" w:after="10"/>
            </w:pPr>
            <w:r/>
            <w:r>
              <w:rPr>
                <w:sz w:val="16"/>
              </w:rPr>
              <w:t>Bulgaria</w:t>
            </w:r>
          </w:p>
        </w:tc>
        <w:tc>
          <w:tcPr>
            <w:tcW w:w="950" w:type="dxa"/>
          </w:tcPr>
          <w:p>
            <w:pPr>
              <w:jc w:val="right"/>
              <w:spacing w:before="10" w:after="10"/>
            </w:pPr>
            <w:r/>
            <w:r>
              <w:rPr>
                <w:sz w:val="16"/>
              </w:rPr>
              <w:t>$1.24</w:t>
            </w:r>
          </w:p>
        </w:tc>
        <w:tc>
          <w:tcPr>
            <w:tcW w:w="950" w:type="dxa"/>
          </w:tcPr>
          <w:p>
            <w:pPr>
              <w:jc w:val="right"/>
              <w:spacing w:before="10" w:after="10"/>
            </w:pPr>
            <w:r/>
            <w:r>
              <w:rPr>
                <w:sz w:val="16"/>
              </w:rPr>
              <w:t>$0.131</w:t>
            </w:r>
          </w:p>
        </w:tc>
        <w:tc>
          <w:tcPr>
            <w:tcW w:w="950" w:type="dxa"/>
          </w:tcPr>
          <w:p>
            <w:pPr>
              <w:jc w:val="right"/>
              <w:spacing w:before="10" w:after="10"/>
            </w:pPr>
            <w:r/>
            <w:r>
              <w:rPr>
                <w:sz w:val="16"/>
              </w:rPr>
              <w:t>$0.054</w:t>
            </w:r>
          </w:p>
        </w:tc>
        <w:tc>
          <w:tcPr>
            <w:tcW w:w="550" w:type="dxa"/>
          </w:tcPr>
          <w:p>
            <w:pPr>
              <w:jc w:val="right"/>
              <w:spacing w:before="10" w:after="10"/>
            </w:pPr>
            <w:r/>
            <w:r>
              <w:rPr>
                <w:sz w:val="16"/>
              </w:rPr>
              <w:t>1.21</w:t>
            </w:r>
          </w:p>
        </w:tc>
        <w:tc>
          <w:tcPr>
            <w:tcW w:w="950" w:type="dxa"/>
          </w:tcPr>
          <w:p>
            <w:pPr>
              <w:jc w:val="right"/>
              <w:spacing w:before="10" w:after="10"/>
            </w:pPr>
            <w:r/>
            <w:r>
              <w:rPr>
                <w:sz w:val="16"/>
              </w:rPr>
              <w:t>$0.155</w:t>
            </w:r>
          </w:p>
        </w:tc>
        <w:tc>
          <w:tcPr>
            <w:tcW w:w="950" w:type="dxa"/>
          </w:tcPr>
          <w:p>
            <w:pPr>
              <w:spacing w:before="10" w:after="10"/>
            </w:pPr>
            <w:r/>
            <w:r>
              <w:rPr>
                <w:sz w:val="16"/>
              </w:rPr>
              <w:t>import</w:t>
            </w:r>
          </w:p>
        </w:tc>
      </w:tr>
      <w:tr>
        <w:tc>
          <w:tcPr>
            <w:tcW w:w="500" w:type="dxa"/>
          </w:tcPr>
          <w:p>
            <w:pPr>
              <w:spacing w:before="10" w:after="10"/>
            </w:pPr>
            <w:r/>
            <w:r>
              <w:rPr>
                <w:sz w:val="16"/>
              </w:rPr>
              <w:t>76</w:t>
            </w:r>
          </w:p>
        </w:tc>
        <w:tc>
          <w:tcPr>
            <w:tcW w:w="1800" w:type="dxa"/>
          </w:tcPr>
          <w:p>
            <w:pPr>
              <w:spacing w:before="10" w:after="10"/>
            </w:pPr>
            <w:r/>
            <w:r>
              <w:rPr>
                <w:sz w:val="16"/>
              </w:rPr>
              <w:t>Slovakia</w:t>
            </w:r>
          </w:p>
        </w:tc>
        <w:tc>
          <w:tcPr>
            <w:tcW w:w="950" w:type="dxa"/>
          </w:tcPr>
          <w:p>
            <w:pPr>
              <w:jc w:val="right"/>
              <w:spacing w:before="10" w:after="10"/>
            </w:pPr>
            <w:r/>
            <w:r>
              <w:rPr>
                <w:sz w:val="16"/>
              </w:rPr>
              <w:t>$1.25</w:t>
            </w:r>
          </w:p>
        </w:tc>
        <w:tc>
          <w:tcPr>
            <w:tcW w:w="950" w:type="dxa"/>
          </w:tcPr>
          <w:p>
            <w:pPr>
              <w:jc w:val="right"/>
              <w:spacing w:before="10" w:after="10"/>
            </w:pPr>
            <w:r/>
            <w:r>
              <w:rPr>
                <w:sz w:val="16"/>
              </w:rPr>
              <w:t>$0.135</w:t>
            </w:r>
          </w:p>
        </w:tc>
        <w:tc>
          <w:tcPr>
            <w:tcW w:w="950" w:type="dxa"/>
          </w:tcPr>
          <w:p>
            <w:pPr>
              <w:jc w:val="right"/>
              <w:spacing w:before="10" w:after="10"/>
            </w:pPr>
            <w:r/>
            <w:r>
              <w:rPr>
                <w:sz w:val="16"/>
              </w:rPr>
              <w:t>$0.056</w:t>
            </w:r>
          </w:p>
        </w:tc>
        <w:tc>
          <w:tcPr>
            <w:tcW w:w="550" w:type="dxa"/>
          </w:tcPr>
          <w:p>
            <w:pPr>
              <w:jc w:val="right"/>
              <w:spacing w:before="10" w:after="10"/>
            </w:pPr>
            <w:r/>
            <w:r>
              <w:rPr>
                <w:sz w:val="16"/>
              </w:rPr>
              <w:t>1.17</w:t>
            </w:r>
          </w:p>
        </w:tc>
        <w:tc>
          <w:tcPr>
            <w:tcW w:w="950" w:type="dxa"/>
          </w:tcPr>
          <w:p>
            <w:pPr>
              <w:jc w:val="right"/>
              <w:spacing w:before="10" w:after="10"/>
            </w:pPr>
            <w:r/>
            <w:r>
              <w:rPr>
                <w:sz w:val="16"/>
              </w:rPr>
              <w:t>$0.164</w:t>
            </w:r>
          </w:p>
        </w:tc>
        <w:tc>
          <w:tcPr>
            <w:tcW w:w="950" w:type="dxa"/>
          </w:tcPr>
          <w:p>
            <w:pPr>
              <w:spacing w:before="10" w:after="10"/>
            </w:pPr>
            <w:r/>
            <w:r>
              <w:rPr>
                <w:sz w:val="16"/>
              </w:rPr>
              <w:t>import</w:t>
            </w:r>
          </w:p>
        </w:tc>
      </w:tr>
      <w:tr>
        <w:tc>
          <w:tcPr>
            <w:tcW w:w="500" w:type="dxa"/>
          </w:tcPr>
          <w:p>
            <w:pPr>
              <w:spacing w:before="10" w:after="10"/>
            </w:pPr>
            <w:r/>
            <w:r>
              <w:rPr>
                <w:sz w:val="16"/>
              </w:rPr>
              <w:t>78</w:t>
            </w:r>
          </w:p>
        </w:tc>
        <w:tc>
          <w:tcPr>
            <w:tcW w:w="1800" w:type="dxa"/>
          </w:tcPr>
          <w:p>
            <w:pPr>
              <w:spacing w:before="10" w:after="10"/>
            </w:pPr>
            <w:r/>
            <w:r>
              <w:rPr>
                <w:sz w:val="16"/>
              </w:rPr>
              <w:t>Czechia</w:t>
            </w:r>
          </w:p>
        </w:tc>
        <w:tc>
          <w:tcPr>
            <w:tcW w:w="950" w:type="dxa"/>
          </w:tcPr>
          <w:p>
            <w:pPr>
              <w:jc w:val="right"/>
              <w:spacing w:before="10" w:after="10"/>
            </w:pPr>
            <w:r/>
            <w:r>
              <w:rPr>
                <w:sz w:val="16"/>
              </w:rPr>
              <w:t>$1.25</w:t>
            </w:r>
          </w:p>
        </w:tc>
        <w:tc>
          <w:tcPr>
            <w:tcW w:w="950" w:type="dxa"/>
          </w:tcPr>
          <w:p>
            <w:pPr>
              <w:jc w:val="right"/>
              <w:spacing w:before="10" w:after="10"/>
            </w:pPr>
            <w:r/>
            <w:r>
              <w:rPr>
                <w:sz w:val="16"/>
              </w:rPr>
              <w:t>$0.138</w:t>
            </w:r>
          </w:p>
        </w:tc>
        <w:tc>
          <w:tcPr>
            <w:tcW w:w="950" w:type="dxa"/>
          </w:tcPr>
          <w:p>
            <w:pPr>
              <w:jc w:val="right"/>
              <w:spacing w:before="10" w:after="10"/>
            </w:pPr>
            <w:r/>
            <w:r>
              <w:rPr>
                <w:sz w:val="16"/>
              </w:rPr>
              <w:t>$0.057</w:t>
            </w:r>
          </w:p>
        </w:tc>
        <w:tc>
          <w:tcPr>
            <w:tcW w:w="550" w:type="dxa"/>
          </w:tcPr>
          <w:p>
            <w:pPr>
              <w:jc w:val="right"/>
              <w:spacing w:before="10" w:after="10"/>
            </w:pPr>
            <w:r/>
            <w:r>
              <w:rPr>
                <w:sz w:val="16"/>
              </w:rPr>
              <w:t>1.14</w:t>
            </w:r>
          </w:p>
        </w:tc>
        <w:tc>
          <w:tcPr>
            <w:tcW w:w="950" w:type="dxa"/>
          </w:tcPr>
          <w:p>
            <w:pPr>
              <w:jc w:val="right"/>
              <w:spacing w:before="10" w:after="10"/>
            </w:pPr>
            <w:r/>
            <w:r>
              <w:rPr>
                <w:sz w:val="16"/>
              </w:rPr>
              <w:t>$0.172</w:t>
            </w:r>
          </w:p>
        </w:tc>
        <w:tc>
          <w:tcPr>
            <w:tcW w:w="950" w:type="dxa"/>
          </w:tcPr>
          <w:p>
            <w:pPr>
              <w:spacing w:before="10" w:after="10"/>
            </w:pPr>
            <w:r/>
            <w:r>
              <w:rPr>
                <w:sz w:val="16"/>
              </w:rPr>
              <w:t>import</w:t>
            </w:r>
          </w:p>
        </w:tc>
      </w:tr>
      <w:tr>
        <w:tc>
          <w:tcPr>
            <w:tcW w:w="500" w:type="dxa"/>
          </w:tcPr>
          <w:p>
            <w:pPr>
              <w:spacing w:before="10" w:after="10"/>
            </w:pPr>
            <w:r/>
            <w:r>
              <w:rPr>
                <w:sz w:val="16"/>
              </w:rPr>
              <w:t>80</w:t>
            </w:r>
          </w:p>
        </w:tc>
        <w:tc>
          <w:tcPr>
            <w:tcW w:w="1800" w:type="dxa"/>
          </w:tcPr>
          <w:p>
            <w:pPr>
              <w:spacing w:before="10" w:after="10"/>
            </w:pPr>
            <w:r/>
            <w:r>
              <w:rPr>
                <w:sz w:val="16"/>
              </w:rPr>
              <w:t>Hungary</w:t>
            </w:r>
          </w:p>
        </w:tc>
        <w:tc>
          <w:tcPr>
            <w:tcW w:w="950" w:type="dxa"/>
          </w:tcPr>
          <w:p>
            <w:pPr>
              <w:jc w:val="right"/>
              <w:spacing w:before="10" w:after="10"/>
            </w:pPr>
            <w:r/>
            <w:r>
              <w:rPr>
                <w:sz w:val="16"/>
              </w:rPr>
              <w:t>$1.26</w:t>
            </w:r>
          </w:p>
        </w:tc>
        <w:tc>
          <w:tcPr>
            <w:tcW w:w="950" w:type="dxa"/>
          </w:tcPr>
          <w:p>
            <w:pPr>
              <w:jc w:val="right"/>
              <w:spacing w:before="10" w:after="10"/>
            </w:pPr>
            <w:r/>
            <w:r>
              <w:rPr>
                <w:sz w:val="16"/>
              </w:rPr>
              <w:t>$0.149</w:t>
            </w:r>
          </w:p>
        </w:tc>
        <w:tc>
          <w:tcPr>
            <w:tcW w:w="950" w:type="dxa"/>
          </w:tcPr>
          <w:p>
            <w:pPr>
              <w:jc w:val="right"/>
              <w:spacing w:before="10" w:after="10"/>
            </w:pPr>
            <w:r/>
            <w:r>
              <w:rPr>
                <w:sz w:val="16"/>
              </w:rPr>
              <w:t>$0.056</w:t>
            </w:r>
          </w:p>
        </w:tc>
        <w:tc>
          <w:tcPr>
            <w:tcW w:w="550" w:type="dxa"/>
          </w:tcPr>
          <w:p>
            <w:pPr>
              <w:jc w:val="right"/>
              <w:spacing w:before="10" w:after="10"/>
            </w:pPr>
            <w:r/>
            <w:r>
              <w:rPr>
                <w:sz w:val="16"/>
              </w:rPr>
              <w:t>1.21</w:t>
            </w:r>
          </w:p>
        </w:tc>
        <w:tc>
          <w:tcPr>
            <w:tcW w:w="950" w:type="dxa"/>
          </w:tcPr>
          <w:p>
            <w:pPr>
              <w:jc w:val="right"/>
              <w:spacing w:before="10" w:after="10"/>
            </w:pPr>
            <w:r/>
            <w:r>
              <w:rPr>
                <w:sz w:val="16"/>
              </w:rPr>
              <w:t>$0.176</w:t>
            </w:r>
          </w:p>
        </w:tc>
        <w:tc>
          <w:tcPr>
            <w:tcW w:w="950" w:type="dxa"/>
          </w:tcPr>
          <w:p>
            <w:pPr>
              <w:spacing w:before="10" w:after="10"/>
            </w:pPr>
            <w:r/>
            <w:r>
              <w:rPr>
                <w:sz w:val="16"/>
              </w:rPr>
              <w:t>import</w:t>
            </w:r>
          </w:p>
        </w:tc>
      </w:tr>
      <w:tr>
        <w:tc>
          <w:tcPr>
            <w:tcW w:w="500" w:type="dxa"/>
          </w:tcPr>
          <w:p>
            <w:pPr>
              <w:spacing w:before="10" w:after="10"/>
            </w:pPr>
            <w:r/>
            <w:r>
              <w:rPr>
                <w:sz w:val="16"/>
              </w:rPr>
              <w:t>85</w:t>
            </w:r>
          </w:p>
        </w:tc>
        <w:tc>
          <w:tcPr>
            <w:tcW w:w="1800" w:type="dxa"/>
          </w:tcPr>
          <w:p>
            <w:pPr>
              <w:spacing w:before="10" w:after="10"/>
            </w:pPr>
            <w:r/>
            <w:r>
              <w:rPr>
                <w:sz w:val="16"/>
              </w:rPr>
              <w:t>Croatia</w:t>
            </w:r>
          </w:p>
        </w:tc>
        <w:tc>
          <w:tcPr>
            <w:tcW w:w="950" w:type="dxa"/>
          </w:tcPr>
          <w:p>
            <w:pPr>
              <w:jc w:val="right"/>
              <w:spacing w:before="10" w:after="10"/>
            </w:pPr>
            <w:r/>
            <w:r>
              <w:rPr>
                <w:sz w:val="16"/>
              </w:rPr>
              <w:t>$1.29</w:t>
            </w:r>
          </w:p>
        </w:tc>
        <w:tc>
          <w:tcPr>
            <w:tcW w:w="950" w:type="dxa"/>
          </w:tcPr>
          <w:p>
            <w:pPr>
              <w:jc w:val="right"/>
              <w:spacing w:before="10" w:after="10"/>
            </w:pPr>
            <w:r/>
            <w:r>
              <w:rPr>
                <w:sz w:val="16"/>
              </w:rPr>
              <w:t>$0.174</w:t>
            </w:r>
          </w:p>
        </w:tc>
        <w:tc>
          <w:tcPr>
            <w:tcW w:w="950" w:type="dxa"/>
          </w:tcPr>
          <w:p>
            <w:pPr>
              <w:jc w:val="right"/>
              <w:spacing w:before="10" w:after="10"/>
            </w:pPr>
            <w:r/>
            <w:r>
              <w:rPr>
                <w:sz w:val="16"/>
              </w:rPr>
              <w:t>$0.057</w:t>
            </w:r>
          </w:p>
        </w:tc>
        <w:tc>
          <w:tcPr>
            <w:tcW w:w="550" w:type="dxa"/>
          </w:tcPr>
          <w:p>
            <w:pPr>
              <w:jc w:val="right"/>
              <w:spacing w:before="10" w:after="10"/>
            </w:pPr>
            <w:r/>
            <w:r>
              <w:rPr>
                <w:sz w:val="16"/>
              </w:rPr>
              <w:t>1.21</w:t>
            </w:r>
          </w:p>
        </w:tc>
        <w:tc>
          <w:tcPr>
            <w:tcW w:w="950" w:type="dxa"/>
          </w:tcPr>
          <w:p>
            <w:pPr>
              <w:jc w:val="right"/>
              <w:spacing w:before="10" w:after="10"/>
            </w:pPr>
            <w:r/>
            <w:r>
              <w:rPr>
                <w:sz w:val="16"/>
              </w:rPr>
              <w:t>$0.206</w:t>
            </w:r>
          </w:p>
        </w:tc>
        <w:tc>
          <w:tcPr>
            <w:tcW w:w="950" w:type="dxa"/>
          </w:tcPr>
          <w:p>
            <w:pPr>
              <w:spacing w:before="10" w:after="10"/>
            </w:pPr>
            <w:r/>
            <w:r>
              <w:rPr>
                <w:sz w:val="16"/>
              </w:rPr>
              <w:t>import</w:t>
            </w:r>
          </w:p>
        </w:tc>
      </w:tr>
      <w:tr>
        <w:tc>
          <w:tcPr>
            <w:tcW w:w="500" w:type="dxa"/>
          </w:tcPr>
          <w:p>
            <w:pPr>
              <w:spacing w:before="10" w:after="10"/>
            </w:pPr>
            <w:r/>
            <w:r>
              <w:rPr>
                <w:sz w:val="16"/>
              </w:rPr>
            </w:r>
          </w:p>
        </w:tc>
        <w:tc>
          <w:tcPr>
            <w:tcW w:w="1800" w:type="dxa"/>
          </w:tcPr>
          <w:p>
            <w:pPr>
              <w:spacing w:before="10" w:after="10"/>
            </w:pPr>
            <w:r/>
            <w:r>
              <w:rPr>
                <w:sz w:val="16"/>
              </w:rPr>
              <w:t>Non-ECA comparators</w:t>
            </w:r>
          </w:p>
        </w:tc>
        <w:tc>
          <w:tcPr>
            <w:tcW w:w="950" w:type="dxa"/>
          </w:tcPr>
          <w:p>
            <w:pPr>
              <w:jc w:val="right"/>
              <w:spacing w:before="10" w:after="10"/>
            </w:pPr>
            <w:r/>
            <w:r>
              <w:rPr>
                <w:sz w:val="16"/>
              </w:rPr>
            </w:r>
          </w:p>
        </w:tc>
        <w:tc>
          <w:tcPr>
            <w:tcW w:w="950" w:type="dxa"/>
          </w:tcPr>
          <w:p>
            <w:pPr>
              <w:jc w:val="right"/>
              <w:spacing w:before="10" w:after="10"/>
            </w:pPr>
            <w:r/>
            <w:r>
              <w:rPr>
                <w:sz w:val="16"/>
              </w:rPr>
            </w:r>
          </w:p>
        </w:tc>
        <w:tc>
          <w:tcPr>
            <w:tcW w:w="950" w:type="dxa"/>
          </w:tcPr>
          <w:p>
            <w:pPr>
              <w:jc w:val="right"/>
              <w:spacing w:before="10" w:after="10"/>
            </w:pPr>
            <w:r/>
            <w:r>
              <w:rPr>
                <w:sz w:val="16"/>
              </w:rPr>
            </w:r>
          </w:p>
        </w:tc>
        <w:tc>
          <w:tcPr>
            <w:tcW w:w="550" w:type="dxa"/>
          </w:tcPr>
          <w:p>
            <w:pPr>
              <w:jc w:val="right"/>
              <w:spacing w:before="10" w:after="10"/>
            </w:pPr>
            <w:r/>
            <w:r>
              <w:rPr>
                <w:sz w:val="16"/>
              </w:rPr>
            </w:r>
          </w:p>
        </w:tc>
        <w:tc>
          <w:tcPr>
            <w:tcW w:w="950" w:type="dxa"/>
          </w:tcPr>
          <w:p>
            <w:pPr>
              <w:jc w:val="right"/>
              <w:spacing w:before="10" w:after="10"/>
            </w:pPr>
            <w:r/>
            <w:r>
              <w:rPr>
                <w:sz w:val="16"/>
              </w:rPr>
            </w:r>
          </w:p>
        </w:tc>
        <w:tc>
          <w:tcPr>
            <w:tcW w:w="950" w:type="dxa"/>
          </w:tcPr>
          <w:p>
            <w:pPr>
              <w:spacing w:before="10" w:after="10"/>
            </w:pPr>
            <w:r/>
            <w:r>
              <w:rPr>
                <w:sz w:val="16"/>
              </w:rPr>
            </w:r>
          </w:p>
        </w:tc>
      </w:tr>
      <w:tr>
        <w:tc>
          <w:tcPr>
            <w:tcW w:w="500" w:type="dxa"/>
          </w:tcPr>
          <w:p>
            <w:pPr>
              <w:spacing w:before="10" w:after="10"/>
            </w:pPr>
            <w:r/>
            <w:r>
              <w:rPr>
                <w:sz w:val="16"/>
              </w:rPr>
              <w:t>1</w:t>
            </w:r>
          </w:p>
        </w:tc>
        <w:tc>
          <w:tcPr>
            <w:tcW w:w="1800" w:type="dxa"/>
          </w:tcPr>
          <w:p>
            <w:pPr>
              <w:spacing w:before="10" w:after="10"/>
            </w:pPr>
            <w:r/>
            <w:r>
              <w:rPr>
                <w:sz w:val="16"/>
              </w:rPr>
              <w:t>Iran</w:t>
            </w:r>
          </w:p>
        </w:tc>
        <w:tc>
          <w:tcPr>
            <w:tcW w:w="950" w:type="dxa"/>
          </w:tcPr>
          <w:p>
            <w:pPr>
              <w:jc w:val="right"/>
              <w:spacing w:before="10" w:after="10"/>
            </w:pPr>
            <w:r/>
            <w:r>
              <w:rPr>
                <w:sz w:val="16"/>
              </w:rPr>
              <w:t>$1.10</w:t>
            </w:r>
          </w:p>
        </w:tc>
        <w:tc>
          <w:tcPr>
            <w:tcW w:w="950" w:type="dxa"/>
          </w:tcPr>
          <w:p>
            <w:pPr>
              <w:jc w:val="right"/>
              <w:spacing w:before="10" w:after="10"/>
            </w:pPr>
            <w:r/>
            <w:r>
              <w:rPr>
                <w:sz w:val="16"/>
              </w:rPr>
              <w:t>$0.005</w:t>
            </w:r>
          </w:p>
        </w:tc>
        <w:tc>
          <w:tcPr>
            <w:tcW w:w="950" w:type="dxa"/>
          </w:tcPr>
          <w:p>
            <w:pPr>
              <w:jc w:val="right"/>
              <w:spacing w:before="10" w:after="10"/>
            </w:pPr>
            <w:r/>
            <w:r>
              <w:rPr>
                <w:sz w:val="16"/>
              </w:rPr>
              <w:t>$0.042</w:t>
            </w:r>
          </w:p>
        </w:tc>
        <w:tc>
          <w:tcPr>
            <w:tcW w:w="550" w:type="dxa"/>
          </w:tcPr>
          <w:p>
            <w:pPr>
              <w:jc w:val="right"/>
              <w:spacing w:before="10" w:after="10"/>
            </w:pPr>
            <w:r/>
            <w:r>
              <w:rPr>
                <w:sz w:val="16"/>
              </w:rPr>
              <w:t>1.32</w:t>
            </w:r>
          </w:p>
        </w:tc>
        <w:tc>
          <w:tcPr>
            <w:tcW w:w="950" w:type="dxa"/>
          </w:tcPr>
          <w:p>
            <w:pPr>
              <w:jc w:val="right"/>
              <w:spacing w:before="10" w:after="10"/>
            </w:pPr>
            <w:r/>
            <w:r>
              <w:rPr>
                <w:sz w:val="16"/>
              </w:rPr>
              <w:t>$0.005</w:t>
            </w:r>
          </w:p>
        </w:tc>
        <w:tc>
          <w:tcPr>
            <w:tcW w:w="950" w:type="dxa"/>
          </w:tcPr>
          <w:p>
            <w:pPr>
              <w:spacing w:before="10" w:after="10"/>
            </w:pPr>
            <w:r/>
            <w:r>
              <w:rPr>
                <w:sz w:val="16"/>
              </w:rPr>
              <w:t>domestic</w:t>
            </w:r>
          </w:p>
        </w:tc>
      </w:tr>
      <w:tr>
        <w:tc>
          <w:tcPr>
            <w:tcW w:w="500" w:type="dxa"/>
          </w:tcPr>
          <w:p>
            <w:pPr>
              <w:spacing w:before="10" w:after="10"/>
            </w:pPr>
            <w:r/>
            <w:r>
              <w:rPr>
                <w:sz w:val="16"/>
              </w:rPr>
              <w:t>4</w:t>
            </w:r>
          </w:p>
        </w:tc>
        <w:tc>
          <w:tcPr>
            <w:tcW w:w="1800" w:type="dxa"/>
          </w:tcPr>
          <w:p>
            <w:pPr>
              <w:spacing w:before="10" w:after="10"/>
            </w:pPr>
            <w:r/>
            <w:r>
              <w:rPr>
                <w:sz w:val="16"/>
              </w:rPr>
              <w:t>Ethiopia</w:t>
            </w:r>
          </w:p>
        </w:tc>
        <w:tc>
          <w:tcPr>
            <w:tcW w:w="950" w:type="dxa"/>
          </w:tcPr>
          <w:p>
            <w:pPr>
              <w:jc w:val="right"/>
              <w:spacing w:before="10" w:after="10"/>
            </w:pPr>
            <w:r/>
            <w:r>
              <w:rPr>
                <w:sz w:val="16"/>
              </w:rPr>
              <w:t>$1.13</w:t>
            </w:r>
          </w:p>
        </w:tc>
        <w:tc>
          <w:tcPr>
            <w:tcW w:w="950" w:type="dxa"/>
          </w:tcPr>
          <w:p>
            <w:pPr>
              <w:jc w:val="right"/>
              <w:spacing w:before="10" w:after="10"/>
            </w:pPr>
            <w:r/>
            <w:r>
              <w:rPr>
                <w:sz w:val="16"/>
              </w:rPr>
              <w:t>$0.026</w:t>
            </w:r>
          </w:p>
        </w:tc>
        <w:tc>
          <w:tcPr>
            <w:tcW w:w="950" w:type="dxa"/>
          </w:tcPr>
          <w:p>
            <w:pPr>
              <w:jc w:val="right"/>
              <w:spacing w:before="10" w:after="10"/>
            </w:pPr>
            <w:r/>
            <w:r>
              <w:rPr>
                <w:sz w:val="16"/>
              </w:rPr>
              <w:t>$0.045</w:t>
            </w:r>
          </w:p>
        </w:tc>
        <w:tc>
          <w:tcPr>
            <w:tcW w:w="550" w:type="dxa"/>
          </w:tcPr>
          <w:p>
            <w:pPr>
              <w:jc w:val="right"/>
              <w:spacing w:before="10" w:after="10"/>
            </w:pPr>
            <w:r/>
            <w:r>
              <w:rPr>
                <w:sz w:val="16"/>
              </w:rPr>
              <w:t>1.25</w:t>
            </w:r>
          </w:p>
        </w:tc>
        <w:tc>
          <w:tcPr>
            <w:tcW w:w="950" w:type="dxa"/>
          </w:tcPr>
          <w:p>
            <w:pPr>
              <w:jc w:val="right"/>
              <w:spacing w:before="10" w:after="10"/>
            </w:pPr>
            <w:r/>
            <w:r>
              <w:rPr>
                <w:sz w:val="16"/>
              </w:rPr>
              <w:t>$0.030</w:t>
            </w:r>
          </w:p>
        </w:tc>
        <w:tc>
          <w:tcPr>
            <w:tcW w:w="950" w:type="dxa"/>
          </w:tcPr>
          <w:p>
            <w:pPr>
              <w:spacing w:before="10" w:after="10"/>
            </w:pPr>
            <w:r/>
            <w:r>
              <w:rPr>
                <w:sz w:val="16"/>
              </w:rPr>
              <w:t>n/a</w:t>
            </w:r>
          </w:p>
        </w:tc>
      </w:tr>
      <w:tr>
        <w:tc>
          <w:tcPr>
            <w:tcW w:w="500" w:type="dxa"/>
          </w:tcPr>
          <w:p>
            <w:pPr>
              <w:spacing w:before="10" w:after="10"/>
            </w:pPr>
            <w:r/>
            <w:r>
              <w:rPr>
                <w:sz w:val="16"/>
              </w:rPr>
              <w:t>5</w:t>
            </w:r>
          </w:p>
        </w:tc>
        <w:tc>
          <w:tcPr>
            <w:tcW w:w="1800" w:type="dxa"/>
          </w:tcPr>
          <w:p>
            <w:pPr>
              <w:spacing w:before="10" w:after="10"/>
            </w:pPr>
            <w:r/>
            <w:r>
              <w:rPr>
                <w:sz w:val="16"/>
              </w:rPr>
              <w:t>Algeria</w:t>
            </w:r>
          </w:p>
        </w:tc>
        <w:tc>
          <w:tcPr>
            <w:tcW w:w="950" w:type="dxa"/>
          </w:tcPr>
          <w:p>
            <w:pPr>
              <w:jc w:val="right"/>
              <w:spacing w:before="10" w:after="10"/>
            </w:pPr>
            <w:r/>
            <w:r>
              <w:rPr>
                <w:sz w:val="16"/>
              </w:rPr>
              <w:t>$1.13</w:t>
            </w:r>
          </w:p>
        </w:tc>
        <w:tc>
          <w:tcPr>
            <w:tcW w:w="950" w:type="dxa"/>
          </w:tcPr>
          <w:p>
            <w:pPr>
              <w:jc w:val="right"/>
              <w:spacing w:before="10" w:after="10"/>
            </w:pPr>
            <w:r/>
            <w:r>
              <w:rPr>
                <w:sz w:val="16"/>
              </w:rPr>
              <w:t>$0.032</w:t>
            </w:r>
          </w:p>
        </w:tc>
        <w:tc>
          <w:tcPr>
            <w:tcW w:w="950" w:type="dxa"/>
          </w:tcPr>
          <w:p>
            <w:pPr>
              <w:jc w:val="right"/>
              <w:spacing w:before="10" w:after="10"/>
            </w:pPr>
            <w:r/>
            <w:r>
              <w:rPr>
                <w:sz w:val="16"/>
              </w:rPr>
              <w:t>$0.042</w:t>
            </w:r>
          </w:p>
        </w:tc>
        <w:tc>
          <w:tcPr>
            <w:tcW w:w="550" w:type="dxa"/>
          </w:tcPr>
          <w:p>
            <w:pPr>
              <w:jc w:val="right"/>
              <w:spacing w:before="10" w:after="10"/>
            </w:pPr>
            <w:r/>
            <w:r>
              <w:rPr>
                <w:sz w:val="16"/>
              </w:rPr>
              <w:t>1.39</w:t>
            </w:r>
          </w:p>
        </w:tc>
        <w:tc>
          <w:tcPr>
            <w:tcW w:w="950" w:type="dxa"/>
          </w:tcPr>
          <w:p>
            <w:pPr>
              <w:jc w:val="right"/>
              <w:spacing w:before="10" w:after="10"/>
            </w:pPr>
            <w:r/>
            <w:r>
              <w:rPr>
                <w:sz w:val="16"/>
              </w:rPr>
              <w:t>$0.033</w:t>
            </w:r>
          </w:p>
        </w:tc>
        <w:tc>
          <w:tcPr>
            <w:tcW w:w="950" w:type="dxa"/>
          </w:tcPr>
          <w:p>
            <w:pPr>
              <w:spacing w:before="10" w:after="10"/>
            </w:pPr>
            <w:r/>
            <w:r>
              <w:rPr>
                <w:sz w:val="16"/>
              </w:rPr>
              <w:t>hybrid</w:t>
            </w:r>
          </w:p>
        </w:tc>
      </w:tr>
      <w:tr>
        <w:tc>
          <w:tcPr>
            <w:tcW w:w="500" w:type="dxa"/>
          </w:tcPr>
          <w:p>
            <w:pPr>
              <w:spacing w:before="10" w:after="10"/>
            </w:pPr>
            <w:r/>
            <w:r>
              <w:rPr>
                <w:sz w:val="16"/>
              </w:rPr>
              <w:t>6</w:t>
            </w:r>
          </w:p>
        </w:tc>
        <w:tc>
          <w:tcPr>
            <w:tcW w:w="1800" w:type="dxa"/>
          </w:tcPr>
          <w:p>
            <w:pPr>
              <w:spacing w:before="10" w:after="10"/>
            </w:pPr>
            <w:r/>
            <w:r>
              <w:rPr>
                <w:sz w:val="16"/>
              </w:rPr>
              <w:t>Egypt</w:t>
            </w:r>
          </w:p>
        </w:tc>
        <w:tc>
          <w:tcPr>
            <w:tcW w:w="950" w:type="dxa"/>
          </w:tcPr>
          <w:p>
            <w:pPr>
              <w:jc w:val="right"/>
              <w:spacing w:before="10" w:after="10"/>
            </w:pPr>
            <w:r/>
            <w:r>
              <w:rPr>
                <w:sz w:val="16"/>
              </w:rPr>
              <w:t>$1.13</w:t>
            </w:r>
          </w:p>
        </w:tc>
        <w:tc>
          <w:tcPr>
            <w:tcW w:w="950" w:type="dxa"/>
          </w:tcPr>
          <w:p>
            <w:pPr>
              <w:jc w:val="right"/>
              <w:spacing w:before="10" w:after="10"/>
            </w:pPr>
            <w:r/>
            <w:r>
              <w:rPr>
                <w:sz w:val="16"/>
              </w:rPr>
              <w:t>$0.035</w:t>
            </w:r>
          </w:p>
        </w:tc>
        <w:tc>
          <w:tcPr>
            <w:tcW w:w="950" w:type="dxa"/>
          </w:tcPr>
          <w:p>
            <w:pPr>
              <w:jc w:val="right"/>
              <w:spacing w:before="10" w:after="10"/>
            </w:pPr>
            <w:r/>
            <w:r>
              <w:rPr>
                <w:sz w:val="16"/>
              </w:rPr>
              <w:t>$0.042</w:t>
            </w:r>
          </w:p>
        </w:tc>
        <w:tc>
          <w:tcPr>
            <w:tcW w:w="550" w:type="dxa"/>
          </w:tcPr>
          <w:p>
            <w:pPr>
              <w:jc w:val="right"/>
              <w:spacing w:before="10" w:after="10"/>
            </w:pPr>
            <w:r/>
            <w:r>
              <w:rPr>
                <w:sz w:val="16"/>
              </w:rPr>
              <w:t>1.33</w:t>
            </w:r>
          </w:p>
        </w:tc>
        <w:tc>
          <w:tcPr>
            <w:tcW w:w="950" w:type="dxa"/>
          </w:tcPr>
          <w:p>
            <w:pPr>
              <w:jc w:val="right"/>
              <w:spacing w:before="10" w:after="10"/>
            </w:pPr>
            <w:r/>
            <w:r>
              <w:rPr>
                <w:sz w:val="16"/>
              </w:rPr>
              <w:t>$0.038</w:t>
            </w:r>
          </w:p>
        </w:tc>
        <w:tc>
          <w:tcPr>
            <w:tcW w:w="950" w:type="dxa"/>
          </w:tcPr>
          <w:p>
            <w:pPr>
              <w:spacing w:before="10" w:after="10"/>
            </w:pPr>
            <w:r/>
            <w:r>
              <w:rPr>
                <w:sz w:val="16"/>
              </w:rPr>
              <w:t>hybrid</w:t>
            </w:r>
          </w:p>
        </w:tc>
      </w:tr>
      <w:tr>
        <w:tc>
          <w:tcPr>
            <w:tcW w:w="500" w:type="dxa"/>
          </w:tcPr>
          <w:p>
            <w:pPr>
              <w:spacing w:before="10" w:after="10"/>
            </w:pPr>
            <w:r/>
            <w:r>
              <w:rPr>
                <w:sz w:val="16"/>
              </w:rPr>
              <w:t>7</w:t>
            </w:r>
          </w:p>
        </w:tc>
        <w:tc>
          <w:tcPr>
            <w:tcW w:w="1800" w:type="dxa"/>
          </w:tcPr>
          <w:p>
            <w:pPr>
              <w:spacing w:before="10" w:after="10"/>
            </w:pPr>
            <w:r/>
            <w:r>
              <w:rPr>
                <w:sz w:val="16"/>
              </w:rPr>
              <w:t>Canada</w:t>
            </w:r>
          </w:p>
        </w:tc>
        <w:tc>
          <w:tcPr>
            <w:tcW w:w="950" w:type="dxa"/>
          </w:tcPr>
          <w:p>
            <w:pPr>
              <w:jc w:val="right"/>
              <w:spacing w:before="10" w:after="10"/>
            </w:pPr>
            <w:r/>
            <w:r>
              <w:rPr>
                <w:sz w:val="16"/>
              </w:rPr>
              <w:t>$1.14</w:t>
            </w:r>
          </w:p>
        </w:tc>
        <w:tc>
          <w:tcPr>
            <w:tcW w:w="950" w:type="dxa"/>
          </w:tcPr>
          <w:p>
            <w:pPr>
              <w:jc w:val="right"/>
              <w:spacing w:before="10" w:after="10"/>
            </w:pPr>
            <w:r/>
            <w:r>
              <w:rPr>
                <w:sz w:val="16"/>
              </w:rPr>
              <w:t>$0.034</w:t>
            </w:r>
          </w:p>
        </w:tc>
        <w:tc>
          <w:tcPr>
            <w:tcW w:w="950" w:type="dxa"/>
          </w:tcPr>
          <w:p>
            <w:pPr>
              <w:jc w:val="right"/>
              <w:spacing w:before="10" w:after="10"/>
            </w:pPr>
            <w:r/>
            <w:r>
              <w:rPr>
                <w:sz w:val="16"/>
              </w:rPr>
              <w:t>$0.050</w:t>
            </w:r>
          </w:p>
        </w:tc>
        <w:tc>
          <w:tcPr>
            <w:tcW w:w="550" w:type="dxa"/>
          </w:tcPr>
          <w:p>
            <w:pPr>
              <w:jc w:val="right"/>
              <w:spacing w:before="10" w:after="10"/>
            </w:pPr>
            <w:r/>
            <w:r>
              <w:rPr>
                <w:sz w:val="16"/>
              </w:rPr>
              <w:t>1.08</w:t>
            </w:r>
          </w:p>
        </w:tc>
        <w:tc>
          <w:tcPr>
            <w:tcW w:w="950" w:type="dxa"/>
          </w:tcPr>
          <w:p>
            <w:pPr>
              <w:jc w:val="right"/>
              <w:spacing w:before="10" w:after="10"/>
            </w:pPr>
            <w:r/>
            <w:r>
              <w:rPr>
                <w:sz w:val="16"/>
              </w:rPr>
              <w:t>$0.045</w:t>
            </w:r>
          </w:p>
        </w:tc>
        <w:tc>
          <w:tcPr>
            <w:tcW w:w="950" w:type="dxa"/>
          </w:tcPr>
          <w:p>
            <w:pPr>
              <w:spacing w:before="10" w:after="10"/>
            </w:pPr>
            <w:r/>
            <w:r>
              <w:rPr>
                <w:sz w:val="16"/>
              </w:rPr>
              <w:t>hybrid</w:t>
            </w:r>
          </w:p>
        </w:tc>
      </w:tr>
      <w:tr>
        <w:tc>
          <w:tcPr>
            <w:tcW w:w="500" w:type="dxa"/>
          </w:tcPr>
          <w:p>
            <w:pPr>
              <w:spacing w:before="10" w:after="10"/>
            </w:pPr>
            <w:r/>
            <w:r>
              <w:rPr>
                <w:sz w:val="16"/>
              </w:rPr>
              <w:t>10</w:t>
            </w:r>
          </w:p>
        </w:tc>
        <w:tc>
          <w:tcPr>
            <w:tcW w:w="1800" w:type="dxa"/>
          </w:tcPr>
          <w:p>
            <w:pPr>
              <w:spacing w:before="10" w:after="10"/>
            </w:pPr>
            <w:r/>
            <w:r>
              <w:rPr>
                <w:sz w:val="16"/>
              </w:rPr>
              <w:t>South Africa</w:t>
            </w:r>
          </w:p>
        </w:tc>
        <w:tc>
          <w:tcPr>
            <w:tcW w:w="950" w:type="dxa"/>
          </w:tcPr>
          <w:p>
            <w:pPr>
              <w:jc w:val="right"/>
              <w:spacing w:before="10" w:after="10"/>
            </w:pPr>
            <w:r/>
            <w:r>
              <w:rPr>
                <w:sz w:val="16"/>
              </w:rPr>
              <w:t>$1.14</w:t>
            </w:r>
          </w:p>
        </w:tc>
        <w:tc>
          <w:tcPr>
            <w:tcW w:w="950" w:type="dxa"/>
          </w:tcPr>
          <w:p>
            <w:pPr>
              <w:jc w:val="right"/>
              <w:spacing w:before="10" w:after="10"/>
            </w:pPr>
            <w:r/>
            <w:r>
              <w:rPr>
                <w:sz w:val="16"/>
              </w:rPr>
              <w:t>$0.034</w:t>
            </w:r>
          </w:p>
        </w:tc>
        <w:tc>
          <w:tcPr>
            <w:tcW w:w="950" w:type="dxa"/>
          </w:tcPr>
          <w:p>
            <w:pPr>
              <w:jc w:val="right"/>
              <w:spacing w:before="10" w:after="10"/>
            </w:pPr>
            <w:r/>
            <w:r>
              <w:rPr>
                <w:sz w:val="16"/>
              </w:rPr>
              <w:t>$0.054</w:t>
            </w:r>
          </w:p>
        </w:tc>
        <w:tc>
          <w:tcPr>
            <w:tcW w:w="550" w:type="dxa"/>
          </w:tcPr>
          <w:p>
            <w:pPr>
              <w:jc w:val="right"/>
              <w:spacing w:before="10" w:after="10"/>
            </w:pPr>
            <w:r/>
            <w:r>
              <w:rPr>
                <w:sz w:val="16"/>
              </w:rPr>
              <w:t>1.21</w:t>
            </w:r>
          </w:p>
        </w:tc>
        <w:tc>
          <w:tcPr>
            <w:tcW w:w="950" w:type="dxa"/>
          </w:tcPr>
          <w:p>
            <w:pPr>
              <w:jc w:val="right"/>
              <w:spacing w:before="10" w:after="10"/>
            </w:pPr>
            <w:r/>
            <w:r>
              <w:rPr>
                <w:sz w:val="16"/>
              </w:rPr>
              <w:t>$0.040</w:t>
            </w:r>
          </w:p>
        </w:tc>
        <w:tc>
          <w:tcPr>
            <w:tcW w:w="950" w:type="dxa"/>
          </w:tcPr>
          <w:p>
            <w:pPr>
              <w:spacing w:before="10" w:after="10"/>
            </w:pPr>
            <w:r/>
            <w:r>
              <w:rPr>
                <w:sz w:val="16"/>
              </w:rPr>
              <w:t>hybrid</w:t>
            </w:r>
          </w:p>
        </w:tc>
      </w:tr>
      <w:tr>
        <w:tc>
          <w:tcPr>
            <w:tcW w:w="500" w:type="dxa"/>
          </w:tcPr>
          <w:p>
            <w:pPr>
              <w:spacing w:before="10" w:after="10"/>
            </w:pPr>
            <w:r/>
            <w:r>
              <w:rPr>
                <w:sz w:val="16"/>
              </w:rPr>
              <w:t>13</w:t>
            </w:r>
          </w:p>
        </w:tc>
        <w:tc>
          <w:tcPr>
            <w:tcW w:w="1800" w:type="dxa"/>
          </w:tcPr>
          <w:p>
            <w:pPr>
              <w:spacing w:before="10" w:after="10"/>
            </w:pPr>
            <w:r/>
            <w:r>
              <w:rPr>
                <w:sz w:val="16"/>
              </w:rPr>
              <w:t>Nigeria</w:t>
            </w:r>
          </w:p>
        </w:tc>
        <w:tc>
          <w:tcPr>
            <w:tcW w:w="950" w:type="dxa"/>
          </w:tcPr>
          <w:p>
            <w:pPr>
              <w:jc w:val="right"/>
              <w:spacing w:before="10" w:after="10"/>
            </w:pPr>
            <w:r/>
            <w:r>
              <w:rPr>
                <w:sz w:val="16"/>
              </w:rPr>
              <w:t>$1.15</w:t>
            </w:r>
          </w:p>
        </w:tc>
        <w:tc>
          <w:tcPr>
            <w:tcW w:w="950" w:type="dxa"/>
          </w:tcPr>
          <w:p>
            <w:pPr>
              <w:jc w:val="right"/>
              <w:spacing w:before="10" w:after="10"/>
            </w:pPr>
            <w:r/>
            <w:r>
              <w:rPr>
                <w:sz w:val="16"/>
              </w:rPr>
              <w:t>$0.039</w:t>
            </w:r>
          </w:p>
        </w:tc>
        <w:tc>
          <w:tcPr>
            <w:tcW w:w="950" w:type="dxa"/>
          </w:tcPr>
          <w:p>
            <w:pPr>
              <w:jc w:val="right"/>
              <w:spacing w:before="10" w:after="10"/>
            </w:pPr>
            <w:r/>
            <w:r>
              <w:rPr>
                <w:sz w:val="16"/>
              </w:rPr>
              <w:t>$0.056</w:t>
            </w:r>
          </w:p>
        </w:tc>
        <w:tc>
          <w:tcPr>
            <w:tcW w:w="550" w:type="dxa"/>
          </w:tcPr>
          <w:p>
            <w:pPr>
              <w:jc w:val="right"/>
              <w:spacing w:before="10" w:after="10"/>
            </w:pPr>
            <w:r/>
            <w:r>
              <w:rPr>
                <w:sz w:val="16"/>
              </w:rPr>
              <w:t>1.33</w:t>
            </w:r>
          </w:p>
        </w:tc>
        <w:tc>
          <w:tcPr>
            <w:tcW w:w="950" w:type="dxa"/>
          </w:tcPr>
          <w:p>
            <w:pPr>
              <w:jc w:val="right"/>
              <w:spacing w:before="10" w:after="10"/>
            </w:pPr>
            <w:r/>
            <w:r>
              <w:rPr>
                <w:sz w:val="16"/>
              </w:rPr>
              <w:t>$0.042</w:t>
            </w:r>
          </w:p>
        </w:tc>
        <w:tc>
          <w:tcPr>
            <w:tcW w:w="950" w:type="dxa"/>
          </w:tcPr>
          <w:p>
            <w:pPr>
              <w:spacing w:before="10" w:after="10"/>
            </w:pPr>
            <w:r/>
            <w:r>
              <w:rPr>
                <w:sz w:val="16"/>
              </w:rPr>
              <w:t>hybrid</w:t>
            </w:r>
          </w:p>
        </w:tc>
      </w:tr>
      <w:tr>
        <w:tc>
          <w:tcPr>
            <w:tcW w:w="500" w:type="dxa"/>
          </w:tcPr>
          <w:p>
            <w:pPr>
              <w:spacing w:before="10" w:after="10"/>
            </w:pPr>
            <w:r/>
            <w:r>
              <w:rPr>
                <w:sz w:val="16"/>
              </w:rPr>
              <w:t>15</w:t>
            </w:r>
          </w:p>
        </w:tc>
        <w:tc>
          <w:tcPr>
            <w:tcW w:w="1800" w:type="dxa"/>
          </w:tcPr>
          <w:p>
            <w:pPr>
              <w:spacing w:before="10" w:after="10"/>
            </w:pPr>
            <w:r/>
            <w:r>
              <w:rPr>
                <w:sz w:val="16"/>
              </w:rPr>
              <w:t>China</w:t>
            </w:r>
          </w:p>
        </w:tc>
        <w:tc>
          <w:tcPr>
            <w:tcW w:w="950" w:type="dxa"/>
          </w:tcPr>
          <w:p>
            <w:pPr>
              <w:jc w:val="right"/>
              <w:spacing w:before="10" w:after="10"/>
            </w:pPr>
            <w:r/>
            <w:r>
              <w:rPr>
                <w:sz w:val="16"/>
              </w:rPr>
              <w:t>$1.15</w:t>
            </w:r>
          </w:p>
        </w:tc>
        <w:tc>
          <w:tcPr>
            <w:tcW w:w="950" w:type="dxa"/>
          </w:tcPr>
          <w:p>
            <w:pPr>
              <w:jc w:val="right"/>
              <w:spacing w:before="10" w:after="10"/>
            </w:pPr>
            <w:r/>
            <w:r>
              <w:rPr>
                <w:sz w:val="16"/>
              </w:rPr>
              <w:t>$0.065</w:t>
            </w:r>
          </w:p>
        </w:tc>
        <w:tc>
          <w:tcPr>
            <w:tcW w:w="950" w:type="dxa"/>
          </w:tcPr>
          <w:p>
            <w:pPr>
              <w:jc w:val="right"/>
              <w:spacing w:before="10" w:after="10"/>
            </w:pPr>
            <w:r/>
            <w:r>
              <w:rPr>
                <w:sz w:val="16"/>
              </w:rPr>
              <w:t>$0.033</w:t>
            </w:r>
          </w:p>
        </w:tc>
        <w:tc>
          <w:tcPr>
            <w:tcW w:w="550" w:type="dxa"/>
          </w:tcPr>
          <w:p>
            <w:pPr>
              <w:jc w:val="right"/>
              <w:spacing w:before="10" w:after="10"/>
            </w:pPr>
            <w:r/>
            <w:r>
              <w:rPr>
                <w:sz w:val="16"/>
              </w:rPr>
              <w:t>1.17</w:t>
            </w:r>
          </w:p>
        </w:tc>
        <w:tc>
          <w:tcPr>
            <w:tcW w:w="950" w:type="dxa"/>
          </w:tcPr>
          <w:p>
            <w:pPr>
              <w:jc w:val="right"/>
              <w:spacing w:before="10" w:after="10"/>
            </w:pPr>
            <w:r/>
            <w:r>
              <w:rPr>
                <w:sz w:val="16"/>
              </w:rPr>
              <w:t>$0.079</w:t>
            </w:r>
          </w:p>
        </w:tc>
        <w:tc>
          <w:tcPr>
            <w:tcW w:w="950" w:type="dxa"/>
          </w:tcPr>
          <w:p>
            <w:pPr>
              <w:spacing w:before="10" w:after="10"/>
            </w:pPr>
            <w:r/>
            <w:r>
              <w:rPr>
                <w:sz w:val="16"/>
              </w:rPr>
              <w:t>import</w:t>
            </w:r>
          </w:p>
        </w:tc>
      </w:tr>
      <w:tr>
        <w:tc>
          <w:tcPr>
            <w:tcW w:w="500" w:type="dxa"/>
          </w:tcPr>
          <w:p>
            <w:pPr>
              <w:spacing w:before="10" w:after="10"/>
            </w:pPr>
            <w:r/>
            <w:r>
              <w:rPr>
                <w:sz w:val="16"/>
              </w:rPr>
              <w:t>16</w:t>
            </w:r>
          </w:p>
        </w:tc>
        <w:tc>
          <w:tcPr>
            <w:tcW w:w="1800" w:type="dxa"/>
          </w:tcPr>
          <w:p>
            <w:pPr>
              <w:spacing w:before="10" w:after="10"/>
            </w:pPr>
            <w:r/>
            <w:r>
              <w:rPr>
                <w:sz w:val="16"/>
              </w:rPr>
              <w:t>Qatar</w:t>
            </w:r>
          </w:p>
        </w:tc>
        <w:tc>
          <w:tcPr>
            <w:tcW w:w="950" w:type="dxa"/>
          </w:tcPr>
          <w:p>
            <w:pPr>
              <w:jc w:val="right"/>
              <w:spacing w:before="10" w:after="10"/>
            </w:pPr>
            <w:r/>
            <w:r>
              <w:rPr>
                <w:sz w:val="16"/>
              </w:rPr>
              <w:t>$1.15</w:t>
            </w:r>
          </w:p>
        </w:tc>
        <w:tc>
          <w:tcPr>
            <w:tcW w:w="950" w:type="dxa"/>
          </w:tcPr>
          <w:p>
            <w:pPr>
              <w:jc w:val="right"/>
              <w:spacing w:before="10" w:after="10"/>
            </w:pPr>
            <w:r/>
            <w:r>
              <w:rPr>
                <w:sz w:val="16"/>
              </w:rPr>
              <w:t>$0.035</w:t>
            </w:r>
          </w:p>
        </w:tc>
        <w:tc>
          <w:tcPr>
            <w:tcW w:w="950" w:type="dxa"/>
          </w:tcPr>
          <w:p>
            <w:pPr>
              <w:jc w:val="right"/>
              <w:spacing w:before="10" w:after="10"/>
            </w:pPr>
            <w:r/>
            <w:r>
              <w:rPr>
                <w:sz w:val="16"/>
              </w:rPr>
              <w:t>$0.063</w:t>
            </w:r>
          </w:p>
        </w:tc>
        <w:tc>
          <w:tcPr>
            <w:tcW w:w="550" w:type="dxa"/>
          </w:tcPr>
          <w:p>
            <w:pPr>
              <w:jc w:val="right"/>
              <w:spacing w:before="10" w:after="10"/>
            </w:pPr>
            <w:r/>
            <w:r>
              <w:rPr>
                <w:sz w:val="16"/>
              </w:rPr>
              <w:t>1.40</w:t>
            </w:r>
          </w:p>
        </w:tc>
        <w:tc>
          <w:tcPr>
            <w:tcW w:w="950" w:type="dxa"/>
          </w:tcPr>
          <w:p>
            <w:pPr>
              <w:jc w:val="right"/>
              <w:spacing w:before="10" w:after="10"/>
            </w:pPr>
            <w:r/>
            <w:r>
              <w:rPr>
                <w:sz w:val="16"/>
              </w:rPr>
              <w:t>$0.036</w:t>
            </w:r>
          </w:p>
        </w:tc>
        <w:tc>
          <w:tcPr>
            <w:tcW w:w="950" w:type="dxa"/>
          </w:tcPr>
          <w:p>
            <w:pPr>
              <w:spacing w:before="10" w:after="10"/>
            </w:pPr>
            <w:r/>
            <w:r>
              <w:rPr>
                <w:sz w:val="16"/>
              </w:rPr>
              <w:t>n/a</w:t>
            </w:r>
          </w:p>
        </w:tc>
      </w:tr>
      <w:tr>
        <w:tc>
          <w:tcPr>
            <w:tcW w:w="500" w:type="dxa"/>
          </w:tcPr>
          <w:p>
            <w:pPr>
              <w:spacing w:before="10" w:after="10"/>
            </w:pPr>
            <w:r/>
            <w:r>
              <w:rPr>
                <w:sz w:val="16"/>
              </w:rPr>
              <w:t>17</w:t>
            </w:r>
          </w:p>
        </w:tc>
        <w:tc>
          <w:tcPr>
            <w:tcW w:w="1800" w:type="dxa"/>
          </w:tcPr>
          <w:p>
            <w:pPr>
              <w:spacing w:before="10" w:after="10"/>
            </w:pPr>
            <w:r/>
            <w:r>
              <w:rPr>
                <w:sz w:val="16"/>
              </w:rPr>
              <w:t>Argentina</w:t>
            </w:r>
          </w:p>
        </w:tc>
        <w:tc>
          <w:tcPr>
            <w:tcW w:w="950" w:type="dxa"/>
          </w:tcPr>
          <w:p>
            <w:pPr>
              <w:jc w:val="right"/>
              <w:spacing w:before="10" w:after="10"/>
            </w:pPr>
            <w:r/>
            <w:r>
              <w:rPr>
                <w:sz w:val="16"/>
              </w:rPr>
              <w:t>$1.16</w:t>
            </w:r>
          </w:p>
        </w:tc>
        <w:tc>
          <w:tcPr>
            <w:tcW w:w="950" w:type="dxa"/>
          </w:tcPr>
          <w:p>
            <w:pPr>
              <w:jc w:val="right"/>
              <w:spacing w:before="10" w:after="10"/>
            </w:pPr>
            <w:r/>
            <w:r>
              <w:rPr>
                <w:sz w:val="16"/>
              </w:rPr>
              <w:t>$0.050</w:t>
            </w:r>
          </w:p>
        </w:tc>
        <w:tc>
          <w:tcPr>
            <w:tcW w:w="950" w:type="dxa"/>
          </w:tcPr>
          <w:p>
            <w:pPr>
              <w:jc w:val="right"/>
              <w:spacing w:before="10" w:after="10"/>
            </w:pPr>
            <w:r/>
            <w:r>
              <w:rPr>
                <w:sz w:val="16"/>
              </w:rPr>
              <w:t>$0.052</w:t>
            </w:r>
          </w:p>
        </w:tc>
        <w:tc>
          <w:tcPr>
            <w:tcW w:w="550" w:type="dxa"/>
          </w:tcPr>
          <w:p>
            <w:pPr>
              <w:jc w:val="right"/>
              <w:spacing w:before="10" w:after="10"/>
            </w:pPr>
            <w:r/>
            <w:r>
              <w:rPr>
                <w:sz w:val="16"/>
              </w:rPr>
              <w:t>1.19</w:t>
            </w:r>
          </w:p>
        </w:tc>
        <w:tc>
          <w:tcPr>
            <w:tcW w:w="950" w:type="dxa"/>
          </w:tcPr>
          <w:p>
            <w:pPr>
              <w:jc w:val="right"/>
              <w:spacing w:before="10" w:after="10"/>
            </w:pPr>
            <w:r/>
            <w:r>
              <w:rPr>
                <w:sz w:val="16"/>
              </w:rPr>
              <w:t>$0.060</w:t>
            </w:r>
          </w:p>
        </w:tc>
        <w:tc>
          <w:tcPr>
            <w:tcW w:w="950" w:type="dxa"/>
          </w:tcPr>
          <w:p>
            <w:pPr>
              <w:spacing w:before="10" w:after="10"/>
            </w:pPr>
            <w:r/>
            <w:r>
              <w:rPr>
                <w:sz w:val="16"/>
              </w:rPr>
              <w:t>hybrid</w:t>
            </w:r>
          </w:p>
        </w:tc>
      </w:tr>
      <w:tr>
        <w:tc>
          <w:tcPr>
            <w:tcW w:w="500" w:type="dxa"/>
          </w:tcPr>
          <w:p>
            <w:pPr>
              <w:spacing w:before="10" w:after="10"/>
            </w:pPr>
            <w:r/>
            <w:r>
              <w:rPr>
                <w:sz w:val="16"/>
              </w:rPr>
              <w:t>19</w:t>
            </w:r>
          </w:p>
        </w:tc>
        <w:tc>
          <w:tcPr>
            <w:tcW w:w="1800" w:type="dxa"/>
          </w:tcPr>
          <w:p>
            <w:pPr>
              <w:spacing w:before="10" w:after="10"/>
            </w:pPr>
            <w:r/>
            <w:r>
              <w:rPr>
                <w:sz w:val="16"/>
              </w:rPr>
              <w:t>Colombia</w:t>
            </w:r>
          </w:p>
        </w:tc>
        <w:tc>
          <w:tcPr>
            <w:tcW w:w="950" w:type="dxa"/>
          </w:tcPr>
          <w:p>
            <w:pPr>
              <w:jc w:val="right"/>
              <w:spacing w:before="10" w:after="10"/>
            </w:pPr>
            <w:r/>
            <w:r>
              <w:rPr>
                <w:sz w:val="16"/>
              </w:rPr>
              <w:t>$1.16</w:t>
            </w:r>
          </w:p>
        </w:tc>
        <w:tc>
          <w:tcPr>
            <w:tcW w:w="950" w:type="dxa"/>
          </w:tcPr>
          <w:p>
            <w:pPr>
              <w:jc w:val="right"/>
              <w:spacing w:before="10" w:after="10"/>
            </w:pPr>
            <w:r/>
            <w:r>
              <w:rPr>
                <w:sz w:val="16"/>
              </w:rPr>
              <w:t>$0.065</w:t>
            </w:r>
          </w:p>
        </w:tc>
        <w:tc>
          <w:tcPr>
            <w:tcW w:w="950" w:type="dxa"/>
          </w:tcPr>
          <w:p>
            <w:pPr>
              <w:jc w:val="right"/>
              <w:spacing w:before="10" w:after="10"/>
            </w:pPr>
            <w:r/>
            <w:r>
              <w:rPr>
                <w:sz w:val="16"/>
              </w:rPr>
              <w:t>$0.040</w:t>
            </w:r>
          </w:p>
        </w:tc>
        <w:tc>
          <w:tcPr>
            <w:tcW w:w="550" w:type="dxa"/>
          </w:tcPr>
          <w:p>
            <w:pPr>
              <w:jc w:val="right"/>
              <w:spacing w:before="10" w:after="10"/>
            </w:pPr>
            <w:r/>
            <w:r>
              <w:rPr>
                <w:sz w:val="16"/>
              </w:rPr>
              <w:t>1.24</w:t>
            </w:r>
          </w:p>
        </w:tc>
        <w:tc>
          <w:tcPr>
            <w:tcW w:w="950" w:type="dxa"/>
          </w:tcPr>
          <w:p>
            <w:pPr>
              <w:jc w:val="right"/>
              <w:spacing w:before="10" w:after="10"/>
            </w:pPr>
            <w:r/>
            <w:r>
              <w:rPr>
                <w:sz w:val="16"/>
              </w:rPr>
              <w:t>$0.075</w:t>
            </w:r>
          </w:p>
        </w:tc>
        <w:tc>
          <w:tcPr>
            <w:tcW w:w="950" w:type="dxa"/>
          </w:tcPr>
          <w:p>
            <w:pPr>
              <w:spacing w:before="10" w:after="10"/>
            </w:pPr>
            <w:r/>
            <w:r>
              <w:rPr>
                <w:sz w:val="16"/>
              </w:rPr>
              <w:t>hybrid</w:t>
            </w:r>
          </w:p>
        </w:tc>
      </w:tr>
      <w:tr>
        <w:tc>
          <w:tcPr>
            <w:tcW w:w="500" w:type="dxa"/>
          </w:tcPr>
          <w:p>
            <w:pPr>
              <w:spacing w:before="10" w:after="10"/>
            </w:pPr>
            <w:r/>
            <w:r>
              <w:rPr>
                <w:sz w:val="16"/>
              </w:rPr>
              <w:t>20</w:t>
            </w:r>
          </w:p>
        </w:tc>
        <w:tc>
          <w:tcPr>
            <w:tcW w:w="1800" w:type="dxa"/>
          </w:tcPr>
          <w:p>
            <w:pPr>
              <w:spacing w:before="10" w:after="10"/>
            </w:pPr>
            <w:r/>
            <w:r>
              <w:rPr>
                <w:sz w:val="16"/>
              </w:rPr>
              <w:t>Norway</w:t>
            </w:r>
          </w:p>
        </w:tc>
        <w:tc>
          <w:tcPr>
            <w:tcW w:w="950" w:type="dxa"/>
          </w:tcPr>
          <w:p>
            <w:pPr>
              <w:jc w:val="right"/>
              <w:spacing w:before="10" w:after="10"/>
            </w:pPr>
            <w:r/>
            <w:r>
              <w:rPr>
                <w:sz w:val="16"/>
              </w:rPr>
              <w:t>$1.16</w:t>
            </w:r>
          </w:p>
        </w:tc>
        <w:tc>
          <w:tcPr>
            <w:tcW w:w="950" w:type="dxa"/>
          </w:tcPr>
          <w:p>
            <w:pPr>
              <w:jc w:val="right"/>
              <w:spacing w:before="10" w:after="10"/>
            </w:pPr>
            <w:r/>
            <w:r>
              <w:rPr>
                <w:sz w:val="16"/>
              </w:rPr>
              <w:t>$0.041</w:t>
            </w:r>
          </w:p>
        </w:tc>
        <w:tc>
          <w:tcPr>
            <w:tcW w:w="950" w:type="dxa"/>
          </w:tcPr>
          <w:p>
            <w:pPr>
              <w:jc w:val="right"/>
              <w:spacing w:before="10" w:after="10"/>
            </w:pPr>
            <w:r/>
            <w:r>
              <w:rPr>
                <w:sz w:val="16"/>
              </w:rPr>
              <w:t>$0.066</w:t>
            </w:r>
          </w:p>
        </w:tc>
        <w:tc>
          <w:tcPr>
            <w:tcW w:w="550" w:type="dxa"/>
          </w:tcPr>
          <w:p>
            <w:pPr>
              <w:jc w:val="right"/>
              <w:spacing w:before="10" w:after="10"/>
            </w:pPr>
            <w:r/>
            <w:r>
              <w:rPr>
                <w:sz w:val="16"/>
              </w:rPr>
              <w:t>1.08</w:t>
            </w:r>
          </w:p>
        </w:tc>
        <w:tc>
          <w:tcPr>
            <w:tcW w:w="950" w:type="dxa"/>
          </w:tcPr>
          <w:p>
            <w:pPr>
              <w:jc w:val="right"/>
              <w:spacing w:before="10" w:after="10"/>
            </w:pPr>
            <w:r/>
            <w:r>
              <w:rPr>
                <w:sz w:val="16"/>
              </w:rPr>
              <w:t>$0.054</w:t>
            </w:r>
          </w:p>
        </w:tc>
        <w:tc>
          <w:tcPr>
            <w:tcW w:w="950" w:type="dxa"/>
          </w:tcPr>
          <w:p>
            <w:pPr>
              <w:spacing w:before="10" w:after="10"/>
            </w:pPr>
            <w:r/>
            <w:r>
              <w:rPr>
                <w:sz w:val="16"/>
              </w:rPr>
              <w:t>hybrid</w:t>
            </w:r>
          </w:p>
        </w:tc>
      </w:tr>
      <w:tr>
        <w:tc>
          <w:tcPr>
            <w:tcW w:w="500" w:type="dxa"/>
          </w:tcPr>
          <w:p>
            <w:pPr>
              <w:spacing w:before="10" w:after="10"/>
            </w:pPr>
            <w:r/>
            <w:r>
              <w:rPr>
                <w:sz w:val="16"/>
              </w:rPr>
              <w:t>22</w:t>
            </w:r>
          </w:p>
        </w:tc>
        <w:tc>
          <w:tcPr>
            <w:tcW w:w="1800" w:type="dxa"/>
          </w:tcPr>
          <w:p>
            <w:pPr>
              <w:spacing w:before="10" w:after="10"/>
            </w:pPr>
            <w:r/>
            <w:r>
              <w:rPr>
                <w:sz w:val="16"/>
              </w:rPr>
              <w:t>Finland</w:t>
            </w:r>
          </w:p>
        </w:tc>
        <w:tc>
          <w:tcPr>
            <w:tcW w:w="950" w:type="dxa"/>
          </w:tcPr>
          <w:p>
            <w:pPr>
              <w:jc w:val="right"/>
              <w:spacing w:before="10" w:after="10"/>
            </w:pPr>
            <w:r/>
            <w:r>
              <w:rPr>
                <w:sz w:val="16"/>
              </w:rPr>
              <w:t>$1.17</w:t>
            </w:r>
          </w:p>
        </w:tc>
        <w:tc>
          <w:tcPr>
            <w:tcW w:w="950" w:type="dxa"/>
          </w:tcPr>
          <w:p>
            <w:pPr>
              <w:jc w:val="right"/>
              <w:spacing w:before="10" w:after="10"/>
            </w:pPr>
            <w:r/>
            <w:r>
              <w:rPr>
                <w:sz w:val="16"/>
              </w:rPr>
              <w:t>$0.044</w:t>
            </w:r>
          </w:p>
        </w:tc>
        <w:tc>
          <w:tcPr>
            <w:tcW w:w="950" w:type="dxa"/>
          </w:tcPr>
          <w:p>
            <w:pPr>
              <w:jc w:val="right"/>
              <w:spacing w:before="10" w:after="10"/>
            </w:pPr>
            <w:r/>
            <w:r>
              <w:rPr>
                <w:sz w:val="16"/>
              </w:rPr>
              <w:t>$0.065</w:t>
            </w:r>
          </w:p>
        </w:tc>
        <w:tc>
          <w:tcPr>
            <w:tcW w:w="550" w:type="dxa"/>
          </w:tcPr>
          <w:p>
            <w:pPr>
              <w:jc w:val="right"/>
              <w:spacing w:before="10" w:after="10"/>
            </w:pPr>
            <w:r/>
            <w:r>
              <w:rPr>
                <w:sz w:val="16"/>
              </w:rPr>
              <w:t>1.10</w:t>
            </w:r>
          </w:p>
        </w:tc>
        <w:tc>
          <w:tcPr>
            <w:tcW w:w="950" w:type="dxa"/>
          </w:tcPr>
          <w:p>
            <w:pPr>
              <w:jc w:val="right"/>
              <w:spacing w:before="10" w:after="10"/>
            </w:pPr>
            <w:r/>
            <w:r>
              <w:rPr>
                <w:sz w:val="16"/>
              </w:rPr>
              <w:t>$0.057</w:t>
            </w:r>
          </w:p>
        </w:tc>
        <w:tc>
          <w:tcPr>
            <w:tcW w:w="950" w:type="dxa"/>
          </w:tcPr>
          <w:p>
            <w:pPr>
              <w:spacing w:before="10" w:after="10"/>
            </w:pPr>
            <w:r/>
            <w:r>
              <w:rPr>
                <w:sz w:val="16"/>
              </w:rPr>
              <w:t>hybrid</w:t>
            </w:r>
          </w:p>
        </w:tc>
      </w:tr>
      <w:tr>
        <w:tc>
          <w:tcPr>
            <w:tcW w:w="500" w:type="dxa"/>
          </w:tcPr>
          <w:p>
            <w:pPr>
              <w:spacing w:before="10" w:after="10"/>
            </w:pPr>
            <w:r/>
            <w:r>
              <w:rPr>
                <w:sz w:val="16"/>
              </w:rPr>
              <w:t>24</w:t>
            </w:r>
          </w:p>
        </w:tc>
        <w:tc>
          <w:tcPr>
            <w:tcW w:w="1800" w:type="dxa"/>
          </w:tcPr>
          <w:p>
            <w:pPr>
              <w:spacing w:before="10" w:after="10"/>
            </w:pPr>
            <w:r/>
            <w:r>
              <w:rPr>
                <w:sz w:val="16"/>
              </w:rPr>
              <w:t>Saudi Arabia</w:t>
            </w:r>
          </w:p>
        </w:tc>
        <w:tc>
          <w:tcPr>
            <w:tcW w:w="950" w:type="dxa"/>
          </w:tcPr>
          <w:p>
            <w:pPr>
              <w:jc w:val="right"/>
              <w:spacing w:before="10" w:after="10"/>
            </w:pPr>
            <w:r/>
            <w:r>
              <w:rPr>
                <w:sz w:val="16"/>
              </w:rPr>
              <w:t>$1.17</w:t>
            </w:r>
          </w:p>
        </w:tc>
        <w:tc>
          <w:tcPr>
            <w:tcW w:w="950" w:type="dxa"/>
          </w:tcPr>
          <w:p>
            <w:pPr>
              <w:jc w:val="right"/>
              <w:spacing w:before="10" w:after="10"/>
            </w:pPr>
            <w:r/>
            <w:r>
              <w:rPr>
                <w:sz w:val="16"/>
              </w:rPr>
              <w:t>$0.052</w:t>
            </w:r>
          </w:p>
        </w:tc>
        <w:tc>
          <w:tcPr>
            <w:tcW w:w="950" w:type="dxa"/>
          </w:tcPr>
          <w:p>
            <w:pPr>
              <w:jc w:val="right"/>
              <w:spacing w:before="10" w:after="10"/>
            </w:pPr>
            <w:r/>
            <w:r>
              <w:rPr>
                <w:sz w:val="16"/>
              </w:rPr>
              <w:t>$0.060</w:t>
            </w:r>
          </w:p>
        </w:tc>
        <w:tc>
          <w:tcPr>
            <w:tcW w:w="550" w:type="dxa"/>
          </w:tcPr>
          <w:p>
            <w:pPr>
              <w:jc w:val="right"/>
              <w:spacing w:before="10" w:after="10"/>
            </w:pPr>
            <w:r/>
            <w:r>
              <w:rPr>
                <w:sz w:val="16"/>
              </w:rPr>
              <w:t>1.40</w:t>
            </w:r>
          </w:p>
        </w:tc>
        <w:tc>
          <w:tcPr>
            <w:tcW w:w="950" w:type="dxa"/>
          </w:tcPr>
          <w:p>
            <w:pPr>
              <w:jc w:val="right"/>
              <w:spacing w:before="10" w:after="10"/>
            </w:pPr>
            <w:r/>
            <w:r>
              <w:rPr>
                <w:sz w:val="16"/>
              </w:rPr>
              <w:t>$0.053</w:t>
            </w:r>
          </w:p>
        </w:tc>
        <w:tc>
          <w:tcPr>
            <w:tcW w:w="950" w:type="dxa"/>
          </w:tcPr>
          <w:p>
            <w:pPr>
              <w:spacing w:before="10" w:after="10"/>
            </w:pPr>
            <w:r/>
            <w:r>
              <w:rPr>
                <w:sz w:val="16"/>
              </w:rPr>
              <w:t>hybrid</w:t>
            </w:r>
          </w:p>
        </w:tc>
      </w:tr>
      <w:tr>
        <w:tc>
          <w:tcPr>
            <w:tcW w:w="500" w:type="dxa"/>
          </w:tcPr>
          <w:p>
            <w:pPr>
              <w:spacing w:before="10" w:after="10"/>
            </w:pPr>
            <w:r/>
            <w:r>
              <w:rPr>
                <w:sz w:val="16"/>
              </w:rPr>
              <w:t>25</w:t>
            </w:r>
          </w:p>
        </w:tc>
        <w:tc>
          <w:tcPr>
            <w:tcW w:w="1800" w:type="dxa"/>
          </w:tcPr>
          <w:p>
            <w:pPr>
              <w:spacing w:before="10" w:after="10"/>
            </w:pPr>
            <w:r/>
            <w:r>
              <w:rPr>
                <w:sz w:val="16"/>
              </w:rPr>
              <w:t>Brazil</w:t>
            </w:r>
          </w:p>
        </w:tc>
        <w:tc>
          <w:tcPr>
            <w:tcW w:w="950" w:type="dxa"/>
          </w:tcPr>
          <w:p>
            <w:pPr>
              <w:jc w:val="right"/>
              <w:spacing w:before="10" w:after="10"/>
            </w:pPr>
            <w:r/>
            <w:r>
              <w:rPr>
                <w:sz w:val="16"/>
              </w:rPr>
              <w:t>$1.17</w:t>
            </w:r>
          </w:p>
        </w:tc>
        <w:tc>
          <w:tcPr>
            <w:tcW w:w="950" w:type="dxa"/>
          </w:tcPr>
          <w:p>
            <w:pPr>
              <w:jc w:val="right"/>
              <w:spacing w:before="10" w:after="10"/>
            </w:pPr>
            <w:r/>
            <w:r>
              <w:rPr>
                <w:sz w:val="16"/>
              </w:rPr>
              <w:t>$0.056</w:t>
            </w:r>
          </w:p>
        </w:tc>
        <w:tc>
          <w:tcPr>
            <w:tcW w:w="950" w:type="dxa"/>
          </w:tcPr>
          <w:p>
            <w:pPr>
              <w:jc w:val="right"/>
              <w:spacing w:before="10" w:after="10"/>
            </w:pPr>
            <w:r/>
            <w:r>
              <w:rPr>
                <w:sz w:val="16"/>
              </w:rPr>
              <w:t>$0.057</w:t>
            </w:r>
          </w:p>
        </w:tc>
        <w:tc>
          <w:tcPr>
            <w:tcW w:w="550" w:type="dxa"/>
          </w:tcPr>
          <w:p>
            <w:pPr>
              <w:jc w:val="right"/>
              <w:spacing w:before="10" w:after="10"/>
            </w:pPr>
            <w:r/>
            <w:r>
              <w:rPr>
                <w:sz w:val="16"/>
              </w:rPr>
              <w:t>1.26</w:t>
            </w:r>
          </w:p>
        </w:tc>
        <w:tc>
          <w:tcPr>
            <w:tcW w:w="950" w:type="dxa"/>
          </w:tcPr>
          <w:p>
            <w:pPr>
              <w:jc w:val="right"/>
              <w:spacing w:before="10" w:after="10"/>
            </w:pPr>
            <w:r/>
            <w:r>
              <w:rPr>
                <w:sz w:val="16"/>
              </w:rPr>
              <w:t>$0.063</w:t>
            </w:r>
          </w:p>
        </w:tc>
        <w:tc>
          <w:tcPr>
            <w:tcW w:w="950" w:type="dxa"/>
          </w:tcPr>
          <w:p>
            <w:pPr>
              <w:spacing w:before="10" w:after="10"/>
            </w:pPr>
            <w:r/>
            <w:r>
              <w:rPr>
                <w:sz w:val="16"/>
              </w:rPr>
              <w:t>hybrid</w:t>
            </w:r>
          </w:p>
        </w:tc>
      </w:tr>
      <w:tr>
        <w:tc>
          <w:tcPr>
            <w:tcW w:w="500" w:type="dxa"/>
          </w:tcPr>
          <w:p>
            <w:pPr>
              <w:spacing w:before="10" w:after="10"/>
            </w:pPr>
            <w:r/>
            <w:r>
              <w:rPr>
                <w:sz w:val="16"/>
              </w:rPr>
              <w:t>26</w:t>
            </w:r>
          </w:p>
        </w:tc>
        <w:tc>
          <w:tcPr>
            <w:tcW w:w="1800" w:type="dxa"/>
          </w:tcPr>
          <w:p>
            <w:pPr>
              <w:spacing w:before="10" w:after="10"/>
            </w:pPr>
            <w:r/>
            <w:r>
              <w:rPr>
                <w:sz w:val="16"/>
              </w:rPr>
              <w:t>Vietnam</w:t>
            </w:r>
          </w:p>
        </w:tc>
        <w:tc>
          <w:tcPr>
            <w:tcW w:w="950" w:type="dxa"/>
          </w:tcPr>
          <w:p>
            <w:pPr>
              <w:jc w:val="right"/>
              <w:spacing w:before="10" w:after="10"/>
            </w:pPr>
            <w:r/>
            <w:r>
              <w:rPr>
                <w:sz w:val="16"/>
              </w:rPr>
              <w:t>$1.17</w:t>
            </w:r>
          </w:p>
        </w:tc>
        <w:tc>
          <w:tcPr>
            <w:tcW w:w="950" w:type="dxa"/>
          </w:tcPr>
          <w:p>
            <w:pPr>
              <w:jc w:val="right"/>
              <w:spacing w:before="10" w:after="10"/>
            </w:pPr>
            <w:r/>
            <w:r>
              <w:rPr>
                <w:sz w:val="16"/>
              </w:rPr>
              <w:t>$0.065</w:t>
            </w:r>
          </w:p>
        </w:tc>
        <w:tc>
          <w:tcPr>
            <w:tcW w:w="950" w:type="dxa"/>
          </w:tcPr>
          <w:p>
            <w:pPr>
              <w:jc w:val="right"/>
              <w:spacing w:before="10" w:after="10"/>
            </w:pPr>
            <w:r/>
            <w:r>
              <w:rPr>
                <w:sz w:val="16"/>
              </w:rPr>
              <w:t>$0.048</w:t>
            </w:r>
          </w:p>
        </w:tc>
        <w:tc>
          <w:tcPr>
            <w:tcW w:w="550" w:type="dxa"/>
          </w:tcPr>
          <w:p>
            <w:pPr>
              <w:jc w:val="right"/>
              <w:spacing w:before="10" w:after="10"/>
            </w:pPr>
            <w:r/>
            <w:r>
              <w:rPr>
                <w:sz w:val="16"/>
              </w:rPr>
              <w:t>1.27</w:t>
            </w:r>
          </w:p>
        </w:tc>
        <w:tc>
          <w:tcPr>
            <w:tcW w:w="950" w:type="dxa"/>
          </w:tcPr>
          <w:p>
            <w:pPr>
              <w:jc w:val="right"/>
              <w:spacing w:before="10" w:after="10"/>
            </w:pPr>
            <w:r/>
            <w:r>
              <w:rPr>
                <w:sz w:val="16"/>
              </w:rPr>
              <w:t>$0.073</w:t>
            </w:r>
          </w:p>
        </w:tc>
        <w:tc>
          <w:tcPr>
            <w:tcW w:w="950" w:type="dxa"/>
          </w:tcPr>
          <w:p>
            <w:pPr>
              <w:spacing w:before="10" w:after="10"/>
            </w:pPr>
            <w:r/>
            <w:r>
              <w:rPr>
                <w:sz w:val="16"/>
              </w:rPr>
              <w:t>hybrid</w:t>
            </w:r>
          </w:p>
        </w:tc>
      </w:tr>
      <w:tr>
        <w:tc>
          <w:tcPr>
            <w:tcW w:w="500" w:type="dxa"/>
          </w:tcPr>
          <w:p>
            <w:pPr>
              <w:spacing w:before="10" w:after="10"/>
            </w:pPr>
            <w:r/>
            <w:r>
              <w:rPr>
                <w:sz w:val="16"/>
              </w:rPr>
              <w:t>27</w:t>
            </w:r>
          </w:p>
        </w:tc>
        <w:tc>
          <w:tcPr>
            <w:tcW w:w="1800" w:type="dxa"/>
          </w:tcPr>
          <w:p>
            <w:pPr>
              <w:spacing w:before="10" w:after="10"/>
            </w:pPr>
            <w:r/>
            <w:r>
              <w:rPr>
                <w:sz w:val="16"/>
              </w:rPr>
              <w:t>United Arab Emirates</w:t>
            </w:r>
          </w:p>
        </w:tc>
        <w:tc>
          <w:tcPr>
            <w:tcW w:w="950" w:type="dxa"/>
          </w:tcPr>
          <w:p>
            <w:pPr>
              <w:jc w:val="right"/>
              <w:spacing w:before="10" w:after="10"/>
            </w:pPr>
            <w:r/>
            <w:r>
              <w:rPr>
                <w:sz w:val="16"/>
              </w:rPr>
              <w:t>$1.17</w:t>
            </w:r>
          </w:p>
        </w:tc>
        <w:tc>
          <w:tcPr>
            <w:tcW w:w="950" w:type="dxa"/>
          </w:tcPr>
          <w:p>
            <w:pPr>
              <w:jc w:val="right"/>
              <w:spacing w:before="10" w:after="10"/>
            </w:pPr>
            <w:r/>
            <w:r>
              <w:rPr>
                <w:sz w:val="16"/>
              </w:rPr>
              <w:t>$0.064</w:t>
            </w:r>
          </w:p>
        </w:tc>
        <w:tc>
          <w:tcPr>
            <w:tcW w:w="950" w:type="dxa"/>
          </w:tcPr>
          <w:p>
            <w:pPr>
              <w:jc w:val="right"/>
              <w:spacing w:before="10" w:after="10"/>
            </w:pPr>
            <w:r/>
            <w:r>
              <w:rPr>
                <w:sz w:val="16"/>
              </w:rPr>
              <w:t>$0.049</w:t>
            </w:r>
          </w:p>
        </w:tc>
        <w:tc>
          <w:tcPr>
            <w:tcW w:w="550" w:type="dxa"/>
          </w:tcPr>
          <w:p>
            <w:pPr>
              <w:jc w:val="right"/>
              <w:spacing w:before="10" w:after="10"/>
            </w:pPr>
            <w:r/>
            <w:r>
              <w:rPr>
                <w:sz w:val="16"/>
              </w:rPr>
              <w:t>1.41</w:t>
            </w:r>
          </w:p>
        </w:tc>
        <w:tc>
          <w:tcPr>
            <w:tcW w:w="950" w:type="dxa"/>
          </w:tcPr>
          <w:p>
            <w:pPr>
              <w:jc w:val="right"/>
              <w:spacing w:before="10" w:after="10"/>
            </w:pPr>
            <w:r/>
            <w:r>
              <w:rPr>
                <w:sz w:val="16"/>
              </w:rPr>
              <w:t>$0.065</w:t>
            </w:r>
          </w:p>
        </w:tc>
        <w:tc>
          <w:tcPr>
            <w:tcW w:w="950" w:type="dxa"/>
          </w:tcPr>
          <w:p>
            <w:pPr>
              <w:spacing w:before="10" w:after="10"/>
            </w:pPr>
            <w:r/>
            <w:r>
              <w:rPr>
                <w:sz w:val="16"/>
              </w:rPr>
              <w:t>hybrid</w:t>
            </w:r>
          </w:p>
        </w:tc>
      </w:tr>
      <w:tr>
        <w:tc>
          <w:tcPr>
            <w:tcW w:w="500" w:type="dxa"/>
          </w:tcPr>
          <w:p>
            <w:pPr>
              <w:spacing w:before="10" w:after="10"/>
            </w:pPr>
            <w:r/>
            <w:r>
              <w:rPr>
                <w:sz w:val="16"/>
              </w:rPr>
              <w:t>28</w:t>
            </w:r>
          </w:p>
        </w:tc>
        <w:tc>
          <w:tcPr>
            <w:tcW w:w="1800" w:type="dxa"/>
          </w:tcPr>
          <w:p>
            <w:pPr>
              <w:spacing w:before="10" w:after="10"/>
            </w:pPr>
            <w:r/>
            <w:r>
              <w:rPr>
                <w:sz w:val="16"/>
              </w:rPr>
              <w:t>Sweden</w:t>
            </w:r>
          </w:p>
        </w:tc>
        <w:tc>
          <w:tcPr>
            <w:tcW w:w="950" w:type="dxa"/>
          </w:tcPr>
          <w:p>
            <w:pPr>
              <w:jc w:val="right"/>
              <w:spacing w:before="10" w:after="10"/>
            </w:pPr>
            <w:r/>
            <w:r>
              <w:rPr>
                <w:sz w:val="16"/>
              </w:rPr>
              <w:t>$1.17</w:t>
            </w:r>
          </w:p>
        </w:tc>
        <w:tc>
          <w:tcPr>
            <w:tcW w:w="950" w:type="dxa"/>
          </w:tcPr>
          <w:p>
            <w:pPr>
              <w:jc w:val="right"/>
              <w:spacing w:before="10" w:after="10"/>
            </w:pPr>
            <w:r/>
            <w:r>
              <w:rPr>
                <w:sz w:val="16"/>
              </w:rPr>
              <w:t>$0.052</w:t>
            </w:r>
          </w:p>
        </w:tc>
        <w:tc>
          <w:tcPr>
            <w:tcW w:w="950" w:type="dxa"/>
          </w:tcPr>
          <w:p>
            <w:pPr>
              <w:jc w:val="right"/>
              <w:spacing w:before="10" w:after="10"/>
            </w:pPr>
            <w:r/>
            <w:r>
              <w:rPr>
                <w:sz w:val="16"/>
              </w:rPr>
              <w:t>$0.065</w:t>
            </w:r>
          </w:p>
        </w:tc>
        <w:tc>
          <w:tcPr>
            <w:tcW w:w="550" w:type="dxa"/>
          </w:tcPr>
          <w:p>
            <w:pPr>
              <w:jc w:val="right"/>
              <w:spacing w:before="10" w:after="10"/>
            </w:pPr>
            <w:r/>
            <w:r>
              <w:rPr>
                <w:sz w:val="16"/>
              </w:rPr>
              <w:t>1.08</w:t>
            </w:r>
          </w:p>
        </w:tc>
        <w:tc>
          <w:tcPr>
            <w:tcW w:w="950" w:type="dxa"/>
          </w:tcPr>
          <w:p>
            <w:pPr>
              <w:jc w:val="right"/>
              <w:spacing w:before="10" w:after="10"/>
            </w:pPr>
            <w:r/>
            <w:r>
              <w:rPr>
                <w:sz w:val="16"/>
              </w:rPr>
              <w:t>$0.068</w:t>
            </w:r>
          </w:p>
        </w:tc>
        <w:tc>
          <w:tcPr>
            <w:tcW w:w="950" w:type="dxa"/>
          </w:tcPr>
          <w:p>
            <w:pPr>
              <w:spacing w:before="10" w:after="10"/>
            </w:pPr>
            <w:r/>
            <w:r>
              <w:rPr>
                <w:sz w:val="16"/>
              </w:rPr>
              <w:t>hybrid</w:t>
            </w:r>
          </w:p>
        </w:tc>
      </w:tr>
      <w:tr>
        <w:tc>
          <w:tcPr>
            <w:tcW w:w="500" w:type="dxa"/>
          </w:tcPr>
          <w:p>
            <w:pPr>
              <w:spacing w:before="10" w:after="10"/>
            </w:pPr>
            <w:r/>
            <w:r>
              <w:rPr>
                <w:sz w:val="16"/>
              </w:rPr>
              <w:t>29</w:t>
            </w:r>
          </w:p>
        </w:tc>
        <w:tc>
          <w:tcPr>
            <w:tcW w:w="1800" w:type="dxa"/>
          </w:tcPr>
          <w:p>
            <w:pPr>
              <w:spacing w:before="10" w:after="10"/>
            </w:pPr>
            <w:r/>
            <w:r>
              <w:rPr>
                <w:sz w:val="16"/>
              </w:rPr>
              <w:t>India</w:t>
            </w:r>
          </w:p>
        </w:tc>
        <w:tc>
          <w:tcPr>
            <w:tcW w:w="950" w:type="dxa"/>
          </w:tcPr>
          <w:p>
            <w:pPr>
              <w:jc w:val="right"/>
              <w:spacing w:before="10" w:after="10"/>
            </w:pPr>
            <w:r/>
            <w:r>
              <w:rPr>
                <w:sz w:val="16"/>
              </w:rPr>
              <w:t>$1.17</w:t>
            </w:r>
          </w:p>
        </w:tc>
        <w:tc>
          <w:tcPr>
            <w:tcW w:w="950" w:type="dxa"/>
          </w:tcPr>
          <w:p>
            <w:pPr>
              <w:jc w:val="right"/>
              <w:spacing w:before="10" w:after="10"/>
            </w:pPr>
            <w:r/>
            <w:r>
              <w:rPr>
                <w:sz w:val="16"/>
              </w:rPr>
              <w:t>$0.082</w:t>
            </w:r>
          </w:p>
        </w:tc>
        <w:tc>
          <w:tcPr>
            <w:tcW w:w="950" w:type="dxa"/>
          </w:tcPr>
          <w:p>
            <w:pPr>
              <w:jc w:val="right"/>
              <w:spacing w:before="10" w:after="10"/>
            </w:pPr>
            <w:r/>
            <w:r>
              <w:rPr>
                <w:sz w:val="16"/>
              </w:rPr>
              <w:t>$0.035</w:t>
            </w:r>
          </w:p>
        </w:tc>
        <w:tc>
          <w:tcPr>
            <w:tcW w:w="550" w:type="dxa"/>
          </w:tcPr>
          <w:p>
            <w:pPr>
              <w:jc w:val="right"/>
              <w:spacing w:before="10" w:after="10"/>
            </w:pPr>
            <w:r/>
            <w:r>
              <w:rPr>
                <w:sz w:val="16"/>
              </w:rPr>
              <w:t>1.31</w:t>
            </w:r>
          </w:p>
        </w:tc>
        <w:tc>
          <w:tcPr>
            <w:tcW w:w="950" w:type="dxa"/>
          </w:tcPr>
          <w:p>
            <w:pPr>
              <w:jc w:val="right"/>
              <w:spacing w:before="10" w:after="10"/>
            </w:pPr>
            <w:r/>
            <w:r>
              <w:rPr>
                <w:sz w:val="16"/>
              </w:rPr>
              <w:t>$0.090</w:t>
            </w:r>
          </w:p>
        </w:tc>
        <w:tc>
          <w:tcPr>
            <w:tcW w:w="950" w:type="dxa"/>
          </w:tcPr>
          <w:p>
            <w:pPr>
              <w:spacing w:before="10" w:after="10"/>
            </w:pPr>
            <w:r/>
            <w:r>
              <w:rPr>
                <w:sz w:val="16"/>
              </w:rPr>
              <w:t>hybrid</w:t>
            </w:r>
          </w:p>
        </w:tc>
      </w:tr>
      <w:tr>
        <w:tc>
          <w:tcPr>
            <w:tcW w:w="500" w:type="dxa"/>
          </w:tcPr>
          <w:p>
            <w:pPr>
              <w:spacing w:before="10" w:after="10"/>
            </w:pPr>
            <w:r/>
            <w:r>
              <w:rPr>
                <w:sz w:val="16"/>
              </w:rPr>
              <w:t>30</w:t>
            </w:r>
          </w:p>
        </w:tc>
        <w:tc>
          <w:tcPr>
            <w:tcW w:w="1800" w:type="dxa"/>
          </w:tcPr>
          <w:p>
            <w:pPr>
              <w:spacing w:before="10" w:after="10"/>
            </w:pPr>
            <w:r/>
            <w:r>
              <w:rPr>
                <w:sz w:val="16"/>
              </w:rPr>
              <w:t>Indonesia</w:t>
            </w:r>
          </w:p>
        </w:tc>
        <w:tc>
          <w:tcPr>
            <w:tcW w:w="950" w:type="dxa"/>
          </w:tcPr>
          <w:p>
            <w:pPr>
              <w:jc w:val="right"/>
              <w:spacing w:before="10" w:after="10"/>
            </w:pPr>
            <w:r/>
            <w:r>
              <w:rPr>
                <w:sz w:val="16"/>
              </w:rPr>
              <w:t>$1.17</w:t>
            </w:r>
          </w:p>
        </w:tc>
        <w:tc>
          <w:tcPr>
            <w:tcW w:w="950" w:type="dxa"/>
          </w:tcPr>
          <w:p>
            <w:pPr>
              <w:jc w:val="right"/>
              <w:spacing w:before="10" w:after="10"/>
            </w:pPr>
            <w:r/>
            <w:r>
              <w:rPr>
                <w:sz w:val="16"/>
              </w:rPr>
              <w:t>$0.059</w:t>
            </w:r>
          </w:p>
        </w:tc>
        <w:tc>
          <w:tcPr>
            <w:tcW w:w="950" w:type="dxa"/>
          </w:tcPr>
          <w:p>
            <w:pPr>
              <w:jc w:val="right"/>
              <w:spacing w:before="10" w:after="10"/>
            </w:pPr>
            <w:r/>
            <w:r>
              <w:rPr>
                <w:sz w:val="16"/>
              </w:rPr>
              <w:t>$0.060</w:t>
            </w:r>
          </w:p>
        </w:tc>
        <w:tc>
          <w:tcPr>
            <w:tcW w:w="550" w:type="dxa"/>
          </w:tcPr>
          <w:p>
            <w:pPr>
              <w:jc w:val="right"/>
              <w:spacing w:before="10" w:after="10"/>
            </w:pPr>
            <w:r/>
            <w:r>
              <w:rPr>
                <w:sz w:val="16"/>
              </w:rPr>
              <w:t>1.25</w:t>
            </w:r>
          </w:p>
        </w:tc>
        <w:tc>
          <w:tcPr>
            <w:tcW w:w="950" w:type="dxa"/>
          </w:tcPr>
          <w:p>
            <w:pPr>
              <w:jc w:val="right"/>
              <w:spacing w:before="10" w:after="10"/>
            </w:pPr>
            <w:r/>
            <w:r>
              <w:rPr>
                <w:sz w:val="16"/>
              </w:rPr>
              <w:t>$0.067</w:t>
            </w:r>
          </w:p>
        </w:tc>
        <w:tc>
          <w:tcPr>
            <w:tcW w:w="950" w:type="dxa"/>
          </w:tcPr>
          <w:p>
            <w:pPr>
              <w:spacing w:before="10" w:after="10"/>
            </w:pPr>
            <w:r/>
            <w:r>
              <w:rPr>
                <w:sz w:val="16"/>
              </w:rPr>
              <w:t>hybrid</w:t>
            </w:r>
          </w:p>
        </w:tc>
      </w:tr>
      <w:tr>
        <w:tc>
          <w:tcPr>
            <w:tcW w:w="500" w:type="dxa"/>
          </w:tcPr>
          <w:p>
            <w:pPr>
              <w:spacing w:before="10" w:after="10"/>
            </w:pPr>
            <w:r/>
            <w:r>
              <w:rPr>
                <w:sz w:val="16"/>
              </w:rPr>
              <w:t>32</w:t>
            </w:r>
          </w:p>
        </w:tc>
        <w:tc>
          <w:tcPr>
            <w:tcW w:w="1800" w:type="dxa"/>
          </w:tcPr>
          <w:p>
            <w:pPr>
              <w:spacing w:before="10" w:after="10"/>
            </w:pPr>
            <w:r/>
            <w:r>
              <w:rPr>
                <w:sz w:val="16"/>
              </w:rPr>
              <w:t>United States of Amer.</w:t>
            </w:r>
          </w:p>
        </w:tc>
        <w:tc>
          <w:tcPr>
            <w:tcW w:w="950" w:type="dxa"/>
          </w:tcPr>
          <w:p>
            <w:pPr>
              <w:jc w:val="right"/>
              <w:spacing w:before="10" w:after="10"/>
            </w:pPr>
            <w:r/>
            <w:r>
              <w:rPr>
                <w:sz w:val="16"/>
              </w:rPr>
              <w:t>$1.18</w:t>
            </w:r>
          </w:p>
        </w:tc>
        <w:tc>
          <w:tcPr>
            <w:tcW w:w="950" w:type="dxa"/>
          </w:tcPr>
          <w:p>
            <w:pPr>
              <w:jc w:val="right"/>
              <w:spacing w:before="10" w:after="10"/>
            </w:pPr>
            <w:r/>
            <w:r>
              <w:rPr>
                <w:sz w:val="16"/>
              </w:rPr>
              <w:t>$0.068</w:t>
            </w:r>
          </w:p>
        </w:tc>
        <w:tc>
          <w:tcPr>
            <w:tcW w:w="950" w:type="dxa"/>
          </w:tcPr>
          <w:p>
            <w:pPr>
              <w:jc w:val="right"/>
              <w:spacing w:before="10" w:after="10"/>
            </w:pPr>
            <w:r/>
            <w:r>
              <w:rPr>
                <w:sz w:val="16"/>
              </w:rPr>
              <w:t>$0.057</w:t>
            </w:r>
          </w:p>
        </w:tc>
        <w:tc>
          <w:tcPr>
            <w:tcW w:w="550" w:type="dxa"/>
          </w:tcPr>
          <w:p>
            <w:pPr>
              <w:jc w:val="right"/>
              <w:spacing w:before="10" w:after="10"/>
            </w:pPr>
            <w:r/>
            <w:r>
              <w:rPr>
                <w:sz w:val="16"/>
              </w:rPr>
              <w:t>1.20</w:t>
            </w:r>
          </w:p>
        </w:tc>
        <w:tc>
          <w:tcPr>
            <w:tcW w:w="950" w:type="dxa"/>
          </w:tcPr>
          <w:p>
            <w:pPr>
              <w:jc w:val="right"/>
              <w:spacing w:before="10" w:after="10"/>
            </w:pPr>
            <w:r/>
            <w:r>
              <w:rPr>
                <w:sz w:val="16"/>
              </w:rPr>
              <w:t>$0.081</w:t>
            </w:r>
          </w:p>
        </w:tc>
        <w:tc>
          <w:tcPr>
            <w:tcW w:w="950" w:type="dxa"/>
          </w:tcPr>
          <w:p>
            <w:pPr>
              <w:spacing w:before="10" w:after="10"/>
            </w:pPr>
            <w:r/>
            <w:r>
              <w:rPr>
                <w:sz w:val="16"/>
              </w:rPr>
              <w:t>import</w:t>
            </w:r>
          </w:p>
        </w:tc>
      </w:tr>
      <w:tr>
        <w:tc>
          <w:tcPr>
            <w:tcW w:w="500" w:type="dxa"/>
          </w:tcPr>
          <w:p>
            <w:pPr>
              <w:spacing w:before="10" w:after="10"/>
            </w:pPr>
            <w:r/>
            <w:r>
              <w:rPr>
                <w:sz w:val="16"/>
              </w:rPr>
              <w:t>34</w:t>
            </w:r>
          </w:p>
        </w:tc>
        <w:tc>
          <w:tcPr>
            <w:tcW w:w="1800" w:type="dxa"/>
          </w:tcPr>
          <w:p>
            <w:pPr>
              <w:spacing w:before="10" w:after="10"/>
            </w:pPr>
            <w:r/>
            <w:r>
              <w:rPr>
                <w:sz w:val="16"/>
              </w:rPr>
              <w:t>Kenya</w:t>
            </w:r>
          </w:p>
        </w:tc>
        <w:tc>
          <w:tcPr>
            <w:tcW w:w="950" w:type="dxa"/>
          </w:tcPr>
          <w:p>
            <w:pPr>
              <w:jc w:val="right"/>
              <w:spacing w:before="10" w:after="10"/>
            </w:pPr>
            <w:r/>
            <w:r>
              <w:rPr>
                <w:sz w:val="16"/>
              </w:rPr>
              <w:t>$1.19</w:t>
            </w:r>
          </w:p>
        </w:tc>
        <w:tc>
          <w:tcPr>
            <w:tcW w:w="950" w:type="dxa"/>
          </w:tcPr>
          <w:p>
            <w:pPr>
              <w:jc w:val="right"/>
              <w:spacing w:before="10" w:after="10"/>
            </w:pPr>
            <w:r/>
            <w:r>
              <w:rPr>
                <w:sz w:val="16"/>
              </w:rPr>
              <w:t>$0.078</w:t>
            </w:r>
          </w:p>
        </w:tc>
        <w:tc>
          <w:tcPr>
            <w:tcW w:w="950" w:type="dxa"/>
          </w:tcPr>
          <w:p>
            <w:pPr>
              <w:jc w:val="right"/>
              <w:spacing w:before="10" w:after="10"/>
            </w:pPr>
            <w:r/>
            <w:r>
              <w:rPr>
                <w:sz w:val="16"/>
              </w:rPr>
              <w:t>$0.052</w:t>
            </w:r>
          </w:p>
        </w:tc>
        <w:tc>
          <w:tcPr>
            <w:tcW w:w="550" w:type="dxa"/>
          </w:tcPr>
          <w:p>
            <w:pPr>
              <w:jc w:val="right"/>
              <w:spacing w:before="10" w:after="10"/>
            </w:pPr>
            <w:r/>
            <w:r>
              <w:rPr>
                <w:sz w:val="16"/>
              </w:rPr>
              <w:t>1.26</w:t>
            </w:r>
          </w:p>
        </w:tc>
        <w:tc>
          <w:tcPr>
            <w:tcW w:w="950" w:type="dxa"/>
          </w:tcPr>
          <w:p>
            <w:pPr>
              <w:jc w:val="right"/>
              <w:spacing w:before="10" w:after="10"/>
            </w:pPr>
            <w:r/>
            <w:r>
              <w:rPr>
                <w:sz w:val="16"/>
              </w:rPr>
              <w:t>$0.088</w:t>
            </w:r>
          </w:p>
        </w:tc>
        <w:tc>
          <w:tcPr>
            <w:tcW w:w="950" w:type="dxa"/>
          </w:tcPr>
          <w:p>
            <w:pPr>
              <w:spacing w:before="10" w:after="10"/>
            </w:pPr>
            <w:r/>
            <w:r>
              <w:rPr>
                <w:sz w:val="16"/>
              </w:rPr>
              <w:t>hybrid</w:t>
            </w:r>
          </w:p>
        </w:tc>
      </w:tr>
      <w:tr>
        <w:tc>
          <w:tcPr>
            <w:tcW w:w="500" w:type="dxa"/>
          </w:tcPr>
          <w:p>
            <w:pPr>
              <w:spacing w:before="10" w:after="10"/>
            </w:pPr>
            <w:r/>
            <w:r>
              <w:rPr>
                <w:sz w:val="16"/>
              </w:rPr>
              <w:t>37</w:t>
            </w:r>
          </w:p>
        </w:tc>
        <w:tc>
          <w:tcPr>
            <w:tcW w:w="1800" w:type="dxa"/>
          </w:tcPr>
          <w:p>
            <w:pPr>
              <w:spacing w:before="10" w:after="10"/>
            </w:pPr>
            <w:r/>
            <w:r>
              <w:rPr>
                <w:sz w:val="16"/>
              </w:rPr>
              <w:t>Iceland</w:t>
            </w:r>
          </w:p>
        </w:tc>
        <w:tc>
          <w:tcPr>
            <w:tcW w:w="950" w:type="dxa"/>
          </w:tcPr>
          <w:p>
            <w:pPr>
              <w:jc w:val="right"/>
              <w:spacing w:before="10" w:after="10"/>
            </w:pPr>
            <w:r/>
            <w:r>
              <w:rPr>
                <w:sz w:val="16"/>
              </w:rPr>
              <w:t>$1.19</w:t>
            </w:r>
          </w:p>
        </w:tc>
        <w:tc>
          <w:tcPr>
            <w:tcW w:w="950" w:type="dxa"/>
          </w:tcPr>
          <w:p>
            <w:pPr>
              <w:jc w:val="right"/>
              <w:spacing w:before="10" w:after="10"/>
            </w:pPr>
            <w:r/>
            <w:r>
              <w:rPr>
                <w:sz w:val="16"/>
              </w:rPr>
              <w:t>$0.068</w:t>
            </w:r>
          </w:p>
        </w:tc>
        <w:tc>
          <w:tcPr>
            <w:tcW w:w="950" w:type="dxa"/>
          </w:tcPr>
          <w:p>
            <w:pPr>
              <w:jc w:val="right"/>
              <w:spacing w:before="10" w:after="10"/>
            </w:pPr>
            <w:r/>
            <w:r>
              <w:rPr>
                <w:sz w:val="16"/>
              </w:rPr>
              <w:t>$0.064</w:t>
            </w:r>
          </w:p>
        </w:tc>
        <w:tc>
          <w:tcPr>
            <w:tcW w:w="550" w:type="dxa"/>
          </w:tcPr>
          <w:p>
            <w:pPr>
              <w:jc w:val="right"/>
              <w:spacing w:before="10" w:after="10"/>
            </w:pPr>
            <w:r/>
            <w:r>
              <w:rPr>
                <w:sz w:val="16"/>
              </w:rPr>
              <w:t>1.08</w:t>
            </w:r>
          </w:p>
        </w:tc>
        <w:tc>
          <w:tcPr>
            <w:tcW w:w="950" w:type="dxa"/>
          </w:tcPr>
          <w:p>
            <w:pPr>
              <w:jc w:val="right"/>
              <w:spacing w:before="10" w:after="10"/>
            </w:pPr>
            <w:r/>
            <w:r>
              <w:rPr>
                <w:sz w:val="16"/>
              </w:rPr>
              <w:t>$0.089</w:t>
            </w:r>
          </w:p>
        </w:tc>
        <w:tc>
          <w:tcPr>
            <w:tcW w:w="950" w:type="dxa"/>
          </w:tcPr>
          <w:p>
            <w:pPr>
              <w:spacing w:before="10" w:after="10"/>
            </w:pPr>
            <w:r/>
            <w:r>
              <w:rPr>
                <w:sz w:val="16"/>
              </w:rPr>
              <w:t>hybrid</w:t>
            </w:r>
          </w:p>
        </w:tc>
      </w:tr>
      <w:tr>
        <w:tc>
          <w:tcPr>
            <w:tcW w:w="500" w:type="dxa"/>
          </w:tcPr>
          <w:p>
            <w:pPr>
              <w:spacing w:before="10" w:after="10"/>
            </w:pPr>
            <w:r/>
            <w:r>
              <w:rPr>
                <w:sz w:val="16"/>
              </w:rPr>
              <w:t>38</w:t>
            </w:r>
          </w:p>
        </w:tc>
        <w:tc>
          <w:tcPr>
            <w:tcW w:w="1800" w:type="dxa"/>
          </w:tcPr>
          <w:p>
            <w:pPr>
              <w:spacing w:before="10" w:after="10"/>
            </w:pPr>
            <w:r/>
            <w:r>
              <w:rPr>
                <w:sz w:val="16"/>
              </w:rPr>
              <w:t>Morocco</w:t>
            </w:r>
          </w:p>
        </w:tc>
        <w:tc>
          <w:tcPr>
            <w:tcW w:w="950" w:type="dxa"/>
          </w:tcPr>
          <w:p>
            <w:pPr>
              <w:jc w:val="right"/>
              <w:spacing w:before="10" w:after="10"/>
            </w:pPr>
            <w:r/>
            <w:r>
              <w:rPr>
                <w:sz w:val="16"/>
              </w:rPr>
              <w:t>$1.19</w:t>
            </w:r>
          </w:p>
        </w:tc>
        <w:tc>
          <w:tcPr>
            <w:tcW w:w="950" w:type="dxa"/>
          </w:tcPr>
          <w:p>
            <w:pPr>
              <w:jc w:val="right"/>
              <w:spacing w:before="10" w:after="10"/>
            </w:pPr>
            <w:r/>
            <w:r>
              <w:rPr>
                <w:sz w:val="16"/>
              </w:rPr>
              <w:t>$0.097</w:t>
            </w:r>
          </w:p>
        </w:tc>
        <w:tc>
          <w:tcPr>
            <w:tcW w:w="950" w:type="dxa"/>
          </w:tcPr>
          <w:p>
            <w:pPr>
              <w:jc w:val="right"/>
              <w:spacing w:before="10" w:after="10"/>
            </w:pPr>
            <w:r/>
            <w:r>
              <w:rPr>
                <w:sz w:val="16"/>
              </w:rPr>
              <w:t>$0.038</w:t>
            </w:r>
          </w:p>
        </w:tc>
        <w:tc>
          <w:tcPr>
            <w:tcW w:w="550" w:type="dxa"/>
          </w:tcPr>
          <w:p>
            <w:pPr>
              <w:jc w:val="right"/>
              <w:spacing w:before="10" w:after="10"/>
            </w:pPr>
            <w:r/>
            <w:r>
              <w:rPr>
                <w:sz w:val="16"/>
              </w:rPr>
              <w:t>1.28</w:t>
            </w:r>
          </w:p>
        </w:tc>
        <w:tc>
          <w:tcPr>
            <w:tcW w:w="950" w:type="dxa"/>
          </w:tcPr>
          <w:p>
            <w:pPr>
              <w:jc w:val="right"/>
              <w:spacing w:before="10" w:after="10"/>
            </w:pPr>
            <w:r/>
            <w:r>
              <w:rPr>
                <w:sz w:val="16"/>
              </w:rPr>
              <w:t>$0.108</w:t>
            </w:r>
          </w:p>
        </w:tc>
        <w:tc>
          <w:tcPr>
            <w:tcW w:w="950" w:type="dxa"/>
          </w:tcPr>
          <w:p>
            <w:pPr>
              <w:spacing w:before="10" w:after="10"/>
            </w:pPr>
            <w:r/>
            <w:r>
              <w:rPr>
                <w:sz w:val="16"/>
              </w:rPr>
              <w:t>hybrid</w:t>
            </w:r>
          </w:p>
        </w:tc>
      </w:tr>
      <w:tr>
        <w:tc>
          <w:tcPr>
            <w:tcW w:w="500" w:type="dxa"/>
          </w:tcPr>
          <w:p>
            <w:pPr>
              <w:spacing w:before="10" w:after="10"/>
            </w:pPr>
            <w:r/>
            <w:r>
              <w:rPr>
                <w:sz w:val="16"/>
              </w:rPr>
              <w:t>39</w:t>
            </w:r>
          </w:p>
        </w:tc>
        <w:tc>
          <w:tcPr>
            <w:tcW w:w="1800" w:type="dxa"/>
          </w:tcPr>
          <w:p>
            <w:pPr>
              <w:spacing w:before="10" w:after="10"/>
            </w:pPr>
            <w:r/>
            <w:r>
              <w:rPr>
                <w:sz w:val="16"/>
              </w:rPr>
              <w:t>United Kingdom</w:t>
            </w:r>
          </w:p>
        </w:tc>
        <w:tc>
          <w:tcPr>
            <w:tcW w:w="950" w:type="dxa"/>
          </w:tcPr>
          <w:p>
            <w:pPr>
              <w:jc w:val="right"/>
              <w:spacing w:before="10" w:after="10"/>
            </w:pPr>
            <w:r/>
            <w:r>
              <w:rPr>
                <w:sz w:val="16"/>
              </w:rPr>
              <w:t>$1.19</w:t>
            </w:r>
          </w:p>
        </w:tc>
        <w:tc>
          <w:tcPr>
            <w:tcW w:w="950" w:type="dxa"/>
          </w:tcPr>
          <w:p>
            <w:pPr>
              <w:jc w:val="right"/>
              <w:spacing w:before="10" w:after="10"/>
            </w:pPr>
            <w:r/>
            <w:r>
              <w:rPr>
                <w:sz w:val="16"/>
              </w:rPr>
              <w:t>$0.074</w:t>
            </w:r>
          </w:p>
        </w:tc>
        <w:tc>
          <w:tcPr>
            <w:tcW w:w="950" w:type="dxa"/>
          </w:tcPr>
          <w:p>
            <w:pPr>
              <w:jc w:val="right"/>
              <w:spacing w:before="10" w:after="10"/>
            </w:pPr>
            <w:r/>
            <w:r>
              <w:rPr>
                <w:sz w:val="16"/>
              </w:rPr>
              <w:t>$0.063</w:t>
            </w:r>
          </w:p>
        </w:tc>
        <w:tc>
          <w:tcPr>
            <w:tcW w:w="550" w:type="dxa"/>
          </w:tcPr>
          <w:p>
            <w:pPr>
              <w:jc w:val="right"/>
              <w:spacing w:before="10" w:after="10"/>
            </w:pPr>
            <w:r/>
            <w:r>
              <w:rPr>
                <w:sz w:val="16"/>
              </w:rPr>
              <w:t>1.09</w:t>
            </w:r>
          </w:p>
        </w:tc>
        <w:tc>
          <w:tcPr>
            <w:tcW w:w="950" w:type="dxa"/>
          </w:tcPr>
          <w:p>
            <w:pPr>
              <w:jc w:val="right"/>
              <w:spacing w:before="10" w:after="10"/>
            </w:pPr>
            <w:r/>
            <w:r>
              <w:rPr>
                <w:sz w:val="16"/>
              </w:rPr>
              <w:t>$0.097</w:t>
            </w:r>
          </w:p>
        </w:tc>
        <w:tc>
          <w:tcPr>
            <w:tcW w:w="950" w:type="dxa"/>
          </w:tcPr>
          <w:p>
            <w:pPr>
              <w:spacing w:before="10" w:after="10"/>
            </w:pPr>
            <w:r/>
            <w:r>
              <w:rPr>
                <w:sz w:val="16"/>
              </w:rPr>
              <w:t>import</w:t>
            </w:r>
          </w:p>
        </w:tc>
      </w:tr>
      <w:tr>
        <w:tc>
          <w:tcPr>
            <w:tcW w:w="500" w:type="dxa"/>
          </w:tcPr>
          <w:p>
            <w:pPr>
              <w:spacing w:before="10" w:after="10"/>
            </w:pPr>
            <w:r/>
            <w:r>
              <w:rPr>
                <w:sz w:val="16"/>
              </w:rPr>
              <w:t>40</w:t>
            </w:r>
          </w:p>
        </w:tc>
        <w:tc>
          <w:tcPr>
            <w:tcW w:w="1800" w:type="dxa"/>
          </w:tcPr>
          <w:p>
            <w:pPr>
              <w:spacing w:before="10" w:after="10"/>
            </w:pPr>
            <w:r/>
            <w:r>
              <w:rPr>
                <w:sz w:val="16"/>
              </w:rPr>
              <w:t>Australia</w:t>
            </w:r>
          </w:p>
        </w:tc>
        <w:tc>
          <w:tcPr>
            <w:tcW w:w="950" w:type="dxa"/>
          </w:tcPr>
          <w:p>
            <w:pPr>
              <w:jc w:val="right"/>
              <w:spacing w:before="10" w:after="10"/>
            </w:pPr>
            <w:r/>
            <w:r>
              <w:rPr>
                <w:sz w:val="16"/>
              </w:rPr>
              <w:t>$1.19</w:t>
            </w:r>
          </w:p>
        </w:tc>
        <w:tc>
          <w:tcPr>
            <w:tcW w:w="950" w:type="dxa"/>
          </w:tcPr>
          <w:p>
            <w:pPr>
              <w:jc w:val="right"/>
              <w:spacing w:before="10" w:after="10"/>
            </w:pPr>
            <w:r/>
            <w:r>
              <w:rPr>
                <w:sz w:val="16"/>
              </w:rPr>
              <w:t>$0.081</w:t>
            </w:r>
          </w:p>
        </w:tc>
        <w:tc>
          <w:tcPr>
            <w:tcW w:w="950" w:type="dxa"/>
          </w:tcPr>
          <w:p>
            <w:pPr>
              <w:jc w:val="right"/>
              <w:spacing w:before="10" w:after="10"/>
            </w:pPr>
            <w:r/>
            <w:r>
              <w:rPr>
                <w:sz w:val="16"/>
              </w:rPr>
              <w:t>$0.057</w:t>
            </w:r>
          </w:p>
        </w:tc>
        <w:tc>
          <w:tcPr>
            <w:tcW w:w="550" w:type="dxa"/>
          </w:tcPr>
          <w:p>
            <w:pPr>
              <w:jc w:val="right"/>
              <w:spacing w:before="10" w:after="10"/>
            </w:pPr>
            <w:r/>
            <w:r>
              <w:rPr>
                <w:sz w:val="16"/>
              </w:rPr>
              <w:t>1.29</w:t>
            </w:r>
          </w:p>
        </w:tc>
        <w:tc>
          <w:tcPr>
            <w:tcW w:w="950" w:type="dxa"/>
          </w:tcPr>
          <w:p>
            <w:pPr>
              <w:jc w:val="right"/>
              <w:spacing w:before="10" w:after="10"/>
            </w:pPr>
            <w:r/>
            <w:r>
              <w:rPr>
                <w:sz w:val="16"/>
              </w:rPr>
              <w:t>$0.090</w:t>
            </w:r>
          </w:p>
        </w:tc>
        <w:tc>
          <w:tcPr>
            <w:tcW w:w="950" w:type="dxa"/>
          </w:tcPr>
          <w:p>
            <w:pPr>
              <w:spacing w:before="10" w:after="10"/>
            </w:pPr>
            <w:r/>
            <w:r>
              <w:rPr>
                <w:sz w:val="16"/>
              </w:rPr>
              <w:t>hybrid</w:t>
            </w:r>
          </w:p>
        </w:tc>
      </w:tr>
      <w:tr>
        <w:tc>
          <w:tcPr>
            <w:tcW w:w="500" w:type="dxa"/>
          </w:tcPr>
          <w:p>
            <w:pPr>
              <w:spacing w:before="10" w:after="10"/>
            </w:pPr>
            <w:r/>
            <w:r>
              <w:rPr>
                <w:sz w:val="16"/>
              </w:rPr>
              <w:t>41</w:t>
            </w:r>
          </w:p>
        </w:tc>
        <w:tc>
          <w:tcPr>
            <w:tcW w:w="1800" w:type="dxa"/>
          </w:tcPr>
          <w:p>
            <w:pPr>
              <w:spacing w:before="10" w:after="10"/>
            </w:pPr>
            <w:r/>
            <w:r>
              <w:rPr>
                <w:sz w:val="16"/>
              </w:rPr>
              <w:t>New Zealand</w:t>
            </w:r>
          </w:p>
        </w:tc>
        <w:tc>
          <w:tcPr>
            <w:tcW w:w="950" w:type="dxa"/>
          </w:tcPr>
          <w:p>
            <w:pPr>
              <w:jc w:val="right"/>
              <w:spacing w:before="10" w:after="10"/>
            </w:pPr>
            <w:r/>
            <w:r>
              <w:rPr>
                <w:sz w:val="16"/>
              </w:rPr>
              <w:t>$1.19</w:t>
            </w:r>
          </w:p>
        </w:tc>
        <w:tc>
          <w:tcPr>
            <w:tcW w:w="950" w:type="dxa"/>
          </w:tcPr>
          <w:p>
            <w:pPr>
              <w:jc w:val="right"/>
              <w:spacing w:before="10" w:after="10"/>
            </w:pPr>
            <w:r/>
            <w:r>
              <w:rPr>
                <w:sz w:val="16"/>
              </w:rPr>
              <w:t>$0.073</w:t>
            </w:r>
          </w:p>
        </w:tc>
        <w:tc>
          <w:tcPr>
            <w:tcW w:w="950" w:type="dxa"/>
          </w:tcPr>
          <w:p>
            <w:pPr>
              <w:jc w:val="right"/>
              <w:spacing w:before="10" w:after="10"/>
            </w:pPr>
            <w:r/>
            <w:r>
              <w:rPr>
                <w:sz w:val="16"/>
              </w:rPr>
              <w:t>$0.065</w:t>
            </w:r>
          </w:p>
        </w:tc>
        <w:tc>
          <w:tcPr>
            <w:tcW w:w="550" w:type="dxa"/>
          </w:tcPr>
          <w:p>
            <w:pPr>
              <w:jc w:val="right"/>
              <w:spacing w:before="10" w:after="10"/>
            </w:pPr>
            <w:r/>
            <w:r>
              <w:rPr>
                <w:sz w:val="16"/>
              </w:rPr>
              <w:t>1.09</w:t>
            </w:r>
          </w:p>
        </w:tc>
        <w:tc>
          <w:tcPr>
            <w:tcW w:w="950" w:type="dxa"/>
          </w:tcPr>
          <w:p>
            <w:pPr>
              <w:jc w:val="right"/>
              <w:spacing w:before="10" w:after="10"/>
            </w:pPr>
            <w:r/>
            <w:r>
              <w:rPr>
                <w:sz w:val="16"/>
              </w:rPr>
              <w:t>$0.095</w:t>
            </w:r>
          </w:p>
        </w:tc>
        <w:tc>
          <w:tcPr>
            <w:tcW w:w="950" w:type="dxa"/>
          </w:tcPr>
          <w:p>
            <w:pPr>
              <w:spacing w:before="10" w:after="10"/>
            </w:pPr>
            <w:r/>
            <w:r>
              <w:rPr>
                <w:sz w:val="16"/>
              </w:rPr>
              <w:t>hybrid</w:t>
            </w:r>
          </w:p>
        </w:tc>
      </w:tr>
      <w:tr>
        <w:tc>
          <w:tcPr>
            <w:tcW w:w="500" w:type="dxa"/>
          </w:tcPr>
          <w:p>
            <w:pPr>
              <w:spacing w:before="10" w:after="10"/>
            </w:pPr>
            <w:r/>
            <w:r>
              <w:rPr>
                <w:sz w:val="16"/>
              </w:rPr>
              <w:t>43</w:t>
            </w:r>
          </w:p>
        </w:tc>
        <w:tc>
          <w:tcPr>
            <w:tcW w:w="1800" w:type="dxa"/>
          </w:tcPr>
          <w:p>
            <w:pPr>
              <w:spacing w:before="10" w:after="10"/>
            </w:pPr>
            <w:r/>
            <w:r>
              <w:rPr>
                <w:sz w:val="16"/>
              </w:rPr>
              <w:t>Mexico</w:t>
            </w:r>
          </w:p>
        </w:tc>
        <w:tc>
          <w:tcPr>
            <w:tcW w:w="950" w:type="dxa"/>
          </w:tcPr>
          <w:p>
            <w:pPr>
              <w:jc w:val="right"/>
              <w:spacing w:before="10" w:after="10"/>
            </w:pPr>
            <w:r/>
            <w:r>
              <w:rPr>
                <w:sz w:val="16"/>
              </w:rPr>
              <w:t>$1.20</w:t>
            </w:r>
          </w:p>
        </w:tc>
        <w:tc>
          <w:tcPr>
            <w:tcW w:w="950" w:type="dxa"/>
          </w:tcPr>
          <w:p>
            <w:pPr>
              <w:jc w:val="right"/>
              <w:spacing w:before="10" w:after="10"/>
            </w:pPr>
            <w:r/>
            <w:r>
              <w:rPr>
                <w:sz w:val="16"/>
              </w:rPr>
              <w:t>$0.083</w:t>
            </w:r>
          </w:p>
        </w:tc>
        <w:tc>
          <w:tcPr>
            <w:tcW w:w="950" w:type="dxa"/>
          </w:tcPr>
          <w:p>
            <w:pPr>
              <w:jc w:val="right"/>
              <w:spacing w:before="10" w:after="10"/>
            </w:pPr>
            <w:r/>
            <w:r>
              <w:rPr>
                <w:sz w:val="16"/>
              </w:rPr>
              <w:t>$0.055</w:t>
            </w:r>
          </w:p>
        </w:tc>
        <w:tc>
          <w:tcPr>
            <w:tcW w:w="550" w:type="dxa"/>
          </w:tcPr>
          <w:p>
            <w:pPr>
              <w:jc w:val="right"/>
              <w:spacing w:before="10" w:after="10"/>
            </w:pPr>
            <w:r/>
            <w:r>
              <w:rPr>
                <w:sz w:val="16"/>
              </w:rPr>
              <w:t>1.25</w:t>
            </w:r>
          </w:p>
        </w:tc>
        <w:tc>
          <w:tcPr>
            <w:tcW w:w="950" w:type="dxa"/>
          </w:tcPr>
          <w:p>
            <w:pPr>
              <w:jc w:val="right"/>
              <w:spacing w:before="10" w:after="10"/>
            </w:pPr>
            <w:r/>
            <w:r>
              <w:rPr>
                <w:sz w:val="16"/>
              </w:rPr>
              <w:t>$0.095</w:t>
            </w:r>
          </w:p>
        </w:tc>
        <w:tc>
          <w:tcPr>
            <w:tcW w:w="950" w:type="dxa"/>
          </w:tcPr>
          <w:p>
            <w:pPr>
              <w:spacing w:before="10" w:after="10"/>
            </w:pPr>
            <w:r/>
            <w:r>
              <w:rPr>
                <w:sz w:val="16"/>
              </w:rPr>
              <w:t>import</w:t>
            </w:r>
          </w:p>
        </w:tc>
      </w:tr>
      <w:tr>
        <w:tc>
          <w:tcPr>
            <w:tcW w:w="500" w:type="dxa"/>
          </w:tcPr>
          <w:p>
            <w:pPr>
              <w:spacing w:before="10" w:after="10"/>
            </w:pPr>
            <w:r/>
            <w:r>
              <w:rPr>
                <w:sz w:val="16"/>
              </w:rPr>
              <w:t>44</w:t>
            </w:r>
          </w:p>
        </w:tc>
        <w:tc>
          <w:tcPr>
            <w:tcW w:w="1800" w:type="dxa"/>
          </w:tcPr>
          <w:p>
            <w:pPr>
              <w:spacing w:before="10" w:after="10"/>
            </w:pPr>
            <w:r/>
            <w:r>
              <w:rPr>
                <w:sz w:val="16"/>
              </w:rPr>
              <w:t>France</w:t>
            </w:r>
          </w:p>
        </w:tc>
        <w:tc>
          <w:tcPr>
            <w:tcW w:w="950" w:type="dxa"/>
          </w:tcPr>
          <w:p>
            <w:pPr>
              <w:jc w:val="right"/>
              <w:spacing w:before="10" w:after="10"/>
            </w:pPr>
            <w:r/>
            <w:r>
              <w:rPr>
                <w:sz w:val="16"/>
              </w:rPr>
              <w:t>$1.20</w:t>
            </w:r>
          </w:p>
        </w:tc>
        <w:tc>
          <w:tcPr>
            <w:tcW w:w="950" w:type="dxa"/>
          </w:tcPr>
          <w:p>
            <w:pPr>
              <w:jc w:val="right"/>
              <w:spacing w:before="10" w:after="10"/>
            </w:pPr>
            <w:r/>
            <w:r>
              <w:rPr>
                <w:sz w:val="16"/>
              </w:rPr>
              <w:t>$0.084</w:t>
            </w:r>
          </w:p>
        </w:tc>
        <w:tc>
          <w:tcPr>
            <w:tcW w:w="950" w:type="dxa"/>
          </w:tcPr>
          <w:p>
            <w:pPr>
              <w:jc w:val="right"/>
              <w:spacing w:before="10" w:after="10"/>
            </w:pPr>
            <w:r/>
            <w:r>
              <w:rPr>
                <w:sz w:val="16"/>
              </w:rPr>
              <w:t>$0.056</w:t>
            </w:r>
          </w:p>
        </w:tc>
        <w:tc>
          <w:tcPr>
            <w:tcW w:w="550" w:type="dxa"/>
          </w:tcPr>
          <w:p>
            <w:pPr>
              <w:jc w:val="right"/>
              <w:spacing w:before="10" w:after="10"/>
            </w:pPr>
            <w:r/>
            <w:r>
              <w:rPr>
                <w:sz w:val="16"/>
              </w:rPr>
              <w:t>1.17</w:t>
            </w:r>
          </w:p>
        </w:tc>
        <w:tc>
          <w:tcPr>
            <w:tcW w:w="950" w:type="dxa"/>
          </w:tcPr>
          <w:p>
            <w:pPr>
              <w:jc w:val="right"/>
              <w:spacing w:before="10" w:after="10"/>
            </w:pPr>
            <w:r/>
            <w:r>
              <w:rPr>
                <w:sz w:val="16"/>
              </w:rPr>
              <w:t>$0.102</w:t>
            </w:r>
          </w:p>
        </w:tc>
        <w:tc>
          <w:tcPr>
            <w:tcW w:w="950" w:type="dxa"/>
          </w:tcPr>
          <w:p>
            <w:pPr>
              <w:spacing w:before="10" w:after="10"/>
            </w:pPr>
            <w:r/>
            <w:r>
              <w:rPr>
                <w:sz w:val="16"/>
              </w:rPr>
              <w:t>import</w:t>
            </w:r>
          </w:p>
        </w:tc>
      </w:tr>
      <w:tr>
        <w:tc>
          <w:tcPr>
            <w:tcW w:w="500" w:type="dxa"/>
          </w:tcPr>
          <w:p>
            <w:pPr>
              <w:spacing w:before="10" w:after="10"/>
            </w:pPr>
            <w:r/>
            <w:r>
              <w:rPr>
                <w:sz w:val="16"/>
              </w:rPr>
              <w:t>46</w:t>
            </w:r>
          </w:p>
        </w:tc>
        <w:tc>
          <w:tcPr>
            <w:tcW w:w="1800" w:type="dxa"/>
          </w:tcPr>
          <w:p>
            <w:pPr>
              <w:spacing w:before="10" w:after="10"/>
            </w:pPr>
            <w:r/>
            <w:r>
              <w:rPr>
                <w:sz w:val="16"/>
              </w:rPr>
              <w:t>Chile</w:t>
            </w:r>
          </w:p>
        </w:tc>
        <w:tc>
          <w:tcPr>
            <w:tcW w:w="950" w:type="dxa"/>
          </w:tcPr>
          <w:p>
            <w:pPr>
              <w:jc w:val="right"/>
              <w:spacing w:before="10" w:after="10"/>
            </w:pPr>
            <w:r/>
            <w:r>
              <w:rPr>
                <w:sz w:val="16"/>
              </w:rPr>
              <w:t>$1.20</w:t>
            </w:r>
          </w:p>
        </w:tc>
        <w:tc>
          <w:tcPr>
            <w:tcW w:w="950" w:type="dxa"/>
          </w:tcPr>
          <w:p>
            <w:pPr>
              <w:jc w:val="right"/>
              <w:spacing w:before="10" w:after="10"/>
            </w:pPr>
            <w:r/>
            <w:r>
              <w:rPr>
                <w:sz w:val="16"/>
              </w:rPr>
              <w:t>$0.098</w:t>
            </w:r>
          </w:p>
        </w:tc>
        <w:tc>
          <w:tcPr>
            <w:tcW w:w="950" w:type="dxa"/>
          </w:tcPr>
          <w:p>
            <w:pPr>
              <w:jc w:val="right"/>
              <w:spacing w:before="10" w:after="10"/>
            </w:pPr>
            <w:r/>
            <w:r>
              <w:rPr>
                <w:sz w:val="16"/>
              </w:rPr>
              <w:t>$0.046</w:t>
            </w:r>
          </w:p>
        </w:tc>
        <w:tc>
          <w:tcPr>
            <w:tcW w:w="550" w:type="dxa"/>
          </w:tcPr>
          <w:p>
            <w:pPr>
              <w:jc w:val="right"/>
              <w:spacing w:before="10" w:after="10"/>
            </w:pPr>
            <w:r/>
            <w:r>
              <w:rPr>
                <w:sz w:val="16"/>
              </w:rPr>
              <w:t>1.08</w:t>
            </w:r>
          </w:p>
        </w:tc>
        <w:tc>
          <w:tcPr>
            <w:tcW w:w="950" w:type="dxa"/>
          </w:tcPr>
          <w:p>
            <w:pPr>
              <w:jc w:val="right"/>
              <w:spacing w:before="10" w:after="10"/>
            </w:pPr>
            <w:r/>
            <w:r>
              <w:rPr>
                <w:sz w:val="16"/>
              </w:rPr>
              <w:t>$0.130</w:t>
            </w:r>
          </w:p>
        </w:tc>
        <w:tc>
          <w:tcPr>
            <w:tcW w:w="950" w:type="dxa"/>
          </w:tcPr>
          <w:p>
            <w:pPr>
              <w:spacing w:before="10" w:after="10"/>
            </w:pPr>
            <w:r/>
            <w:r>
              <w:rPr>
                <w:sz w:val="16"/>
              </w:rPr>
              <w:t>hybrid</w:t>
            </w:r>
          </w:p>
        </w:tc>
      </w:tr>
      <w:tr>
        <w:tc>
          <w:tcPr>
            <w:tcW w:w="500" w:type="dxa"/>
          </w:tcPr>
          <w:p>
            <w:pPr>
              <w:spacing w:before="10" w:after="10"/>
            </w:pPr>
            <w:r/>
            <w:r>
              <w:rPr>
                <w:sz w:val="16"/>
              </w:rPr>
              <w:t>48</w:t>
            </w:r>
          </w:p>
        </w:tc>
        <w:tc>
          <w:tcPr>
            <w:tcW w:w="1800" w:type="dxa"/>
          </w:tcPr>
          <w:p>
            <w:pPr>
              <w:spacing w:before="10" w:after="10"/>
            </w:pPr>
            <w:r/>
            <w:r>
              <w:rPr>
                <w:sz w:val="16"/>
              </w:rPr>
              <w:t>Portugal</w:t>
            </w:r>
          </w:p>
        </w:tc>
        <w:tc>
          <w:tcPr>
            <w:tcW w:w="950" w:type="dxa"/>
          </w:tcPr>
          <w:p>
            <w:pPr>
              <w:jc w:val="right"/>
              <w:spacing w:before="10" w:after="10"/>
            </w:pPr>
            <w:r/>
            <w:r>
              <w:rPr>
                <w:sz w:val="16"/>
              </w:rPr>
              <w:t>$1.20</w:t>
            </w:r>
          </w:p>
        </w:tc>
        <w:tc>
          <w:tcPr>
            <w:tcW w:w="950" w:type="dxa"/>
          </w:tcPr>
          <w:p>
            <w:pPr>
              <w:jc w:val="right"/>
              <w:spacing w:before="10" w:after="10"/>
            </w:pPr>
            <w:r/>
            <w:r>
              <w:rPr>
                <w:sz w:val="16"/>
              </w:rPr>
              <w:t>$0.091</w:t>
            </w:r>
          </w:p>
        </w:tc>
        <w:tc>
          <w:tcPr>
            <w:tcW w:w="950" w:type="dxa"/>
          </w:tcPr>
          <w:p>
            <w:pPr>
              <w:jc w:val="right"/>
              <w:spacing w:before="10" w:after="10"/>
            </w:pPr>
            <w:r/>
            <w:r>
              <w:rPr>
                <w:sz w:val="16"/>
              </w:rPr>
              <w:t>$0.055</w:t>
            </w:r>
          </w:p>
        </w:tc>
        <w:tc>
          <w:tcPr>
            <w:tcW w:w="550" w:type="dxa"/>
          </w:tcPr>
          <w:p>
            <w:pPr>
              <w:jc w:val="right"/>
              <w:spacing w:before="10" w:after="10"/>
            </w:pPr>
            <w:r/>
            <w:r>
              <w:rPr>
                <w:sz w:val="16"/>
              </w:rPr>
              <w:t>1.20</w:t>
            </w:r>
          </w:p>
        </w:tc>
        <w:tc>
          <w:tcPr>
            <w:tcW w:w="950" w:type="dxa"/>
          </w:tcPr>
          <w:p>
            <w:pPr>
              <w:jc w:val="right"/>
              <w:spacing w:before="10" w:after="10"/>
            </w:pPr>
            <w:r/>
            <w:r>
              <w:rPr>
                <w:sz w:val="16"/>
              </w:rPr>
              <w:t>$0.109</w:t>
            </w:r>
          </w:p>
        </w:tc>
        <w:tc>
          <w:tcPr>
            <w:tcW w:w="950" w:type="dxa"/>
          </w:tcPr>
          <w:p>
            <w:pPr>
              <w:spacing w:before="10" w:after="10"/>
            </w:pPr>
            <w:r/>
            <w:r>
              <w:rPr>
                <w:sz w:val="16"/>
              </w:rPr>
              <w:t>import</w:t>
            </w:r>
          </w:p>
        </w:tc>
      </w:tr>
      <w:tr>
        <w:tc>
          <w:tcPr>
            <w:tcW w:w="500" w:type="dxa"/>
          </w:tcPr>
          <w:p>
            <w:pPr>
              <w:spacing w:before="10" w:after="10"/>
            </w:pPr>
            <w:r/>
            <w:r>
              <w:rPr>
                <w:sz w:val="16"/>
              </w:rPr>
              <w:t>49</w:t>
            </w:r>
          </w:p>
        </w:tc>
        <w:tc>
          <w:tcPr>
            <w:tcW w:w="1800" w:type="dxa"/>
          </w:tcPr>
          <w:p>
            <w:pPr>
              <w:spacing w:before="10" w:after="10"/>
            </w:pPr>
            <w:r/>
            <w:r>
              <w:rPr>
                <w:sz w:val="16"/>
              </w:rPr>
              <w:t>Malaysia</w:t>
            </w:r>
          </w:p>
        </w:tc>
        <w:tc>
          <w:tcPr>
            <w:tcW w:w="950" w:type="dxa"/>
          </w:tcPr>
          <w:p>
            <w:pPr>
              <w:jc w:val="right"/>
              <w:spacing w:before="10" w:after="10"/>
            </w:pPr>
            <w:r/>
            <w:r>
              <w:rPr>
                <w:sz w:val="16"/>
              </w:rPr>
              <w:t>$1.20</w:t>
            </w:r>
          </w:p>
        </w:tc>
        <w:tc>
          <w:tcPr>
            <w:tcW w:w="950" w:type="dxa"/>
          </w:tcPr>
          <w:p>
            <w:pPr>
              <w:jc w:val="right"/>
              <w:spacing w:before="10" w:after="10"/>
            </w:pPr>
            <w:r/>
            <w:r>
              <w:rPr>
                <w:sz w:val="16"/>
              </w:rPr>
              <w:t>$0.087</w:t>
            </w:r>
          </w:p>
        </w:tc>
        <w:tc>
          <w:tcPr>
            <w:tcW w:w="950" w:type="dxa"/>
          </w:tcPr>
          <w:p>
            <w:pPr>
              <w:jc w:val="right"/>
              <w:spacing w:before="10" w:after="10"/>
            </w:pPr>
            <w:r/>
            <w:r>
              <w:rPr>
                <w:sz w:val="16"/>
              </w:rPr>
              <w:t>$0.061</w:t>
            </w:r>
          </w:p>
        </w:tc>
        <w:tc>
          <w:tcPr>
            <w:tcW w:w="550" w:type="dxa"/>
          </w:tcPr>
          <w:p>
            <w:pPr>
              <w:jc w:val="right"/>
              <w:spacing w:before="10" w:after="10"/>
            </w:pPr>
            <w:r/>
            <w:r>
              <w:rPr>
                <w:sz w:val="16"/>
              </w:rPr>
              <w:t>1.26</w:t>
            </w:r>
          </w:p>
        </w:tc>
        <w:tc>
          <w:tcPr>
            <w:tcW w:w="950" w:type="dxa"/>
          </w:tcPr>
          <w:p>
            <w:pPr>
              <w:jc w:val="right"/>
              <w:spacing w:before="10" w:after="10"/>
            </w:pPr>
            <w:r/>
            <w:r>
              <w:rPr>
                <w:sz w:val="16"/>
              </w:rPr>
              <w:t>$0.099</w:t>
            </w:r>
          </w:p>
        </w:tc>
        <w:tc>
          <w:tcPr>
            <w:tcW w:w="950" w:type="dxa"/>
          </w:tcPr>
          <w:p>
            <w:pPr>
              <w:spacing w:before="10" w:after="10"/>
            </w:pPr>
            <w:r/>
            <w:r>
              <w:rPr>
                <w:sz w:val="16"/>
              </w:rPr>
              <w:t>hybrid</w:t>
            </w:r>
          </w:p>
        </w:tc>
      </w:tr>
      <w:tr>
        <w:tc>
          <w:tcPr>
            <w:tcW w:w="500" w:type="dxa"/>
          </w:tcPr>
          <w:p>
            <w:pPr>
              <w:spacing w:before="10" w:after="10"/>
            </w:pPr>
            <w:r/>
            <w:r>
              <w:rPr>
                <w:sz w:val="16"/>
              </w:rPr>
              <w:t>50</w:t>
            </w:r>
          </w:p>
        </w:tc>
        <w:tc>
          <w:tcPr>
            <w:tcW w:w="1800" w:type="dxa"/>
          </w:tcPr>
          <w:p>
            <w:pPr>
              <w:spacing w:before="10" w:after="10"/>
            </w:pPr>
            <w:r/>
            <w:r>
              <w:rPr>
                <w:sz w:val="16"/>
              </w:rPr>
              <w:t>Philippines</w:t>
            </w:r>
          </w:p>
        </w:tc>
        <w:tc>
          <w:tcPr>
            <w:tcW w:w="950" w:type="dxa"/>
          </w:tcPr>
          <w:p>
            <w:pPr>
              <w:jc w:val="right"/>
              <w:spacing w:before="10" w:after="10"/>
            </w:pPr>
            <w:r/>
            <w:r>
              <w:rPr>
                <w:sz w:val="16"/>
              </w:rPr>
              <w:t>$1.20</w:t>
            </w:r>
          </w:p>
        </w:tc>
        <w:tc>
          <w:tcPr>
            <w:tcW w:w="950" w:type="dxa"/>
          </w:tcPr>
          <w:p>
            <w:pPr>
              <w:jc w:val="right"/>
              <w:spacing w:before="10" w:after="10"/>
            </w:pPr>
            <w:r/>
            <w:r>
              <w:rPr>
                <w:sz w:val="16"/>
              </w:rPr>
              <w:t>$0.102</w:t>
            </w:r>
          </w:p>
        </w:tc>
        <w:tc>
          <w:tcPr>
            <w:tcW w:w="950" w:type="dxa"/>
          </w:tcPr>
          <w:p>
            <w:pPr>
              <w:jc w:val="right"/>
              <w:spacing w:before="10" w:after="10"/>
            </w:pPr>
            <w:r/>
            <w:r>
              <w:rPr>
                <w:sz w:val="16"/>
              </w:rPr>
              <w:t>$0.046</w:t>
            </w:r>
          </w:p>
        </w:tc>
        <w:tc>
          <w:tcPr>
            <w:tcW w:w="550" w:type="dxa"/>
          </w:tcPr>
          <w:p>
            <w:pPr>
              <w:jc w:val="right"/>
              <w:spacing w:before="10" w:after="10"/>
            </w:pPr>
            <w:r/>
            <w:r>
              <w:rPr>
                <w:sz w:val="16"/>
              </w:rPr>
              <w:t>1.27</w:t>
            </w:r>
          </w:p>
        </w:tc>
        <w:tc>
          <w:tcPr>
            <w:tcW w:w="950" w:type="dxa"/>
          </w:tcPr>
          <w:p>
            <w:pPr>
              <w:jc w:val="right"/>
              <w:spacing w:before="10" w:after="10"/>
            </w:pPr>
            <w:r/>
            <w:r>
              <w:rPr>
                <w:sz w:val="16"/>
              </w:rPr>
              <w:t>$0.115</w:t>
            </w:r>
          </w:p>
        </w:tc>
        <w:tc>
          <w:tcPr>
            <w:tcW w:w="950" w:type="dxa"/>
          </w:tcPr>
          <w:p>
            <w:pPr>
              <w:spacing w:before="10" w:after="10"/>
            </w:pPr>
            <w:r/>
            <w:r>
              <w:rPr>
                <w:sz w:val="16"/>
              </w:rPr>
              <w:t>hybrid</w:t>
            </w:r>
          </w:p>
        </w:tc>
      </w:tr>
      <w:tr>
        <w:tc>
          <w:tcPr>
            <w:tcW w:w="500" w:type="dxa"/>
          </w:tcPr>
          <w:p>
            <w:pPr>
              <w:spacing w:before="10" w:after="10"/>
            </w:pPr>
            <w:r/>
            <w:r>
              <w:rPr>
                <w:sz w:val="16"/>
              </w:rPr>
              <w:t>51</w:t>
            </w:r>
          </w:p>
        </w:tc>
        <w:tc>
          <w:tcPr>
            <w:tcW w:w="1800" w:type="dxa"/>
          </w:tcPr>
          <w:p>
            <w:pPr>
              <w:spacing w:before="10" w:after="10"/>
            </w:pPr>
            <w:r/>
            <w:r>
              <w:rPr>
                <w:sz w:val="16"/>
              </w:rPr>
              <w:t>Taiwan</w:t>
            </w:r>
          </w:p>
        </w:tc>
        <w:tc>
          <w:tcPr>
            <w:tcW w:w="950" w:type="dxa"/>
          </w:tcPr>
          <w:p>
            <w:pPr>
              <w:jc w:val="right"/>
              <w:spacing w:before="10" w:after="10"/>
            </w:pPr>
            <w:r/>
            <w:r>
              <w:rPr>
                <w:sz w:val="16"/>
              </w:rPr>
              <w:t>$1.21</w:t>
            </w:r>
          </w:p>
        </w:tc>
        <w:tc>
          <w:tcPr>
            <w:tcW w:w="950" w:type="dxa"/>
          </w:tcPr>
          <w:p>
            <w:pPr>
              <w:jc w:val="right"/>
              <w:spacing w:before="10" w:after="10"/>
            </w:pPr>
            <w:r/>
            <w:r>
              <w:rPr>
                <w:sz w:val="16"/>
              </w:rPr>
              <w:t>$0.082</w:t>
            </w:r>
          </w:p>
        </w:tc>
        <w:tc>
          <w:tcPr>
            <w:tcW w:w="950" w:type="dxa"/>
          </w:tcPr>
          <w:p>
            <w:pPr>
              <w:jc w:val="right"/>
              <w:spacing w:before="10" w:after="10"/>
            </w:pPr>
            <w:r/>
            <w:r>
              <w:rPr>
                <w:sz w:val="16"/>
              </w:rPr>
              <w:t>$0.067</w:t>
            </w:r>
          </w:p>
        </w:tc>
        <w:tc>
          <w:tcPr>
            <w:tcW w:w="550" w:type="dxa"/>
          </w:tcPr>
          <w:p>
            <w:pPr>
              <w:jc w:val="right"/>
              <w:spacing w:before="10" w:after="10"/>
            </w:pPr>
            <w:r/>
            <w:r>
              <w:rPr>
                <w:sz w:val="16"/>
              </w:rPr>
              <w:t>1.25</w:t>
            </w:r>
          </w:p>
        </w:tc>
        <w:tc>
          <w:tcPr>
            <w:tcW w:w="950" w:type="dxa"/>
          </w:tcPr>
          <w:p>
            <w:pPr>
              <w:jc w:val="right"/>
              <w:spacing w:before="10" w:after="10"/>
            </w:pPr>
            <w:r/>
            <w:r>
              <w:rPr>
                <w:sz w:val="16"/>
              </w:rPr>
              <w:t>$0.094</w:t>
            </w:r>
          </w:p>
        </w:tc>
        <w:tc>
          <w:tcPr>
            <w:tcW w:w="950" w:type="dxa"/>
          </w:tcPr>
          <w:p>
            <w:pPr>
              <w:spacing w:before="10" w:after="10"/>
            </w:pPr>
            <w:r/>
            <w:r>
              <w:rPr>
                <w:sz w:val="16"/>
              </w:rPr>
              <w:t>hybrid</w:t>
            </w:r>
          </w:p>
        </w:tc>
      </w:tr>
      <w:tr>
        <w:tc>
          <w:tcPr>
            <w:tcW w:w="500" w:type="dxa"/>
          </w:tcPr>
          <w:p>
            <w:pPr>
              <w:spacing w:before="10" w:after="10"/>
            </w:pPr>
            <w:r/>
            <w:r>
              <w:rPr>
                <w:sz w:val="16"/>
              </w:rPr>
              <w:t>52</w:t>
            </w:r>
          </w:p>
        </w:tc>
        <w:tc>
          <w:tcPr>
            <w:tcW w:w="1800" w:type="dxa"/>
          </w:tcPr>
          <w:p>
            <w:pPr>
              <w:spacing w:before="10" w:after="10"/>
            </w:pPr>
            <w:r/>
            <w:r>
              <w:rPr>
                <w:sz w:val="16"/>
              </w:rPr>
              <w:t>Israel</w:t>
            </w:r>
          </w:p>
        </w:tc>
        <w:tc>
          <w:tcPr>
            <w:tcW w:w="950" w:type="dxa"/>
          </w:tcPr>
          <w:p>
            <w:pPr>
              <w:jc w:val="right"/>
              <w:spacing w:before="10" w:after="10"/>
            </w:pPr>
            <w:r/>
            <w:r>
              <w:rPr>
                <w:sz w:val="16"/>
              </w:rPr>
              <w:t>$1.21</w:t>
            </w:r>
          </w:p>
        </w:tc>
        <w:tc>
          <w:tcPr>
            <w:tcW w:w="950" w:type="dxa"/>
          </w:tcPr>
          <w:p>
            <w:pPr>
              <w:jc w:val="right"/>
              <w:spacing w:before="10" w:after="10"/>
            </w:pPr>
            <w:r/>
            <w:r>
              <w:rPr>
                <w:sz w:val="16"/>
              </w:rPr>
              <w:t>$0.097</w:t>
            </w:r>
          </w:p>
        </w:tc>
        <w:tc>
          <w:tcPr>
            <w:tcW w:w="950" w:type="dxa"/>
          </w:tcPr>
          <w:p>
            <w:pPr>
              <w:jc w:val="right"/>
              <w:spacing w:before="10" w:after="10"/>
            </w:pPr>
            <w:r/>
            <w:r>
              <w:rPr>
                <w:sz w:val="16"/>
              </w:rPr>
              <w:t>$0.053</w:t>
            </w:r>
          </w:p>
        </w:tc>
        <w:tc>
          <w:tcPr>
            <w:tcW w:w="550" w:type="dxa"/>
          </w:tcPr>
          <w:p>
            <w:pPr>
              <w:jc w:val="right"/>
              <w:spacing w:before="10" w:after="10"/>
            </w:pPr>
            <w:r/>
            <w:r>
              <w:rPr>
                <w:sz w:val="16"/>
              </w:rPr>
              <w:t>1.28</w:t>
            </w:r>
          </w:p>
        </w:tc>
        <w:tc>
          <w:tcPr>
            <w:tcW w:w="950" w:type="dxa"/>
          </w:tcPr>
          <w:p>
            <w:pPr>
              <w:jc w:val="right"/>
              <w:spacing w:before="10" w:after="10"/>
            </w:pPr>
            <w:r/>
            <w:r>
              <w:rPr>
                <w:sz w:val="16"/>
              </w:rPr>
              <w:t>$0.108</w:t>
            </w:r>
          </w:p>
        </w:tc>
        <w:tc>
          <w:tcPr>
            <w:tcW w:w="950" w:type="dxa"/>
          </w:tcPr>
          <w:p>
            <w:pPr>
              <w:spacing w:before="10" w:after="10"/>
            </w:pPr>
            <w:r/>
            <w:r>
              <w:rPr>
                <w:sz w:val="16"/>
              </w:rPr>
              <w:t>import</w:t>
            </w:r>
          </w:p>
        </w:tc>
      </w:tr>
      <w:tr>
        <w:tc>
          <w:tcPr>
            <w:tcW w:w="500" w:type="dxa"/>
          </w:tcPr>
          <w:p>
            <w:pPr>
              <w:spacing w:before="10" w:after="10"/>
            </w:pPr>
            <w:r/>
            <w:r>
              <w:rPr>
                <w:sz w:val="16"/>
              </w:rPr>
              <w:t>53</w:t>
            </w:r>
          </w:p>
        </w:tc>
        <w:tc>
          <w:tcPr>
            <w:tcW w:w="1800" w:type="dxa"/>
          </w:tcPr>
          <w:p>
            <w:pPr>
              <w:spacing w:before="10" w:after="10"/>
            </w:pPr>
            <w:r/>
            <w:r>
              <w:rPr>
                <w:sz w:val="16"/>
              </w:rPr>
              <w:t>Thailand</w:t>
            </w:r>
          </w:p>
        </w:tc>
        <w:tc>
          <w:tcPr>
            <w:tcW w:w="950" w:type="dxa"/>
          </w:tcPr>
          <w:p>
            <w:pPr>
              <w:jc w:val="right"/>
              <w:spacing w:before="10" w:after="10"/>
            </w:pPr>
            <w:r/>
            <w:r>
              <w:rPr>
                <w:sz w:val="16"/>
              </w:rPr>
              <w:t>$1.21</w:t>
            </w:r>
          </w:p>
        </w:tc>
        <w:tc>
          <w:tcPr>
            <w:tcW w:w="950" w:type="dxa"/>
          </w:tcPr>
          <w:p>
            <w:pPr>
              <w:jc w:val="right"/>
              <w:spacing w:before="10" w:after="10"/>
            </w:pPr>
            <w:r/>
            <w:r>
              <w:rPr>
                <w:sz w:val="16"/>
              </w:rPr>
              <w:t>$0.098</w:t>
            </w:r>
          </w:p>
        </w:tc>
        <w:tc>
          <w:tcPr>
            <w:tcW w:w="950" w:type="dxa"/>
          </w:tcPr>
          <w:p>
            <w:pPr>
              <w:jc w:val="right"/>
              <w:spacing w:before="10" w:after="10"/>
            </w:pPr>
            <w:r/>
            <w:r>
              <w:rPr>
                <w:sz w:val="16"/>
              </w:rPr>
              <w:t>$0.052</w:t>
            </w:r>
          </w:p>
        </w:tc>
        <w:tc>
          <w:tcPr>
            <w:tcW w:w="550" w:type="dxa"/>
          </w:tcPr>
          <w:p>
            <w:pPr>
              <w:jc w:val="right"/>
              <w:spacing w:before="10" w:after="10"/>
            </w:pPr>
            <w:r/>
            <w:r>
              <w:rPr>
                <w:sz w:val="16"/>
              </w:rPr>
              <w:t>1.29</w:t>
            </w:r>
          </w:p>
        </w:tc>
        <w:tc>
          <w:tcPr>
            <w:tcW w:w="950" w:type="dxa"/>
          </w:tcPr>
          <w:p>
            <w:pPr>
              <w:jc w:val="right"/>
              <w:spacing w:before="10" w:after="10"/>
            </w:pPr>
            <w:r/>
            <w:r>
              <w:rPr>
                <w:sz w:val="16"/>
              </w:rPr>
              <w:t>$0.108</w:t>
            </w:r>
          </w:p>
        </w:tc>
        <w:tc>
          <w:tcPr>
            <w:tcW w:w="950" w:type="dxa"/>
          </w:tcPr>
          <w:p>
            <w:pPr>
              <w:spacing w:before="10" w:after="10"/>
            </w:pPr>
            <w:r/>
            <w:r>
              <w:rPr>
                <w:sz w:val="16"/>
              </w:rPr>
              <w:t>hybrid</w:t>
            </w:r>
          </w:p>
        </w:tc>
      </w:tr>
      <w:tr>
        <w:tc>
          <w:tcPr>
            <w:tcW w:w="500" w:type="dxa"/>
          </w:tcPr>
          <w:p>
            <w:pPr>
              <w:spacing w:before="10" w:after="10"/>
            </w:pPr>
            <w:r/>
            <w:r>
              <w:rPr>
                <w:sz w:val="16"/>
              </w:rPr>
              <w:t>54</w:t>
            </w:r>
          </w:p>
        </w:tc>
        <w:tc>
          <w:tcPr>
            <w:tcW w:w="1800" w:type="dxa"/>
          </w:tcPr>
          <w:p>
            <w:pPr>
              <w:spacing w:before="10" w:after="10"/>
            </w:pPr>
            <w:r/>
            <w:r>
              <w:rPr>
                <w:sz w:val="16"/>
              </w:rPr>
              <w:t>Spain</w:t>
            </w:r>
          </w:p>
        </w:tc>
        <w:tc>
          <w:tcPr>
            <w:tcW w:w="950" w:type="dxa"/>
          </w:tcPr>
          <w:p>
            <w:pPr>
              <w:jc w:val="right"/>
              <w:spacing w:before="10" w:after="10"/>
            </w:pPr>
            <w:r/>
            <w:r>
              <w:rPr>
                <w:sz w:val="16"/>
              </w:rPr>
              <w:t>$1.21</w:t>
            </w:r>
          </w:p>
        </w:tc>
        <w:tc>
          <w:tcPr>
            <w:tcW w:w="950" w:type="dxa"/>
          </w:tcPr>
          <w:p>
            <w:pPr>
              <w:jc w:val="right"/>
              <w:spacing w:before="10" w:after="10"/>
            </w:pPr>
            <w:r/>
            <w:r>
              <w:rPr>
                <w:sz w:val="16"/>
              </w:rPr>
              <w:t>$0.097</w:t>
            </w:r>
          </w:p>
        </w:tc>
        <w:tc>
          <w:tcPr>
            <w:tcW w:w="950" w:type="dxa"/>
          </w:tcPr>
          <w:p>
            <w:pPr>
              <w:jc w:val="right"/>
              <w:spacing w:before="10" w:after="10"/>
            </w:pPr>
            <w:r/>
            <w:r>
              <w:rPr>
                <w:sz w:val="16"/>
              </w:rPr>
              <w:t>$0.053</w:t>
            </w:r>
          </w:p>
        </w:tc>
        <w:tc>
          <w:tcPr>
            <w:tcW w:w="550" w:type="dxa"/>
          </w:tcPr>
          <w:p>
            <w:pPr>
              <w:jc w:val="right"/>
              <w:spacing w:before="10" w:after="10"/>
            </w:pPr>
            <w:r/>
            <w:r>
              <w:rPr>
                <w:sz w:val="16"/>
              </w:rPr>
              <w:t>1.23</w:t>
            </w:r>
          </w:p>
        </w:tc>
        <w:tc>
          <w:tcPr>
            <w:tcW w:w="950" w:type="dxa"/>
          </w:tcPr>
          <w:p>
            <w:pPr>
              <w:jc w:val="right"/>
              <w:spacing w:before="10" w:after="10"/>
            </w:pPr>
            <w:r/>
            <w:r>
              <w:rPr>
                <w:sz w:val="16"/>
              </w:rPr>
              <w:t>$0.113</w:t>
            </w:r>
          </w:p>
        </w:tc>
        <w:tc>
          <w:tcPr>
            <w:tcW w:w="950" w:type="dxa"/>
          </w:tcPr>
          <w:p>
            <w:pPr>
              <w:spacing w:before="10" w:after="10"/>
            </w:pPr>
            <w:r/>
            <w:r>
              <w:rPr>
                <w:sz w:val="16"/>
              </w:rPr>
              <w:t>import</w:t>
            </w:r>
          </w:p>
        </w:tc>
      </w:tr>
      <w:tr>
        <w:tc>
          <w:tcPr>
            <w:tcW w:w="500" w:type="dxa"/>
          </w:tcPr>
          <w:p>
            <w:pPr>
              <w:spacing w:before="10" w:after="10"/>
            </w:pPr>
            <w:r/>
            <w:r>
              <w:rPr>
                <w:sz w:val="16"/>
              </w:rPr>
              <w:t>56</w:t>
            </w:r>
          </w:p>
        </w:tc>
        <w:tc>
          <w:tcPr>
            <w:tcW w:w="1800" w:type="dxa"/>
          </w:tcPr>
          <w:p>
            <w:pPr>
              <w:spacing w:before="10" w:after="10"/>
            </w:pPr>
            <w:r/>
            <w:r>
              <w:rPr>
                <w:sz w:val="16"/>
              </w:rPr>
              <w:t>Malta</w:t>
            </w:r>
          </w:p>
        </w:tc>
        <w:tc>
          <w:tcPr>
            <w:tcW w:w="950" w:type="dxa"/>
          </w:tcPr>
          <w:p>
            <w:pPr>
              <w:jc w:val="right"/>
              <w:spacing w:before="10" w:after="10"/>
            </w:pPr>
            <w:r/>
            <w:r>
              <w:rPr>
                <w:sz w:val="16"/>
              </w:rPr>
              <w:t>$1.21</w:t>
            </w:r>
          </w:p>
        </w:tc>
        <w:tc>
          <w:tcPr>
            <w:tcW w:w="950" w:type="dxa"/>
          </w:tcPr>
          <w:p>
            <w:pPr>
              <w:jc w:val="right"/>
              <w:spacing w:before="10" w:after="10"/>
            </w:pPr>
            <w:r/>
            <w:r>
              <w:rPr>
                <w:sz w:val="16"/>
              </w:rPr>
              <w:t>$0.097</w:t>
            </w:r>
          </w:p>
        </w:tc>
        <w:tc>
          <w:tcPr>
            <w:tcW w:w="950" w:type="dxa"/>
          </w:tcPr>
          <w:p>
            <w:pPr>
              <w:jc w:val="right"/>
              <w:spacing w:before="10" w:after="10"/>
            </w:pPr>
            <w:r/>
            <w:r>
              <w:rPr>
                <w:sz w:val="16"/>
              </w:rPr>
              <w:t>$0.057</w:t>
            </w:r>
          </w:p>
        </w:tc>
        <w:tc>
          <w:tcPr>
            <w:tcW w:w="550" w:type="dxa"/>
          </w:tcPr>
          <w:p>
            <w:pPr>
              <w:jc w:val="right"/>
              <w:spacing w:before="10" w:after="10"/>
            </w:pPr>
            <w:r/>
            <w:r>
              <w:rPr>
                <w:sz w:val="16"/>
              </w:rPr>
              <w:t>1.26</w:t>
            </w:r>
          </w:p>
        </w:tc>
        <w:tc>
          <w:tcPr>
            <w:tcW w:w="950" w:type="dxa"/>
          </w:tcPr>
          <w:p>
            <w:pPr>
              <w:jc w:val="right"/>
              <w:spacing w:before="10" w:after="10"/>
            </w:pPr>
            <w:r/>
            <w:r>
              <w:rPr>
                <w:sz w:val="16"/>
              </w:rPr>
              <w:t>$0.111</w:t>
            </w:r>
          </w:p>
        </w:tc>
        <w:tc>
          <w:tcPr>
            <w:tcW w:w="950" w:type="dxa"/>
          </w:tcPr>
          <w:p>
            <w:pPr>
              <w:spacing w:before="10" w:after="10"/>
            </w:pPr>
            <w:r/>
            <w:r>
              <w:rPr>
                <w:sz w:val="16"/>
              </w:rPr>
              <w:t>import</w:t>
            </w:r>
          </w:p>
        </w:tc>
      </w:tr>
      <w:tr>
        <w:tc>
          <w:tcPr>
            <w:tcW w:w="500" w:type="dxa"/>
          </w:tcPr>
          <w:p>
            <w:pPr>
              <w:spacing w:before="10" w:after="10"/>
            </w:pPr>
            <w:r/>
            <w:r>
              <w:rPr>
                <w:sz w:val="16"/>
              </w:rPr>
              <w:t>57</w:t>
            </w:r>
          </w:p>
        </w:tc>
        <w:tc>
          <w:tcPr>
            <w:tcW w:w="1800" w:type="dxa"/>
          </w:tcPr>
          <w:p>
            <w:pPr>
              <w:spacing w:before="10" w:after="10"/>
            </w:pPr>
            <w:r/>
            <w:r>
              <w:rPr>
                <w:sz w:val="16"/>
              </w:rPr>
              <w:t>Pakistan</w:t>
            </w:r>
          </w:p>
        </w:tc>
        <w:tc>
          <w:tcPr>
            <w:tcW w:w="950" w:type="dxa"/>
          </w:tcPr>
          <w:p>
            <w:pPr>
              <w:jc w:val="right"/>
              <w:spacing w:before="10" w:after="10"/>
            </w:pPr>
            <w:r/>
            <w:r>
              <w:rPr>
                <w:sz w:val="16"/>
              </w:rPr>
              <w:t>$1.21</w:t>
            </w:r>
          </w:p>
        </w:tc>
        <w:tc>
          <w:tcPr>
            <w:tcW w:w="950" w:type="dxa"/>
          </w:tcPr>
          <w:p>
            <w:pPr>
              <w:jc w:val="right"/>
              <w:spacing w:before="10" w:after="10"/>
            </w:pPr>
            <w:r/>
            <w:r>
              <w:rPr>
                <w:sz w:val="16"/>
              </w:rPr>
              <w:t>$0.122</w:t>
            </w:r>
          </w:p>
        </w:tc>
        <w:tc>
          <w:tcPr>
            <w:tcW w:w="950" w:type="dxa"/>
          </w:tcPr>
          <w:p>
            <w:pPr>
              <w:jc w:val="right"/>
              <w:spacing w:before="10" w:after="10"/>
            </w:pPr>
            <w:r/>
            <w:r>
              <w:rPr>
                <w:sz w:val="16"/>
              </w:rPr>
              <w:t>$0.034</w:t>
            </w:r>
          </w:p>
        </w:tc>
        <w:tc>
          <w:tcPr>
            <w:tcW w:w="550" w:type="dxa"/>
          </w:tcPr>
          <w:p>
            <w:pPr>
              <w:jc w:val="right"/>
              <w:spacing w:before="10" w:after="10"/>
            </w:pPr>
            <w:r/>
            <w:r>
              <w:rPr>
                <w:sz w:val="16"/>
              </w:rPr>
              <w:t>1.30</w:t>
            </w:r>
          </w:p>
        </w:tc>
        <w:tc>
          <w:tcPr>
            <w:tcW w:w="950" w:type="dxa"/>
          </w:tcPr>
          <w:p>
            <w:pPr>
              <w:jc w:val="right"/>
              <w:spacing w:before="10" w:after="10"/>
            </w:pPr>
            <w:r/>
            <w:r>
              <w:rPr>
                <w:sz w:val="16"/>
              </w:rPr>
              <w:t>$0.134</w:t>
            </w:r>
          </w:p>
        </w:tc>
        <w:tc>
          <w:tcPr>
            <w:tcW w:w="950" w:type="dxa"/>
          </w:tcPr>
          <w:p>
            <w:pPr>
              <w:spacing w:before="10" w:after="10"/>
            </w:pPr>
            <w:r/>
            <w:r>
              <w:rPr>
                <w:sz w:val="16"/>
              </w:rPr>
              <w:t>hybrid</w:t>
            </w:r>
          </w:p>
        </w:tc>
      </w:tr>
      <w:tr>
        <w:tc>
          <w:tcPr>
            <w:tcW w:w="500" w:type="dxa"/>
          </w:tcPr>
          <w:p>
            <w:pPr>
              <w:spacing w:before="10" w:after="10"/>
            </w:pPr>
            <w:r/>
            <w:r>
              <w:rPr>
                <w:sz w:val="16"/>
              </w:rPr>
              <w:t>59</w:t>
            </w:r>
          </w:p>
        </w:tc>
        <w:tc>
          <w:tcPr>
            <w:tcW w:w="1800" w:type="dxa"/>
          </w:tcPr>
          <w:p>
            <w:pPr>
              <w:spacing w:before="10" w:after="10"/>
            </w:pPr>
            <w:r/>
            <w:r>
              <w:rPr>
                <w:sz w:val="16"/>
              </w:rPr>
              <w:t>Belgium</w:t>
            </w:r>
          </w:p>
        </w:tc>
        <w:tc>
          <w:tcPr>
            <w:tcW w:w="950" w:type="dxa"/>
          </w:tcPr>
          <w:p>
            <w:pPr>
              <w:jc w:val="right"/>
              <w:spacing w:before="10" w:after="10"/>
            </w:pPr>
            <w:r/>
            <w:r>
              <w:rPr>
                <w:sz w:val="16"/>
              </w:rPr>
              <w:t>$1.22</w:t>
            </w:r>
          </w:p>
        </w:tc>
        <w:tc>
          <w:tcPr>
            <w:tcW w:w="950" w:type="dxa"/>
          </w:tcPr>
          <w:p>
            <w:pPr>
              <w:jc w:val="right"/>
              <w:spacing w:before="10" w:after="10"/>
            </w:pPr>
            <w:r/>
            <w:r>
              <w:rPr>
                <w:sz w:val="16"/>
              </w:rPr>
              <w:t>$0.100</w:t>
            </w:r>
          </w:p>
        </w:tc>
        <w:tc>
          <w:tcPr>
            <w:tcW w:w="950" w:type="dxa"/>
          </w:tcPr>
          <w:p>
            <w:pPr>
              <w:jc w:val="right"/>
              <w:spacing w:before="10" w:after="10"/>
            </w:pPr>
            <w:r/>
            <w:r>
              <w:rPr>
                <w:sz w:val="16"/>
              </w:rPr>
              <w:t>$0.060</w:t>
            </w:r>
          </w:p>
        </w:tc>
        <w:tc>
          <w:tcPr>
            <w:tcW w:w="550" w:type="dxa"/>
          </w:tcPr>
          <w:p>
            <w:pPr>
              <w:jc w:val="right"/>
              <w:spacing w:before="10" w:after="10"/>
            </w:pPr>
            <w:r/>
            <w:r>
              <w:rPr>
                <w:sz w:val="16"/>
              </w:rPr>
              <w:t>1.14</w:t>
            </w:r>
          </w:p>
        </w:tc>
        <w:tc>
          <w:tcPr>
            <w:tcW w:w="950" w:type="dxa"/>
          </w:tcPr>
          <w:p>
            <w:pPr>
              <w:jc w:val="right"/>
              <w:spacing w:before="10" w:after="10"/>
            </w:pPr>
            <w:r/>
            <w:r>
              <w:rPr>
                <w:sz w:val="16"/>
              </w:rPr>
              <w:t>$0.125</w:t>
            </w:r>
          </w:p>
        </w:tc>
        <w:tc>
          <w:tcPr>
            <w:tcW w:w="950" w:type="dxa"/>
          </w:tcPr>
          <w:p>
            <w:pPr>
              <w:spacing w:before="10" w:after="10"/>
            </w:pPr>
            <w:r/>
            <w:r>
              <w:rPr>
                <w:sz w:val="16"/>
              </w:rPr>
              <w:t>import</w:t>
            </w:r>
          </w:p>
        </w:tc>
      </w:tr>
      <w:tr>
        <w:tc>
          <w:tcPr>
            <w:tcW w:w="500" w:type="dxa"/>
          </w:tcPr>
          <w:p>
            <w:pPr>
              <w:spacing w:before="10" w:after="10"/>
            </w:pPr>
            <w:r/>
            <w:r>
              <w:rPr>
                <w:sz w:val="16"/>
              </w:rPr>
              <w:t>60</w:t>
            </w:r>
          </w:p>
        </w:tc>
        <w:tc>
          <w:tcPr>
            <w:tcW w:w="1800" w:type="dxa"/>
          </w:tcPr>
          <w:p>
            <w:pPr>
              <w:spacing w:before="10" w:after="10"/>
            </w:pPr>
            <w:r/>
            <w:r>
              <w:rPr>
                <w:sz w:val="16"/>
              </w:rPr>
              <w:t>Netherlands</w:t>
            </w:r>
          </w:p>
        </w:tc>
        <w:tc>
          <w:tcPr>
            <w:tcW w:w="950" w:type="dxa"/>
          </w:tcPr>
          <w:p>
            <w:pPr>
              <w:jc w:val="right"/>
              <w:spacing w:before="10" w:after="10"/>
            </w:pPr>
            <w:r/>
            <w:r>
              <w:rPr>
                <w:sz w:val="16"/>
              </w:rPr>
              <w:t>$1.22</w:t>
            </w:r>
          </w:p>
        </w:tc>
        <w:tc>
          <w:tcPr>
            <w:tcW w:w="950" w:type="dxa"/>
          </w:tcPr>
          <w:p>
            <w:pPr>
              <w:jc w:val="right"/>
              <w:spacing w:before="10" w:after="10"/>
            </w:pPr>
            <w:r/>
            <w:r>
              <w:rPr>
                <w:sz w:val="16"/>
              </w:rPr>
              <w:t>$0.103</w:t>
            </w:r>
          </w:p>
        </w:tc>
        <w:tc>
          <w:tcPr>
            <w:tcW w:w="950" w:type="dxa"/>
          </w:tcPr>
          <w:p>
            <w:pPr>
              <w:jc w:val="right"/>
              <w:spacing w:before="10" w:after="10"/>
            </w:pPr>
            <w:r/>
            <w:r>
              <w:rPr>
                <w:sz w:val="16"/>
              </w:rPr>
              <w:t>$0.058</w:t>
            </w:r>
          </w:p>
        </w:tc>
        <w:tc>
          <w:tcPr>
            <w:tcW w:w="550" w:type="dxa"/>
          </w:tcPr>
          <w:p>
            <w:pPr>
              <w:jc w:val="right"/>
              <w:spacing w:before="10" w:after="10"/>
            </w:pPr>
            <w:r/>
            <w:r>
              <w:rPr>
                <w:sz w:val="16"/>
              </w:rPr>
              <w:t>1.14</w:t>
            </w:r>
          </w:p>
        </w:tc>
        <w:tc>
          <w:tcPr>
            <w:tcW w:w="950" w:type="dxa"/>
          </w:tcPr>
          <w:p>
            <w:pPr>
              <w:jc w:val="right"/>
              <w:spacing w:before="10" w:after="10"/>
            </w:pPr>
            <w:r/>
            <w:r>
              <w:rPr>
                <w:sz w:val="16"/>
              </w:rPr>
              <w:t>$0.130</w:t>
            </w:r>
          </w:p>
        </w:tc>
        <w:tc>
          <w:tcPr>
            <w:tcW w:w="950" w:type="dxa"/>
          </w:tcPr>
          <w:p>
            <w:pPr>
              <w:spacing w:before="10" w:after="10"/>
            </w:pPr>
            <w:r/>
            <w:r>
              <w:rPr>
                <w:sz w:val="16"/>
              </w:rPr>
              <w:t>import</w:t>
            </w:r>
          </w:p>
        </w:tc>
      </w:tr>
      <w:tr>
        <w:tc>
          <w:tcPr>
            <w:tcW w:w="500" w:type="dxa"/>
          </w:tcPr>
          <w:p>
            <w:pPr>
              <w:spacing w:before="10" w:after="10"/>
            </w:pPr>
            <w:r/>
            <w:r>
              <w:rPr>
                <w:sz w:val="16"/>
              </w:rPr>
              <w:t>61</w:t>
            </w:r>
          </w:p>
        </w:tc>
        <w:tc>
          <w:tcPr>
            <w:tcW w:w="1800" w:type="dxa"/>
          </w:tcPr>
          <w:p>
            <w:pPr>
              <w:spacing w:before="10" w:after="10"/>
            </w:pPr>
            <w:r/>
            <w:r>
              <w:rPr>
                <w:sz w:val="16"/>
              </w:rPr>
              <w:t>South Korea</w:t>
            </w:r>
          </w:p>
        </w:tc>
        <w:tc>
          <w:tcPr>
            <w:tcW w:w="950" w:type="dxa"/>
          </w:tcPr>
          <w:p>
            <w:pPr>
              <w:jc w:val="right"/>
              <w:spacing w:before="10" w:after="10"/>
            </w:pPr>
            <w:r/>
            <w:r>
              <w:rPr>
                <w:sz w:val="16"/>
              </w:rPr>
              <w:t>$1.22</w:t>
            </w:r>
          </w:p>
        </w:tc>
        <w:tc>
          <w:tcPr>
            <w:tcW w:w="950" w:type="dxa"/>
          </w:tcPr>
          <w:p>
            <w:pPr>
              <w:jc w:val="right"/>
              <w:spacing w:before="10" w:after="10"/>
            </w:pPr>
            <w:r/>
            <w:r>
              <w:rPr>
                <w:sz w:val="16"/>
              </w:rPr>
              <w:t>$0.109</w:t>
            </w:r>
          </w:p>
        </w:tc>
        <w:tc>
          <w:tcPr>
            <w:tcW w:w="950" w:type="dxa"/>
          </w:tcPr>
          <w:p>
            <w:pPr>
              <w:jc w:val="right"/>
              <w:spacing w:before="10" w:after="10"/>
            </w:pPr>
            <w:r/>
            <w:r>
              <w:rPr>
                <w:sz w:val="16"/>
              </w:rPr>
              <w:t>$0.054</w:t>
            </w:r>
          </w:p>
        </w:tc>
        <w:tc>
          <w:tcPr>
            <w:tcW w:w="550" w:type="dxa"/>
          </w:tcPr>
          <w:p>
            <w:pPr>
              <w:jc w:val="right"/>
              <w:spacing w:before="10" w:after="10"/>
            </w:pPr>
            <w:r/>
            <w:r>
              <w:rPr>
                <w:sz w:val="16"/>
              </w:rPr>
              <w:t>1.25</w:t>
            </w:r>
          </w:p>
        </w:tc>
        <w:tc>
          <w:tcPr>
            <w:tcW w:w="950" w:type="dxa"/>
          </w:tcPr>
          <w:p>
            <w:pPr>
              <w:jc w:val="right"/>
              <w:spacing w:before="10" w:after="10"/>
            </w:pPr>
            <w:r/>
            <w:r>
              <w:rPr>
                <w:sz w:val="16"/>
              </w:rPr>
              <w:t>$0.125</w:t>
            </w:r>
          </w:p>
        </w:tc>
        <w:tc>
          <w:tcPr>
            <w:tcW w:w="950" w:type="dxa"/>
          </w:tcPr>
          <w:p>
            <w:pPr>
              <w:spacing w:before="10" w:after="10"/>
            </w:pPr>
            <w:r/>
            <w:r>
              <w:rPr>
                <w:sz w:val="16"/>
              </w:rPr>
              <w:t>hybrid</w:t>
            </w:r>
          </w:p>
        </w:tc>
      </w:tr>
      <w:tr>
        <w:tc>
          <w:tcPr>
            <w:tcW w:w="500" w:type="dxa"/>
          </w:tcPr>
          <w:p>
            <w:pPr>
              <w:spacing w:before="10" w:after="10"/>
            </w:pPr>
            <w:r/>
            <w:r>
              <w:rPr>
                <w:sz w:val="16"/>
              </w:rPr>
              <w:t>63</w:t>
            </w:r>
          </w:p>
        </w:tc>
        <w:tc>
          <w:tcPr>
            <w:tcW w:w="1800" w:type="dxa"/>
          </w:tcPr>
          <w:p>
            <w:pPr>
              <w:spacing w:before="10" w:after="10"/>
            </w:pPr>
            <w:r/>
            <w:r>
              <w:rPr>
                <w:sz w:val="16"/>
              </w:rPr>
              <w:t>Ghana</w:t>
            </w:r>
          </w:p>
        </w:tc>
        <w:tc>
          <w:tcPr>
            <w:tcW w:w="950" w:type="dxa"/>
          </w:tcPr>
          <w:p>
            <w:pPr>
              <w:jc w:val="right"/>
              <w:spacing w:before="10" w:after="10"/>
            </w:pPr>
            <w:r/>
            <w:r>
              <w:rPr>
                <w:sz w:val="16"/>
              </w:rPr>
              <w:t>$1.22</w:t>
            </w:r>
          </w:p>
        </w:tc>
        <w:tc>
          <w:tcPr>
            <w:tcW w:w="950" w:type="dxa"/>
          </w:tcPr>
          <w:p>
            <w:pPr>
              <w:jc w:val="right"/>
              <w:spacing w:before="10" w:after="10"/>
            </w:pPr>
            <w:r/>
            <w:r>
              <w:rPr>
                <w:sz w:val="16"/>
              </w:rPr>
              <w:t>$0.110</w:t>
            </w:r>
          </w:p>
        </w:tc>
        <w:tc>
          <w:tcPr>
            <w:tcW w:w="950" w:type="dxa"/>
          </w:tcPr>
          <w:p>
            <w:pPr>
              <w:jc w:val="right"/>
              <w:spacing w:before="10" w:after="10"/>
            </w:pPr>
            <w:r/>
            <w:r>
              <w:rPr>
                <w:sz w:val="16"/>
              </w:rPr>
              <w:t>$0.053</w:t>
            </w:r>
          </w:p>
        </w:tc>
        <w:tc>
          <w:tcPr>
            <w:tcW w:w="550" w:type="dxa"/>
          </w:tcPr>
          <w:p>
            <w:pPr>
              <w:jc w:val="right"/>
              <w:spacing w:before="10" w:after="10"/>
            </w:pPr>
            <w:r/>
            <w:r>
              <w:rPr>
                <w:sz w:val="16"/>
              </w:rPr>
              <w:t>1.31</w:t>
            </w:r>
          </w:p>
        </w:tc>
        <w:tc>
          <w:tcPr>
            <w:tcW w:w="950" w:type="dxa"/>
          </w:tcPr>
          <w:p>
            <w:pPr>
              <w:jc w:val="right"/>
              <w:spacing w:before="10" w:after="10"/>
            </w:pPr>
            <w:r/>
            <w:r>
              <w:rPr>
                <w:sz w:val="16"/>
              </w:rPr>
              <w:t>$0.120</w:t>
            </w:r>
          </w:p>
        </w:tc>
        <w:tc>
          <w:tcPr>
            <w:tcW w:w="950" w:type="dxa"/>
          </w:tcPr>
          <w:p>
            <w:pPr>
              <w:spacing w:before="10" w:after="10"/>
            </w:pPr>
            <w:r/>
            <w:r>
              <w:rPr>
                <w:sz w:val="16"/>
              </w:rPr>
              <w:t>hybrid</w:t>
            </w:r>
          </w:p>
        </w:tc>
      </w:tr>
      <w:tr>
        <w:tc>
          <w:tcPr>
            <w:tcW w:w="500" w:type="dxa"/>
          </w:tcPr>
          <w:p>
            <w:pPr>
              <w:spacing w:before="10" w:after="10"/>
            </w:pPr>
            <w:r/>
            <w:r>
              <w:rPr>
                <w:sz w:val="16"/>
              </w:rPr>
              <w:t>65</w:t>
            </w:r>
          </w:p>
        </w:tc>
        <w:tc>
          <w:tcPr>
            <w:tcW w:w="1800" w:type="dxa"/>
          </w:tcPr>
          <w:p>
            <w:pPr>
              <w:spacing w:before="10" w:after="10"/>
            </w:pPr>
            <w:r/>
            <w:r>
              <w:rPr>
                <w:sz w:val="16"/>
              </w:rPr>
              <w:t>Denmark</w:t>
            </w:r>
          </w:p>
        </w:tc>
        <w:tc>
          <w:tcPr>
            <w:tcW w:w="950" w:type="dxa"/>
          </w:tcPr>
          <w:p>
            <w:pPr>
              <w:jc w:val="right"/>
              <w:spacing w:before="10" w:after="10"/>
            </w:pPr>
            <w:r/>
            <w:r>
              <w:rPr>
                <w:sz w:val="16"/>
              </w:rPr>
              <w:t>$1.22</w:t>
            </w:r>
          </w:p>
        </w:tc>
        <w:tc>
          <w:tcPr>
            <w:tcW w:w="950" w:type="dxa"/>
          </w:tcPr>
          <w:p>
            <w:pPr>
              <w:jc w:val="right"/>
              <w:spacing w:before="10" w:after="10"/>
            </w:pPr>
            <w:r/>
            <w:r>
              <w:rPr>
                <w:sz w:val="16"/>
              </w:rPr>
              <w:t>$0.101</w:t>
            </w:r>
          </w:p>
        </w:tc>
        <w:tc>
          <w:tcPr>
            <w:tcW w:w="950" w:type="dxa"/>
          </w:tcPr>
          <w:p>
            <w:pPr>
              <w:jc w:val="right"/>
              <w:spacing w:before="10" w:after="10"/>
            </w:pPr>
            <w:r/>
            <w:r>
              <w:rPr>
                <w:sz w:val="16"/>
              </w:rPr>
              <w:t>$0.064</w:t>
            </w:r>
          </w:p>
        </w:tc>
        <w:tc>
          <w:tcPr>
            <w:tcW w:w="550" w:type="dxa"/>
          </w:tcPr>
          <w:p>
            <w:pPr>
              <w:jc w:val="right"/>
              <w:spacing w:before="10" w:after="10"/>
            </w:pPr>
            <w:r/>
            <w:r>
              <w:rPr>
                <w:sz w:val="16"/>
              </w:rPr>
              <w:t>1.11</w:t>
            </w:r>
          </w:p>
        </w:tc>
        <w:tc>
          <w:tcPr>
            <w:tcW w:w="950" w:type="dxa"/>
          </w:tcPr>
          <w:p>
            <w:pPr>
              <w:jc w:val="right"/>
              <w:spacing w:before="10" w:after="10"/>
            </w:pPr>
            <w:r/>
            <w:r>
              <w:rPr>
                <w:sz w:val="16"/>
              </w:rPr>
              <w:t>$0.129</w:t>
            </w:r>
          </w:p>
        </w:tc>
        <w:tc>
          <w:tcPr>
            <w:tcW w:w="950" w:type="dxa"/>
          </w:tcPr>
          <w:p>
            <w:pPr>
              <w:spacing w:before="10" w:after="10"/>
            </w:pPr>
            <w:r/>
            <w:r>
              <w:rPr>
                <w:sz w:val="16"/>
              </w:rPr>
              <w:t>import</w:t>
            </w:r>
          </w:p>
        </w:tc>
      </w:tr>
      <w:tr>
        <w:tc>
          <w:tcPr>
            <w:tcW w:w="500" w:type="dxa"/>
          </w:tcPr>
          <w:p>
            <w:pPr>
              <w:spacing w:before="10" w:after="10"/>
            </w:pPr>
            <w:r/>
            <w:r>
              <w:rPr>
                <w:sz w:val="16"/>
              </w:rPr>
              <w:t>67</w:t>
            </w:r>
          </w:p>
        </w:tc>
        <w:tc>
          <w:tcPr>
            <w:tcW w:w="1800" w:type="dxa"/>
          </w:tcPr>
          <w:p>
            <w:pPr>
              <w:spacing w:before="10" w:after="10"/>
            </w:pPr>
            <w:r/>
            <w:r>
              <w:rPr>
                <w:sz w:val="16"/>
              </w:rPr>
              <w:t>Luxembourg</w:t>
            </w:r>
          </w:p>
        </w:tc>
        <w:tc>
          <w:tcPr>
            <w:tcW w:w="950" w:type="dxa"/>
          </w:tcPr>
          <w:p>
            <w:pPr>
              <w:jc w:val="right"/>
              <w:spacing w:before="10" w:after="10"/>
            </w:pPr>
            <w:r/>
            <w:r>
              <w:rPr>
                <w:sz w:val="16"/>
              </w:rPr>
              <w:t>$1.23</w:t>
            </w:r>
          </w:p>
        </w:tc>
        <w:tc>
          <w:tcPr>
            <w:tcW w:w="950" w:type="dxa"/>
          </w:tcPr>
          <w:p>
            <w:pPr>
              <w:jc w:val="right"/>
              <w:spacing w:before="10" w:after="10"/>
            </w:pPr>
            <w:r/>
            <w:r>
              <w:rPr>
                <w:sz w:val="16"/>
              </w:rPr>
              <w:t>$0.101</w:t>
            </w:r>
          </w:p>
        </w:tc>
        <w:tc>
          <w:tcPr>
            <w:tcW w:w="950" w:type="dxa"/>
          </w:tcPr>
          <w:p>
            <w:pPr>
              <w:jc w:val="right"/>
              <w:spacing w:before="10" w:after="10"/>
            </w:pPr>
            <w:r/>
            <w:r>
              <w:rPr>
                <w:sz w:val="16"/>
              </w:rPr>
              <w:t>$0.071</w:t>
            </w:r>
          </w:p>
        </w:tc>
        <w:tc>
          <w:tcPr>
            <w:tcW w:w="550" w:type="dxa"/>
          </w:tcPr>
          <w:p>
            <w:pPr>
              <w:jc w:val="right"/>
              <w:spacing w:before="10" w:after="10"/>
            </w:pPr>
            <w:r/>
            <w:r>
              <w:rPr>
                <w:sz w:val="16"/>
              </w:rPr>
              <w:t>1.12</w:t>
            </w:r>
          </w:p>
        </w:tc>
        <w:tc>
          <w:tcPr>
            <w:tcW w:w="950" w:type="dxa"/>
          </w:tcPr>
          <w:p>
            <w:pPr>
              <w:jc w:val="right"/>
              <w:spacing w:before="10" w:after="10"/>
            </w:pPr>
            <w:r/>
            <w:r>
              <w:rPr>
                <w:sz w:val="16"/>
              </w:rPr>
              <w:t>$0.128</w:t>
            </w:r>
          </w:p>
        </w:tc>
        <w:tc>
          <w:tcPr>
            <w:tcW w:w="950" w:type="dxa"/>
          </w:tcPr>
          <w:p>
            <w:pPr>
              <w:spacing w:before="10" w:after="10"/>
            </w:pPr>
            <w:r/>
            <w:r>
              <w:rPr>
                <w:sz w:val="16"/>
              </w:rPr>
              <w:t>import</w:t>
            </w:r>
          </w:p>
        </w:tc>
      </w:tr>
      <w:tr>
        <w:tc>
          <w:tcPr>
            <w:tcW w:w="500" w:type="dxa"/>
          </w:tcPr>
          <w:p>
            <w:pPr>
              <w:spacing w:before="10" w:after="10"/>
            </w:pPr>
            <w:r/>
            <w:r>
              <w:rPr>
                <w:sz w:val="16"/>
              </w:rPr>
              <w:t>71</w:t>
            </w:r>
          </w:p>
        </w:tc>
        <w:tc>
          <w:tcPr>
            <w:tcW w:w="1800" w:type="dxa"/>
          </w:tcPr>
          <w:p>
            <w:pPr>
              <w:spacing w:before="10" w:after="10"/>
            </w:pPr>
            <w:r/>
            <w:r>
              <w:rPr>
                <w:sz w:val="16"/>
              </w:rPr>
              <w:t>Germany</w:t>
            </w:r>
          </w:p>
        </w:tc>
        <w:tc>
          <w:tcPr>
            <w:tcW w:w="950" w:type="dxa"/>
          </w:tcPr>
          <w:p>
            <w:pPr>
              <w:jc w:val="right"/>
              <w:spacing w:before="10" w:after="10"/>
            </w:pPr>
            <w:r/>
            <w:r>
              <w:rPr>
                <w:sz w:val="16"/>
              </w:rPr>
              <w:t>$1.24</w:t>
            </w:r>
          </w:p>
        </w:tc>
        <w:tc>
          <w:tcPr>
            <w:tcW w:w="950" w:type="dxa"/>
          </w:tcPr>
          <w:p>
            <w:pPr>
              <w:jc w:val="right"/>
              <w:spacing w:before="10" w:after="10"/>
            </w:pPr>
            <w:r/>
            <w:r>
              <w:rPr>
                <w:sz w:val="16"/>
              </w:rPr>
              <w:t>$0.124</w:t>
            </w:r>
          </w:p>
        </w:tc>
        <w:tc>
          <w:tcPr>
            <w:tcW w:w="950" w:type="dxa"/>
          </w:tcPr>
          <w:p>
            <w:pPr>
              <w:jc w:val="right"/>
              <w:spacing w:before="10" w:after="10"/>
            </w:pPr>
            <w:r/>
            <w:r>
              <w:rPr>
                <w:sz w:val="16"/>
              </w:rPr>
              <w:t>$0.061</w:t>
            </w:r>
          </w:p>
        </w:tc>
        <w:tc>
          <w:tcPr>
            <w:tcW w:w="550" w:type="dxa"/>
          </w:tcPr>
          <w:p>
            <w:pPr>
              <w:jc w:val="right"/>
              <w:spacing w:before="10" w:after="10"/>
            </w:pPr>
            <w:r/>
            <w:r>
              <w:rPr>
                <w:sz w:val="16"/>
              </w:rPr>
              <w:t>1.14</w:t>
            </w:r>
          </w:p>
        </w:tc>
        <w:tc>
          <w:tcPr>
            <w:tcW w:w="950" w:type="dxa"/>
          </w:tcPr>
          <w:p>
            <w:pPr>
              <w:jc w:val="right"/>
              <w:spacing w:before="10" w:after="10"/>
            </w:pPr>
            <w:r/>
            <w:r>
              <w:rPr>
                <w:sz w:val="16"/>
              </w:rPr>
              <w:t>$0.155</w:t>
            </w:r>
          </w:p>
        </w:tc>
        <w:tc>
          <w:tcPr>
            <w:tcW w:w="950" w:type="dxa"/>
          </w:tcPr>
          <w:p>
            <w:pPr>
              <w:spacing w:before="10" w:after="10"/>
            </w:pPr>
            <w:r/>
            <w:r>
              <w:rPr>
                <w:sz w:val="16"/>
              </w:rPr>
              <w:t>import</w:t>
            </w:r>
          </w:p>
        </w:tc>
      </w:tr>
      <w:tr>
        <w:tc>
          <w:tcPr>
            <w:tcW w:w="500" w:type="dxa"/>
          </w:tcPr>
          <w:p>
            <w:pPr>
              <w:spacing w:before="10" w:after="10"/>
            </w:pPr>
            <w:r/>
            <w:r>
              <w:rPr>
                <w:sz w:val="16"/>
              </w:rPr>
              <w:t>73</w:t>
            </w:r>
          </w:p>
        </w:tc>
        <w:tc>
          <w:tcPr>
            <w:tcW w:w="1800" w:type="dxa"/>
          </w:tcPr>
          <w:p>
            <w:pPr>
              <w:spacing w:before="10" w:after="10"/>
            </w:pPr>
            <w:r/>
            <w:r>
              <w:rPr>
                <w:sz w:val="16"/>
              </w:rPr>
              <w:t>Greece</w:t>
            </w:r>
          </w:p>
        </w:tc>
        <w:tc>
          <w:tcPr>
            <w:tcW w:w="950" w:type="dxa"/>
          </w:tcPr>
          <w:p>
            <w:pPr>
              <w:jc w:val="right"/>
              <w:spacing w:before="10" w:after="10"/>
            </w:pPr>
            <w:r/>
            <w:r>
              <w:rPr>
                <w:sz w:val="16"/>
              </w:rPr>
              <w:t>$1.24</w:t>
            </w:r>
          </w:p>
        </w:tc>
        <w:tc>
          <w:tcPr>
            <w:tcW w:w="950" w:type="dxa"/>
          </w:tcPr>
          <w:p>
            <w:pPr>
              <w:jc w:val="right"/>
              <w:spacing w:before="10" w:after="10"/>
            </w:pPr>
            <w:r/>
            <w:r>
              <w:rPr>
                <w:sz w:val="16"/>
              </w:rPr>
              <w:t>$0.144</w:t>
            </w:r>
          </w:p>
        </w:tc>
        <w:tc>
          <w:tcPr>
            <w:tcW w:w="950" w:type="dxa"/>
          </w:tcPr>
          <w:p>
            <w:pPr>
              <w:jc w:val="right"/>
              <w:spacing w:before="10" w:after="10"/>
            </w:pPr>
            <w:r/>
            <w:r>
              <w:rPr>
                <w:sz w:val="16"/>
              </w:rPr>
              <w:t>$0.042</w:t>
            </w:r>
          </w:p>
        </w:tc>
        <w:tc>
          <w:tcPr>
            <w:tcW w:w="550" w:type="dxa"/>
          </w:tcPr>
          <w:p>
            <w:pPr>
              <w:jc w:val="right"/>
              <w:spacing w:before="10" w:after="10"/>
            </w:pPr>
            <w:r/>
            <w:r>
              <w:rPr>
                <w:sz w:val="16"/>
              </w:rPr>
              <w:t>1.25</w:t>
            </w:r>
          </w:p>
        </w:tc>
        <w:tc>
          <w:tcPr>
            <w:tcW w:w="950" w:type="dxa"/>
          </w:tcPr>
          <w:p>
            <w:pPr>
              <w:jc w:val="right"/>
              <w:spacing w:before="10" w:after="10"/>
            </w:pPr>
            <w:r/>
            <w:r>
              <w:rPr>
                <w:sz w:val="16"/>
              </w:rPr>
              <w:t>$0.165</w:t>
            </w:r>
          </w:p>
        </w:tc>
        <w:tc>
          <w:tcPr>
            <w:tcW w:w="950" w:type="dxa"/>
          </w:tcPr>
          <w:p>
            <w:pPr>
              <w:spacing w:before="10" w:after="10"/>
            </w:pPr>
            <w:r/>
            <w:r>
              <w:rPr>
                <w:sz w:val="16"/>
              </w:rPr>
              <w:t>import</w:t>
            </w:r>
          </w:p>
        </w:tc>
      </w:tr>
      <w:tr>
        <w:tc>
          <w:tcPr>
            <w:tcW w:w="500" w:type="dxa"/>
          </w:tcPr>
          <w:p>
            <w:pPr>
              <w:spacing w:before="10" w:after="10"/>
            </w:pPr>
            <w:r/>
            <w:r>
              <w:rPr>
                <w:sz w:val="16"/>
              </w:rPr>
              <w:t>74</w:t>
            </w:r>
          </w:p>
        </w:tc>
        <w:tc>
          <w:tcPr>
            <w:tcW w:w="1800" w:type="dxa"/>
          </w:tcPr>
          <w:p>
            <w:pPr>
              <w:spacing w:before="10" w:after="10"/>
            </w:pPr>
            <w:r/>
            <w:r>
              <w:rPr>
                <w:sz w:val="16"/>
              </w:rPr>
              <w:t>Austria</w:t>
            </w:r>
          </w:p>
        </w:tc>
        <w:tc>
          <w:tcPr>
            <w:tcW w:w="950" w:type="dxa"/>
          </w:tcPr>
          <w:p>
            <w:pPr>
              <w:jc w:val="right"/>
              <w:spacing w:before="10" w:after="10"/>
            </w:pPr>
            <w:r/>
            <w:r>
              <w:rPr>
                <w:sz w:val="16"/>
              </w:rPr>
              <w:t>$1.25</w:t>
            </w:r>
          </w:p>
        </w:tc>
        <w:tc>
          <w:tcPr>
            <w:tcW w:w="950" w:type="dxa"/>
          </w:tcPr>
          <w:p>
            <w:pPr>
              <w:jc w:val="right"/>
              <w:spacing w:before="10" w:after="10"/>
            </w:pPr>
            <w:r/>
            <w:r>
              <w:rPr>
                <w:sz w:val="16"/>
              </w:rPr>
              <w:t>$0.127</w:t>
            </w:r>
          </w:p>
        </w:tc>
        <w:tc>
          <w:tcPr>
            <w:tcW w:w="950" w:type="dxa"/>
          </w:tcPr>
          <w:p>
            <w:pPr>
              <w:jc w:val="right"/>
              <w:spacing w:before="10" w:after="10"/>
            </w:pPr>
            <w:r/>
            <w:r>
              <w:rPr>
                <w:sz w:val="16"/>
              </w:rPr>
              <w:t>$0.063</w:t>
            </w:r>
          </w:p>
        </w:tc>
        <w:tc>
          <w:tcPr>
            <w:tcW w:w="550" w:type="dxa"/>
          </w:tcPr>
          <w:p>
            <w:pPr>
              <w:jc w:val="right"/>
              <w:spacing w:before="10" w:after="10"/>
            </w:pPr>
            <w:r/>
            <w:r>
              <w:rPr>
                <w:sz w:val="16"/>
              </w:rPr>
              <w:t>1.13</w:t>
            </w:r>
          </w:p>
        </w:tc>
        <w:tc>
          <w:tcPr>
            <w:tcW w:w="950" w:type="dxa"/>
          </w:tcPr>
          <w:p>
            <w:pPr>
              <w:jc w:val="right"/>
              <w:spacing w:before="10" w:after="10"/>
            </w:pPr>
            <w:r/>
            <w:r>
              <w:rPr>
                <w:sz w:val="16"/>
              </w:rPr>
              <w:t>$0.160</w:t>
            </w:r>
          </w:p>
        </w:tc>
        <w:tc>
          <w:tcPr>
            <w:tcW w:w="950" w:type="dxa"/>
          </w:tcPr>
          <w:p>
            <w:pPr>
              <w:spacing w:before="10" w:after="10"/>
            </w:pPr>
            <w:r/>
            <w:r>
              <w:rPr>
                <w:sz w:val="16"/>
              </w:rPr>
              <w:t>import</w:t>
            </w:r>
          </w:p>
        </w:tc>
      </w:tr>
      <w:tr>
        <w:tc>
          <w:tcPr>
            <w:tcW w:w="500" w:type="dxa"/>
          </w:tcPr>
          <w:p>
            <w:pPr>
              <w:spacing w:before="10" w:after="10"/>
            </w:pPr>
            <w:r/>
            <w:r>
              <w:rPr>
                <w:sz w:val="16"/>
              </w:rPr>
              <w:t>75</w:t>
            </w:r>
          </w:p>
        </w:tc>
        <w:tc>
          <w:tcPr>
            <w:tcW w:w="1800" w:type="dxa"/>
          </w:tcPr>
          <w:p>
            <w:pPr>
              <w:spacing w:before="10" w:after="10"/>
            </w:pPr>
            <w:r/>
            <w:r>
              <w:rPr>
                <w:sz w:val="16"/>
              </w:rPr>
              <w:t>Italy</w:t>
            </w:r>
          </w:p>
        </w:tc>
        <w:tc>
          <w:tcPr>
            <w:tcW w:w="950" w:type="dxa"/>
          </w:tcPr>
          <w:p>
            <w:pPr>
              <w:jc w:val="right"/>
              <w:spacing w:before="10" w:after="10"/>
            </w:pPr>
            <w:r/>
            <w:r>
              <w:rPr>
                <w:sz w:val="16"/>
              </w:rPr>
              <w:t>$1.25</w:t>
            </w:r>
          </w:p>
        </w:tc>
        <w:tc>
          <w:tcPr>
            <w:tcW w:w="950" w:type="dxa"/>
          </w:tcPr>
          <w:p>
            <w:pPr>
              <w:jc w:val="right"/>
              <w:spacing w:before="10" w:after="10"/>
            </w:pPr>
            <w:r/>
            <w:r>
              <w:rPr>
                <w:sz w:val="16"/>
              </w:rPr>
              <w:t>$0.138</w:t>
            </w:r>
          </w:p>
        </w:tc>
        <w:tc>
          <w:tcPr>
            <w:tcW w:w="950" w:type="dxa"/>
          </w:tcPr>
          <w:p>
            <w:pPr>
              <w:jc w:val="right"/>
              <w:spacing w:before="10" w:after="10"/>
            </w:pPr>
            <w:r/>
            <w:r>
              <w:rPr>
                <w:sz w:val="16"/>
              </w:rPr>
              <w:t>$0.052</w:t>
            </w:r>
          </w:p>
        </w:tc>
        <w:tc>
          <w:tcPr>
            <w:tcW w:w="550" w:type="dxa"/>
          </w:tcPr>
          <w:p>
            <w:pPr>
              <w:jc w:val="right"/>
              <w:spacing w:before="10" w:after="10"/>
            </w:pPr>
            <w:r/>
            <w:r>
              <w:rPr>
                <w:sz w:val="16"/>
              </w:rPr>
              <w:t>1.22</w:t>
            </w:r>
          </w:p>
        </w:tc>
        <w:tc>
          <w:tcPr>
            <w:tcW w:w="950" w:type="dxa"/>
          </w:tcPr>
          <w:p>
            <w:pPr>
              <w:jc w:val="right"/>
              <w:spacing w:before="10" w:after="10"/>
            </w:pPr>
            <w:r/>
            <w:r>
              <w:rPr>
                <w:sz w:val="16"/>
              </w:rPr>
              <w:t>$0.162</w:t>
            </w:r>
          </w:p>
        </w:tc>
        <w:tc>
          <w:tcPr>
            <w:tcW w:w="950" w:type="dxa"/>
          </w:tcPr>
          <w:p>
            <w:pPr>
              <w:spacing w:before="10" w:after="10"/>
            </w:pPr>
            <w:r/>
            <w:r>
              <w:rPr>
                <w:sz w:val="16"/>
              </w:rPr>
              <w:t>import</w:t>
            </w:r>
          </w:p>
        </w:tc>
      </w:tr>
      <w:tr>
        <w:tc>
          <w:tcPr>
            <w:tcW w:w="500" w:type="dxa"/>
          </w:tcPr>
          <w:p>
            <w:pPr>
              <w:spacing w:before="10" w:after="10"/>
            </w:pPr>
            <w:r/>
            <w:r>
              <w:rPr>
                <w:sz w:val="16"/>
              </w:rPr>
              <w:t>77</w:t>
            </w:r>
          </w:p>
        </w:tc>
        <w:tc>
          <w:tcPr>
            <w:tcW w:w="1800" w:type="dxa"/>
          </w:tcPr>
          <w:p>
            <w:pPr>
              <w:spacing w:before="10" w:after="10"/>
            </w:pPr>
            <w:r/>
            <w:r>
              <w:rPr>
                <w:sz w:val="16"/>
              </w:rPr>
              <w:t>Japan</w:t>
            </w:r>
          </w:p>
        </w:tc>
        <w:tc>
          <w:tcPr>
            <w:tcW w:w="950" w:type="dxa"/>
          </w:tcPr>
          <w:p>
            <w:pPr>
              <w:jc w:val="right"/>
              <w:spacing w:before="10" w:after="10"/>
            </w:pPr>
            <w:r/>
            <w:r>
              <w:rPr>
                <w:sz w:val="16"/>
              </w:rPr>
              <w:t>$1.25</w:t>
            </w:r>
          </w:p>
        </w:tc>
        <w:tc>
          <w:tcPr>
            <w:tcW w:w="950" w:type="dxa"/>
          </w:tcPr>
          <w:p>
            <w:pPr>
              <w:jc w:val="right"/>
              <w:spacing w:before="10" w:after="10"/>
            </w:pPr>
            <w:r/>
            <w:r>
              <w:rPr>
                <w:sz w:val="16"/>
              </w:rPr>
              <w:t>$0.117</w:t>
            </w:r>
          </w:p>
        </w:tc>
        <w:tc>
          <w:tcPr>
            <w:tcW w:w="950" w:type="dxa"/>
          </w:tcPr>
          <w:p>
            <w:pPr>
              <w:jc w:val="right"/>
              <w:spacing w:before="10" w:after="10"/>
            </w:pPr>
            <w:r/>
            <w:r>
              <w:rPr>
                <w:sz w:val="16"/>
              </w:rPr>
              <w:t>$0.078</w:t>
            </w:r>
          </w:p>
        </w:tc>
        <w:tc>
          <w:tcPr>
            <w:tcW w:w="550" w:type="dxa"/>
          </w:tcPr>
          <w:p>
            <w:pPr>
              <w:jc w:val="right"/>
              <w:spacing w:before="10" w:after="10"/>
            </w:pPr>
            <w:r/>
            <w:r>
              <w:rPr>
                <w:sz w:val="16"/>
              </w:rPr>
              <w:t>1.23</w:t>
            </w:r>
          </w:p>
        </w:tc>
        <w:tc>
          <w:tcPr>
            <w:tcW w:w="950" w:type="dxa"/>
          </w:tcPr>
          <w:p>
            <w:pPr>
              <w:jc w:val="right"/>
              <w:spacing w:before="10" w:after="10"/>
            </w:pPr>
            <w:r/>
            <w:r>
              <w:rPr>
                <w:sz w:val="16"/>
              </w:rPr>
              <w:t>$0.135</w:t>
            </w:r>
          </w:p>
        </w:tc>
        <w:tc>
          <w:tcPr>
            <w:tcW w:w="950" w:type="dxa"/>
          </w:tcPr>
          <w:p>
            <w:pPr>
              <w:spacing w:before="10" w:after="10"/>
            </w:pPr>
            <w:r/>
            <w:r>
              <w:rPr>
                <w:sz w:val="16"/>
              </w:rPr>
              <w:t>import</w:t>
            </w:r>
          </w:p>
        </w:tc>
      </w:tr>
      <w:tr>
        <w:tc>
          <w:tcPr>
            <w:tcW w:w="500" w:type="dxa"/>
          </w:tcPr>
          <w:p>
            <w:pPr>
              <w:spacing w:before="10" w:after="10"/>
            </w:pPr>
            <w:r/>
            <w:r>
              <w:rPr>
                <w:sz w:val="16"/>
              </w:rPr>
              <w:t>79</w:t>
            </w:r>
          </w:p>
        </w:tc>
        <w:tc>
          <w:tcPr>
            <w:tcW w:w="1800" w:type="dxa"/>
          </w:tcPr>
          <w:p>
            <w:pPr>
              <w:spacing w:before="10" w:after="10"/>
            </w:pPr>
            <w:r/>
            <w:r>
              <w:rPr>
                <w:sz w:val="16"/>
              </w:rPr>
              <w:t>Switzerland</w:t>
            </w:r>
          </w:p>
        </w:tc>
        <w:tc>
          <w:tcPr>
            <w:tcW w:w="950" w:type="dxa"/>
          </w:tcPr>
          <w:p>
            <w:pPr>
              <w:jc w:val="right"/>
              <w:spacing w:before="10" w:after="10"/>
            </w:pPr>
            <w:r/>
            <w:r>
              <w:rPr>
                <w:sz w:val="16"/>
              </w:rPr>
              <w:t>$1.25</w:t>
            </w:r>
          </w:p>
        </w:tc>
        <w:tc>
          <w:tcPr>
            <w:tcW w:w="950" w:type="dxa"/>
          </w:tcPr>
          <w:p>
            <w:pPr>
              <w:jc w:val="right"/>
              <w:spacing w:before="10" w:after="10"/>
            </w:pPr>
            <w:r/>
            <w:r>
              <w:rPr>
                <w:sz w:val="16"/>
              </w:rPr>
              <w:t>$0.122</w:t>
            </w:r>
          </w:p>
        </w:tc>
        <w:tc>
          <w:tcPr>
            <w:tcW w:w="950" w:type="dxa"/>
          </w:tcPr>
          <w:p>
            <w:pPr>
              <w:jc w:val="right"/>
              <w:spacing w:before="10" w:after="10"/>
            </w:pPr>
            <w:r/>
            <w:r>
              <w:rPr>
                <w:sz w:val="16"/>
              </w:rPr>
              <w:t>$0.076</w:t>
            </w:r>
          </w:p>
        </w:tc>
        <w:tc>
          <w:tcPr>
            <w:tcW w:w="550" w:type="dxa"/>
          </w:tcPr>
          <w:p>
            <w:pPr>
              <w:jc w:val="right"/>
              <w:spacing w:before="10" w:after="10"/>
            </w:pPr>
            <w:r/>
            <w:r>
              <w:rPr>
                <w:sz w:val="16"/>
              </w:rPr>
              <w:t>1.09</w:t>
            </w:r>
          </w:p>
        </w:tc>
        <w:tc>
          <w:tcPr>
            <w:tcW w:w="950" w:type="dxa"/>
          </w:tcPr>
          <w:p>
            <w:pPr>
              <w:jc w:val="right"/>
              <w:spacing w:before="10" w:after="10"/>
            </w:pPr>
            <w:r/>
            <w:r>
              <w:rPr>
                <w:sz w:val="16"/>
              </w:rPr>
              <w:t>$0.160</w:t>
            </w:r>
          </w:p>
        </w:tc>
        <w:tc>
          <w:tcPr>
            <w:tcW w:w="950" w:type="dxa"/>
          </w:tcPr>
          <w:p>
            <w:pPr>
              <w:spacing w:before="10" w:after="10"/>
            </w:pPr>
            <w:r/>
            <w:r>
              <w:rPr>
                <w:sz w:val="16"/>
              </w:rPr>
              <w:t>import</w:t>
            </w:r>
          </w:p>
        </w:tc>
      </w:tr>
      <w:tr>
        <w:tc>
          <w:tcPr>
            <w:tcW w:w="500" w:type="dxa"/>
          </w:tcPr>
          <w:p>
            <w:pPr>
              <w:spacing w:before="10" w:after="10"/>
            </w:pPr>
            <w:r/>
            <w:r>
              <w:rPr>
                <w:sz w:val="16"/>
              </w:rPr>
              <w:t>81</w:t>
            </w:r>
          </w:p>
        </w:tc>
        <w:tc>
          <w:tcPr>
            <w:tcW w:w="1800" w:type="dxa"/>
          </w:tcPr>
          <w:p>
            <w:pPr>
              <w:spacing w:before="10" w:after="10"/>
            </w:pPr>
            <w:r/>
            <w:r>
              <w:rPr>
                <w:sz w:val="16"/>
              </w:rPr>
              <w:t>Singapore</w:t>
            </w:r>
          </w:p>
        </w:tc>
        <w:tc>
          <w:tcPr>
            <w:tcW w:w="950" w:type="dxa"/>
          </w:tcPr>
          <w:p>
            <w:pPr>
              <w:jc w:val="right"/>
              <w:spacing w:before="10" w:after="10"/>
            </w:pPr>
            <w:r/>
            <w:r>
              <w:rPr>
                <w:sz w:val="16"/>
              </w:rPr>
              <w:t>$1.26</w:t>
            </w:r>
          </w:p>
        </w:tc>
        <w:tc>
          <w:tcPr>
            <w:tcW w:w="950" w:type="dxa"/>
          </w:tcPr>
          <w:p>
            <w:pPr>
              <w:jc w:val="right"/>
              <w:spacing w:before="10" w:after="10"/>
            </w:pPr>
            <w:r/>
            <w:r>
              <w:rPr>
                <w:sz w:val="16"/>
              </w:rPr>
              <w:t>$0.130</w:t>
            </w:r>
          </w:p>
        </w:tc>
        <w:tc>
          <w:tcPr>
            <w:tcW w:w="950" w:type="dxa"/>
          </w:tcPr>
          <w:p>
            <w:pPr>
              <w:jc w:val="right"/>
              <w:spacing w:before="10" w:after="10"/>
            </w:pPr>
            <w:r/>
            <w:r>
              <w:rPr>
                <w:sz w:val="16"/>
              </w:rPr>
              <w:t>$0.077</w:t>
            </w:r>
          </w:p>
        </w:tc>
        <w:tc>
          <w:tcPr>
            <w:tcW w:w="550" w:type="dxa"/>
          </w:tcPr>
          <w:p>
            <w:pPr>
              <w:jc w:val="right"/>
              <w:spacing w:before="10" w:after="10"/>
            </w:pPr>
            <w:r/>
            <w:r>
              <w:rPr>
                <w:sz w:val="16"/>
              </w:rPr>
              <w:t>1.28</w:t>
            </w:r>
          </w:p>
        </w:tc>
        <w:tc>
          <w:tcPr>
            <w:tcW w:w="950" w:type="dxa"/>
          </w:tcPr>
          <w:p>
            <w:pPr>
              <w:jc w:val="right"/>
              <w:spacing w:before="10" w:after="10"/>
            </w:pPr>
            <w:r/>
            <w:r>
              <w:rPr>
                <w:sz w:val="16"/>
              </w:rPr>
              <w:t>$0.145</w:t>
            </w:r>
          </w:p>
        </w:tc>
        <w:tc>
          <w:tcPr>
            <w:tcW w:w="950" w:type="dxa"/>
          </w:tcPr>
          <w:p>
            <w:pPr>
              <w:spacing w:before="10" w:after="10"/>
            </w:pPr>
            <w:r/>
            <w:r>
              <w:rPr>
                <w:sz w:val="16"/>
              </w:rPr>
              <w:t>import</w:t>
            </w:r>
          </w:p>
        </w:tc>
      </w:tr>
      <w:tr>
        <w:tc>
          <w:tcPr>
            <w:tcW w:w="500" w:type="dxa"/>
          </w:tcPr>
          <w:p>
            <w:pPr>
              <w:spacing w:before="10" w:after="10"/>
            </w:pPr>
            <w:r/>
            <w:r>
              <w:rPr>
                <w:sz w:val="16"/>
              </w:rPr>
              <w:t>82</w:t>
            </w:r>
          </w:p>
        </w:tc>
        <w:tc>
          <w:tcPr>
            <w:tcW w:w="1800" w:type="dxa"/>
          </w:tcPr>
          <w:p>
            <w:pPr>
              <w:spacing w:before="10" w:after="10"/>
            </w:pPr>
            <w:r/>
            <w:r>
              <w:rPr>
                <w:sz w:val="16"/>
              </w:rPr>
              <w:t>Senegal</w:t>
            </w:r>
          </w:p>
        </w:tc>
        <w:tc>
          <w:tcPr>
            <w:tcW w:w="950" w:type="dxa"/>
          </w:tcPr>
          <w:p>
            <w:pPr>
              <w:jc w:val="right"/>
              <w:spacing w:before="10" w:after="10"/>
            </w:pPr>
            <w:r/>
            <w:r>
              <w:rPr>
                <w:sz w:val="16"/>
              </w:rPr>
              <w:t>$1.27</w:t>
            </w:r>
          </w:p>
        </w:tc>
        <w:tc>
          <w:tcPr>
            <w:tcW w:w="950" w:type="dxa"/>
          </w:tcPr>
          <w:p>
            <w:pPr>
              <w:jc w:val="right"/>
              <w:spacing w:before="10" w:after="10"/>
            </w:pPr>
            <w:r/>
            <w:r>
              <w:rPr>
                <w:sz w:val="16"/>
              </w:rPr>
              <w:t>$0.169</w:t>
            </w:r>
          </w:p>
        </w:tc>
        <w:tc>
          <w:tcPr>
            <w:tcW w:w="950" w:type="dxa"/>
          </w:tcPr>
          <w:p>
            <w:pPr>
              <w:jc w:val="right"/>
              <w:spacing w:before="10" w:after="10"/>
            </w:pPr>
            <w:r/>
            <w:r>
              <w:rPr>
                <w:sz w:val="16"/>
              </w:rPr>
              <w:t>$0.050</w:t>
            </w:r>
          </w:p>
        </w:tc>
        <w:tc>
          <w:tcPr>
            <w:tcW w:w="550" w:type="dxa"/>
          </w:tcPr>
          <w:p>
            <w:pPr>
              <w:jc w:val="right"/>
              <w:spacing w:before="10" w:after="10"/>
            </w:pPr>
            <w:r/>
            <w:r>
              <w:rPr>
                <w:sz w:val="16"/>
              </w:rPr>
              <w:t>1.34</w:t>
            </w:r>
          </w:p>
        </w:tc>
        <w:tc>
          <w:tcPr>
            <w:tcW w:w="950" w:type="dxa"/>
          </w:tcPr>
          <w:p>
            <w:pPr>
              <w:jc w:val="right"/>
              <w:spacing w:before="10" w:after="10"/>
            </w:pPr>
            <w:r/>
            <w:r>
              <w:rPr>
                <w:sz w:val="16"/>
              </w:rPr>
              <w:t>$0.180</w:t>
            </w:r>
          </w:p>
        </w:tc>
        <w:tc>
          <w:tcPr>
            <w:tcW w:w="950" w:type="dxa"/>
          </w:tcPr>
          <w:p>
            <w:pPr>
              <w:spacing w:before="10" w:after="10"/>
            </w:pPr>
            <w:r/>
            <w:r>
              <w:rPr>
                <w:sz w:val="16"/>
              </w:rPr>
              <w:t>n/a</w:t>
            </w:r>
          </w:p>
        </w:tc>
      </w:tr>
      <w:tr>
        <w:tc>
          <w:tcPr>
            <w:tcW w:w="500" w:type="dxa"/>
          </w:tcPr>
          <w:p>
            <w:pPr>
              <w:spacing w:before="10" w:after="10"/>
            </w:pPr>
            <w:r/>
            <w:r>
              <w:rPr>
                <w:sz w:val="16"/>
              </w:rPr>
              <w:t>83</w:t>
            </w:r>
          </w:p>
        </w:tc>
        <w:tc>
          <w:tcPr>
            <w:tcW w:w="1800" w:type="dxa"/>
          </w:tcPr>
          <w:p>
            <w:pPr>
              <w:spacing w:before="10" w:after="10"/>
            </w:pPr>
            <w:r/>
            <w:r>
              <w:rPr>
                <w:sz w:val="16"/>
              </w:rPr>
              <w:t>Cyprus</w:t>
            </w:r>
          </w:p>
        </w:tc>
        <w:tc>
          <w:tcPr>
            <w:tcW w:w="950" w:type="dxa"/>
          </w:tcPr>
          <w:p>
            <w:pPr>
              <w:jc w:val="right"/>
              <w:spacing w:before="10" w:after="10"/>
            </w:pPr>
            <w:r/>
            <w:r>
              <w:rPr>
                <w:sz w:val="16"/>
              </w:rPr>
              <w:t>$1.28</w:t>
            </w:r>
          </w:p>
        </w:tc>
        <w:tc>
          <w:tcPr>
            <w:tcW w:w="950" w:type="dxa"/>
          </w:tcPr>
          <w:p>
            <w:pPr>
              <w:jc w:val="right"/>
              <w:spacing w:before="10" w:after="10"/>
            </w:pPr>
            <w:r/>
            <w:r>
              <w:rPr>
                <w:sz w:val="16"/>
              </w:rPr>
              <w:t>$0.165</w:t>
            </w:r>
          </w:p>
        </w:tc>
        <w:tc>
          <w:tcPr>
            <w:tcW w:w="950" w:type="dxa"/>
          </w:tcPr>
          <w:p>
            <w:pPr>
              <w:jc w:val="right"/>
              <w:spacing w:before="10" w:after="10"/>
            </w:pPr>
            <w:r/>
            <w:r>
              <w:rPr>
                <w:sz w:val="16"/>
              </w:rPr>
              <w:t>$0.060</w:t>
            </w:r>
          </w:p>
        </w:tc>
        <w:tc>
          <w:tcPr>
            <w:tcW w:w="550" w:type="dxa"/>
          </w:tcPr>
          <w:p>
            <w:pPr>
              <w:jc w:val="right"/>
              <w:spacing w:before="10" w:after="10"/>
            </w:pPr>
            <w:r/>
            <w:r>
              <w:rPr>
                <w:sz w:val="16"/>
              </w:rPr>
              <w:t>1.27</w:t>
            </w:r>
          </w:p>
        </w:tc>
        <w:tc>
          <w:tcPr>
            <w:tcW w:w="950" w:type="dxa"/>
          </w:tcPr>
          <w:p>
            <w:pPr>
              <w:jc w:val="right"/>
              <w:spacing w:before="10" w:after="10"/>
            </w:pPr>
            <w:r/>
            <w:r>
              <w:rPr>
                <w:sz w:val="16"/>
              </w:rPr>
              <w:t>$0.185</w:t>
            </w:r>
          </w:p>
        </w:tc>
        <w:tc>
          <w:tcPr>
            <w:tcW w:w="950" w:type="dxa"/>
          </w:tcPr>
          <w:p>
            <w:pPr>
              <w:spacing w:before="10" w:after="10"/>
            </w:pPr>
            <w:r/>
            <w:r>
              <w:rPr>
                <w:sz w:val="16"/>
              </w:rPr>
              <w:t>import</w:t>
            </w:r>
          </w:p>
        </w:tc>
      </w:tr>
      <w:tr>
        <w:tc>
          <w:tcPr>
            <w:tcW w:w="500" w:type="dxa"/>
          </w:tcPr>
          <w:p>
            <w:pPr>
              <w:spacing w:before="10" w:after="10"/>
            </w:pPr>
            <w:r/>
            <w:r>
              <w:rPr>
                <w:sz w:val="16"/>
              </w:rPr>
              <w:t>84</w:t>
            </w:r>
          </w:p>
        </w:tc>
        <w:tc>
          <w:tcPr>
            <w:tcW w:w="1800" w:type="dxa"/>
          </w:tcPr>
          <w:p>
            <w:pPr>
              <w:spacing w:before="10" w:after="10"/>
            </w:pPr>
            <w:r/>
            <w:r>
              <w:rPr>
                <w:sz w:val="16"/>
              </w:rPr>
              <w:t>Ireland</w:t>
            </w:r>
          </w:p>
        </w:tc>
        <w:tc>
          <w:tcPr>
            <w:tcW w:w="950" w:type="dxa"/>
          </w:tcPr>
          <w:p>
            <w:pPr>
              <w:jc w:val="right"/>
              <w:spacing w:before="10" w:after="10"/>
            </w:pPr>
            <w:r/>
            <w:r>
              <w:rPr>
                <w:sz w:val="16"/>
              </w:rPr>
              <w:t>$1.28</w:t>
            </w:r>
          </w:p>
        </w:tc>
        <w:tc>
          <w:tcPr>
            <w:tcW w:w="950" w:type="dxa"/>
          </w:tcPr>
          <w:p>
            <w:pPr>
              <w:jc w:val="right"/>
              <w:spacing w:before="10" w:after="10"/>
            </w:pPr>
            <w:r/>
            <w:r>
              <w:rPr>
                <w:sz w:val="16"/>
              </w:rPr>
              <w:t>$0.173</w:t>
            </w:r>
          </w:p>
        </w:tc>
        <w:tc>
          <w:tcPr>
            <w:tcW w:w="950" w:type="dxa"/>
          </w:tcPr>
          <w:p>
            <w:pPr>
              <w:jc w:val="right"/>
              <w:spacing w:before="10" w:after="10"/>
            </w:pPr>
            <w:r/>
            <w:r>
              <w:rPr>
                <w:sz w:val="16"/>
              </w:rPr>
              <w:t>$0.053</w:t>
            </w:r>
          </w:p>
        </w:tc>
        <w:tc>
          <w:tcPr>
            <w:tcW w:w="550" w:type="dxa"/>
          </w:tcPr>
          <w:p>
            <w:pPr>
              <w:jc w:val="right"/>
              <w:spacing w:before="10" w:after="10"/>
            </w:pPr>
            <w:r/>
            <w:r>
              <w:rPr>
                <w:sz w:val="16"/>
              </w:rPr>
              <w:t>1.08</w:t>
            </w:r>
          </w:p>
        </w:tc>
        <w:tc>
          <w:tcPr>
            <w:tcW w:w="950" w:type="dxa"/>
          </w:tcPr>
          <w:p>
            <w:pPr>
              <w:jc w:val="right"/>
              <w:spacing w:before="10" w:after="10"/>
            </w:pPr>
            <w:r/>
            <w:r>
              <w:rPr>
                <w:sz w:val="16"/>
              </w:rPr>
              <w:t>$0.228</w:t>
            </w:r>
          </w:p>
        </w:tc>
        <w:tc>
          <w:tcPr>
            <w:tcW w:w="950" w:type="dxa"/>
          </w:tcPr>
          <w:p>
            <w:pPr>
              <w:spacing w:before="10" w:after="10"/>
            </w:pPr>
            <w:r/>
            <w:r>
              <w:rPr>
                <w:sz w:val="16"/>
              </w:rPr>
              <w:t>import</w:t>
            </w:r>
          </w:p>
        </w:tc>
      </w:tr>
      <w:tr>
        <w:tc>
          <w:tcPr>
            <w:tcBorders>
              <w:bottom w:val="single" w:sz="4" w:space="0" w:color="auto"/>
            </w:tcBorders>
            <w:tcW w:w="500" w:type="dxa"/>
          </w:tcPr>
          <w:p>
            <w:pPr>
              <w:spacing w:before="10" w:after="10"/>
            </w:pPr>
            <w:r/>
            <w:r>
              <w:rPr>
                <w:sz w:val="16"/>
              </w:rPr>
              <w:t>86</w:t>
            </w:r>
          </w:p>
        </w:tc>
        <w:tc>
          <w:tcPr>
            <w:tcBorders>
              <w:bottom w:val="single" w:sz="4" w:space="0" w:color="auto"/>
            </w:tcBorders>
            <w:tcW w:w="1800" w:type="dxa"/>
          </w:tcPr>
          <w:p>
            <w:pPr>
              <w:spacing w:before="10" w:after="10"/>
            </w:pPr>
            <w:r/>
            <w:r>
              <w:rPr>
                <w:sz w:val="16"/>
              </w:rPr>
              <w:t>Greenland</w:t>
            </w:r>
          </w:p>
        </w:tc>
        <w:tc>
          <w:tcPr>
            <w:tcBorders>
              <w:bottom w:val="single" w:sz="4" w:space="0" w:color="auto"/>
            </w:tcBorders>
            <w:tcW w:w="950" w:type="dxa"/>
          </w:tcPr>
          <w:p>
            <w:pPr>
              <w:jc w:val="right"/>
              <w:spacing w:before="10" w:after="10"/>
            </w:pPr>
            <w:r/>
            <w:r>
              <w:rPr>
                <w:sz w:val="16"/>
              </w:rPr>
              <w:t>$1.32</w:t>
            </w:r>
          </w:p>
        </w:tc>
        <w:tc>
          <w:tcPr>
            <w:tcBorders>
              <w:bottom w:val="single" w:sz="4" w:space="0" w:color="auto"/>
            </w:tcBorders>
            <w:tcW w:w="950" w:type="dxa"/>
          </w:tcPr>
          <w:p>
            <w:pPr>
              <w:jc w:val="right"/>
              <w:spacing w:before="10" w:after="10"/>
            </w:pPr>
            <w:r/>
            <w:r>
              <w:rPr>
                <w:sz w:val="16"/>
              </w:rPr>
              <w:t>$0.199</w:t>
            </w:r>
          </w:p>
        </w:tc>
        <w:tc>
          <w:tcPr>
            <w:tcBorders>
              <w:bottom w:val="single" w:sz="4" w:space="0" w:color="auto"/>
            </w:tcBorders>
            <w:tcW w:w="950" w:type="dxa"/>
          </w:tcPr>
          <w:p>
            <w:pPr>
              <w:jc w:val="right"/>
              <w:spacing w:before="10" w:after="10"/>
            </w:pPr>
            <w:r/>
            <w:r>
              <w:rPr>
                <w:sz w:val="16"/>
              </w:rPr>
              <w:t>$0.066</w:t>
            </w:r>
          </w:p>
        </w:tc>
        <w:tc>
          <w:tcPr>
            <w:tcBorders>
              <w:bottom w:val="single" w:sz="4" w:space="0" w:color="auto"/>
            </w:tcBorders>
            <w:tcW w:w="550" w:type="dxa"/>
          </w:tcPr>
          <w:p>
            <w:pPr>
              <w:jc w:val="right"/>
              <w:spacing w:before="10" w:after="10"/>
            </w:pPr>
            <w:r/>
            <w:r>
              <w:rPr>
                <w:sz w:val="16"/>
              </w:rPr>
              <w:t>1.08</w:t>
            </w:r>
          </w:p>
        </w:tc>
        <w:tc>
          <w:tcPr>
            <w:tcBorders>
              <w:bottom w:val="single" w:sz="4" w:space="0" w:color="auto"/>
            </w:tcBorders>
            <w:tcW w:w="950" w:type="dxa"/>
          </w:tcPr>
          <w:p>
            <w:pPr>
              <w:jc w:val="right"/>
              <w:spacing w:before="10" w:after="10"/>
            </w:pPr>
            <w:r/>
            <w:r>
              <w:rPr>
                <w:sz w:val="16"/>
              </w:rPr>
              <w:t>$0.263</w:t>
            </w:r>
          </w:p>
        </w:tc>
        <w:tc>
          <w:tcPr>
            <w:tcBorders>
              <w:bottom w:val="single" w:sz="4" w:space="0" w:color="auto"/>
            </w:tcBorders>
            <w:tcW w:w="950" w:type="dxa"/>
          </w:tcPr>
          <w:p>
            <w:pPr>
              <w:spacing w:before="10" w:after="10"/>
            </w:pPr>
            <w:r/>
            <w:r>
              <w:rPr>
                <w:sz w:val="16"/>
              </w:rPr>
              <w:t>import</w:t>
            </w:r>
          </w:p>
        </w:tc>
      </w:tr>
    </w:tbl>
    <w:p>
      <w:pPr>
        <w:spacing w:before="0" w:after="0"/>
      </w:pPr>
      <w:r>
        <w:br w:type="page"/>
      </w:r>
    </w:p>
    <w:p>
      <w:pPr>
        <w:pStyle w:val="Heading1"/>
      </w:pPr>
      <w:r>
        <w:rPr>
          <w:rFonts w:ascii="Times New Roman" w:hAnsi="Times New Roman"/>
          <w:color w:val="2F5496"/>
        </w:rPr>
        <w:t>References</w:t>
      </w:r>
    </w:p>
    <w:p>
      <w:pPr>
        <w:spacing w:before="0" w:after="80" w:line="240" w:lineRule="auto"/>
        <w:ind w:hanging="720" w:left="720"/>
        <w:jc w:val="both"/>
      </w:pPr>
      <w:bookmarkStart w:id="500" w:name="Anderson2003"/>
      <w:hyperlink w:anchor="Anderson2003txt" w:history="1">
        <w:r>
          <w:rPr>
            <w:color w:val="1F3864"/>
            <w:u w:val="single"/>
          </w:rPr>
          <w:t xml:space="preserve">Anderson, J., and E. van Wincoop. (2003). </w:t>
        </w:r>
      </w:hyperlink>
      <w:r>
        <w:t xml:space="preserve">“Gravity with Gravitas: A Solution to the Border Puzzle.” </w:t>
      </w:r>
      <w:r>
        <w:rPr>
          <w:i/>
        </w:rPr>
        <w:t>American Economic Review</w:t>
      </w:r>
      <w:r>
        <w:t>, 93(1): 170–192.</w:t>
      </w:r>
      <w:bookmarkEnd w:id="500"/>
    </w:p>
    <w:p>
      <w:pPr>
        <w:spacing w:before="0" w:after="80" w:line="240" w:lineRule="auto"/>
        <w:ind w:hanging="720" w:left="720"/>
        <w:jc w:val="both"/>
      </w:pPr>
      <w:bookmarkStart w:id="501"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1"/>
    </w:p>
    <w:p>
      <w:pPr>
        <w:spacing w:before="0" w:after="80" w:line="240" w:lineRule="auto"/>
        <w:ind w:hanging="720" w:left="720"/>
        <w:jc w:val="both"/>
      </w:pPr>
      <w:bookmarkStart w:id="502"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2"/>
    </w:p>
    <w:p>
      <w:pPr>
        <w:spacing w:before="0" w:after="80" w:line="240" w:lineRule="auto"/>
        <w:ind w:hanging="720" w:left="720"/>
        <w:jc w:val="both"/>
      </w:pPr>
      <w:bookmarkStart w:id="503" w:name="EIA2025"/>
      <w:hyperlink w:anchor="EIA2025txt" w:history="1">
        <w:r>
          <w:rPr>
            <w:color w:val="1F3864"/>
            <w:u w:val="single"/>
          </w:rPr>
          <w:t xml:space="preserve">EIA. (2025). Electric Power Monthly. U.S. Energy Information Administration.</w:t>
        </w:r>
      </w:hyperlink>
      <w:bookmarkEnd w:id="503"/>
    </w:p>
    <w:p>
      <w:pPr>
        <w:spacing w:before="0" w:after="80" w:line="240" w:lineRule="auto"/>
        <w:ind w:hanging="720" w:left="720"/>
        <w:jc w:val="both"/>
      </w:pPr>
      <w:bookmarkStart w:id="504" w:name="EpochAI2024"/>
      <w:hyperlink w:anchor="EpochAI2024txt" w:history="1">
        <w:r>
          <w:rPr>
            <w:color w:val="1F3864"/>
            <w:u w:val="single"/>
          </w:rPr>
          <w:t xml:space="preserve">Epoch AI. (2024). </w:t>
        </w:r>
      </w:hyperlink>
      <w:r>
        <w:t>“The Training Compute of Notable AI Models.” epochai.org.</w:t>
      </w:r>
      <w:bookmarkEnd w:id="504"/>
    </w:p>
    <w:p>
      <w:pPr>
        <w:spacing w:before="0" w:after="80" w:line="240" w:lineRule="auto"/>
        <w:ind w:hanging="720" w:left="720"/>
        <w:jc w:val="both"/>
      </w:pPr>
      <w:bookmarkStart w:id="505" w:name="EPRI2024"/>
      <w:hyperlink w:anchor="EPRI2024txt" w:history="1">
        <w:r>
          <w:rPr>
            <w:color w:val="1F3864"/>
            <w:u w:val="single"/>
          </w:rPr>
          <w:t xml:space="preserve">EPRI. (2024). </w:t>
        </w:r>
      </w:hyperlink>
      <w:r>
        <w:t>“Powering Intelligence: Analyzing AI and Data Center Energy Consumption.” Electric Power Research Institute.</w:t>
      </w:r>
      <w:bookmarkEnd w:id="505"/>
    </w:p>
    <w:p>
      <w:pPr>
        <w:spacing w:before="0" w:after="80" w:line="240" w:lineRule="auto"/>
        <w:ind w:hanging="720" w:left="720"/>
        <w:jc w:val="both"/>
      </w:pPr>
      <w:bookmarkStart w:id="506"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06"/>
    </w:p>
    <w:p>
      <w:pPr>
        <w:spacing w:before="0" w:after="80" w:line="240" w:lineRule="auto"/>
        <w:ind w:hanging="720" w:left="720"/>
        <w:jc w:val="both"/>
      </w:pPr>
      <w:bookmarkStart w:id="507"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07"/>
    </w:p>
    <w:p>
      <w:pPr>
        <w:spacing w:before="0" w:after="80" w:line="240" w:lineRule="auto"/>
        <w:ind w:hanging="720" w:left="720"/>
        <w:jc w:val="both"/>
      </w:pPr>
      <w:bookmarkStart w:id="508" w:name="Flucker2013"/>
      <w:hyperlink w:anchor="Flucker2013txt" w:history="1">
        <w:r>
          <w:rPr>
            <w:color w:val="1F3864"/>
            <w:u w:val="single"/>
          </w:rPr>
          <w:t xml:space="preserve">Flucker, S., R. Tozer, and R. Whitehead. (2013). </w:t>
        </w:r>
      </w:hyperlink>
      <w:r>
        <w:t xml:space="preserve">“Data Centre Energy Efficiency Analysis.” </w:t>
      </w:r>
      <w:r>
        <w:rPr>
          <w:i/>
        </w:rPr>
        <w:t>Building Services Engineering Research and Technology</w:t>
      </w:r>
      <w:r>
        <w:t>, 34(1): 103–117.</w:t>
      </w:r>
      <w:bookmarkEnd w:id="508"/>
    </w:p>
    <w:p>
      <w:pPr>
        <w:spacing w:before="0" w:after="80" w:line="240" w:lineRule="auto"/>
        <w:ind w:hanging="720" w:left="720"/>
        <w:jc w:val="both"/>
      </w:pPr>
      <w:bookmarkStart w:id="509"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09"/>
    </w:p>
    <w:p>
      <w:pPr>
        <w:spacing w:before="0" w:after="80" w:line="240" w:lineRule="auto"/>
        <w:ind w:hanging="720" w:left="720"/>
        <w:jc w:val="both"/>
      </w:pPr>
      <w:bookmarkStart w:id="510"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0"/>
    </w:p>
    <w:p>
      <w:pPr>
        <w:spacing w:before="0" w:after="80" w:line="240" w:lineRule="auto"/>
        <w:ind w:hanging="720" w:left="720"/>
        <w:jc w:val="both"/>
      </w:pPr>
      <w:bookmarkStart w:id="511" w:name="Grossman2008"/>
      <w:hyperlink w:anchor="Grossman2008txt" w:history="1">
        <w:r>
          <w:rPr>
            <w:color w:val="1F3864"/>
            <w:u w:val="single"/>
          </w:rPr>
          <w:t xml:space="preserve">Grossman, G., and E. Rossi-Hansberg. (2008). </w:t>
        </w:r>
      </w:hyperlink>
      <w:r>
        <w:t xml:space="preserve">“Trading Tasks: A Simple Theory of Offshoring.” </w:t>
      </w:r>
      <w:r>
        <w:rPr>
          <w:i/>
        </w:rPr>
        <w:t>American Economic Review</w:t>
      </w:r>
      <w:r>
        <w:t>, 98(5): 1978–1997.</w:t>
      </w:r>
      <w:bookmarkEnd w:id="511"/>
    </w:p>
    <w:p>
      <w:pPr>
        <w:spacing w:before="0" w:after="80" w:line="240" w:lineRule="auto"/>
        <w:ind w:hanging="720" w:left="720"/>
        <w:jc w:val="both"/>
      </w:pPr>
      <w:bookmarkStart w:id="512"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12"/>
    </w:p>
    <w:p>
      <w:pPr>
        <w:spacing w:before="0" w:after="80" w:line="240" w:lineRule="auto"/>
        <w:ind w:hanging="720" w:left="720"/>
        <w:jc w:val="both"/>
      </w:pPr>
      <w:bookmarkStart w:id="513"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13"/>
    </w:p>
    <w:p>
      <w:pPr>
        <w:spacing w:before="0" w:after="80" w:line="240" w:lineRule="auto"/>
        <w:ind w:hanging="720" w:left="720"/>
        <w:jc w:val="both"/>
      </w:pPr>
      <w:bookmarkStart w:id="514"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14"/>
    </w:p>
    <w:p>
      <w:pPr>
        <w:spacing w:before="0" w:after="80" w:line="240" w:lineRule="auto"/>
        <w:ind w:hanging="720" w:left="720"/>
        <w:jc w:val="both"/>
      </w:pPr>
      <w:bookmarkStart w:id="515" w:name="Hummels2013"/>
      <w:hyperlink w:anchor="Hummels2013txt" w:history="1">
        <w:r>
          <w:rPr>
            <w:color w:val="1F3864"/>
            <w:u w:val="single"/>
          </w:rPr>
          <w:t xml:space="preserve">Hummels, D., and G. Schaur. (2013). </w:t>
        </w:r>
      </w:hyperlink>
      <w:r>
        <w:t xml:space="preserve">“Time as a Trade Barrier.” </w:t>
      </w:r>
      <w:r>
        <w:rPr>
          <w:i/>
        </w:rPr>
        <w:t>American Economic Review</w:t>
      </w:r>
      <w:r>
        <w:t>, 103(7): 2935–2959.</w:t>
      </w:r>
      <w:bookmarkEnd w:id="515"/>
    </w:p>
    <w:p>
      <w:pPr>
        <w:spacing w:before="0" w:after="80" w:line="240" w:lineRule="auto"/>
        <w:ind w:hanging="720" w:left="720"/>
        <w:jc w:val="both"/>
      </w:pPr>
      <w:bookmarkStart w:id="516" w:name="IEA2025"/>
      <w:hyperlink w:anchor="IEA2025txt" w:history="1">
        <w:r>
          <w:rPr>
            <w:color w:val="1F3864"/>
            <w:u w:val="single"/>
          </w:rPr>
          <w:t xml:space="preserve">IEA. (2025). </w:t>
        </w:r>
      </w:hyperlink>
      <w:r>
        <w:t>“Energy Demand from AI.” Published online at iea.org.</w:t>
      </w:r>
      <w:bookmarkEnd w:id="516"/>
    </w:p>
    <w:p>
      <w:pPr>
        <w:spacing w:before="0" w:after="80" w:line="240" w:lineRule="auto"/>
        <w:ind w:hanging="720" w:left="720"/>
        <w:jc w:val="both"/>
      </w:pPr>
      <w:bookmarkStart w:id="517"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17"/>
    </w:p>
    <w:p>
      <w:pPr>
        <w:spacing w:before="0" w:after="80" w:line="240" w:lineRule="auto"/>
        <w:ind w:hanging="720" w:left="720"/>
        <w:jc w:val="both"/>
      </w:pPr>
      <w:bookmarkStart w:id="518"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18"/>
    </w:p>
    <w:p>
      <w:pPr>
        <w:spacing w:before="0" w:after="80" w:line="240" w:lineRule="auto"/>
        <w:ind w:hanging="720" w:left="720"/>
        <w:jc w:val="both"/>
      </w:pPr>
      <w:bookmarkStart w:id="519"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19"/>
    </w:p>
    <w:p>
      <w:pPr>
        <w:spacing w:before="0" w:after="80" w:line="240" w:lineRule="auto"/>
        <w:ind w:hanging="720" w:left="720"/>
        <w:jc w:val="both"/>
      </w:pPr>
      <w:bookmarkStart w:id="520"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24" w:name="WorldBank2024txt"/>
      <w:hyperlink w:anchor="WorldBank2024" w:history="1">
        <w:r>
          <w:rPr>
            <w:i/>
            <w:color w:val="1F3864"/>
            <w:u w:val="single"/>
          </w:rPr>
          <w:t xml:space="preserve">World Bank</w:t>
        </w:r>
      </w:hyperlink>
      <w:bookmarkEnd w:id="224"/>
      <w:r>
        <w:rPr>
          <w:i/>
        </w:rPr>
        <w:t xml:space="preserve"> Economic Review</w:t>
      </w:r>
      <w:r>
        <w:t>, 15(3): 451–479.</w:t>
      </w:r>
      <w:bookmarkEnd w:id="520"/>
    </w:p>
    <w:p>
      <w:pPr>
        <w:spacing w:before="0" w:after="80" w:line="240" w:lineRule="auto"/>
        <w:ind w:hanging="720" w:left="720"/>
        <w:jc w:val="both"/>
      </w:pPr>
      <w:bookmarkStart w:id="521"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21"/>
    </w:p>
    <w:p>
      <w:pPr>
        <w:spacing w:before="0" w:after="80" w:line="240" w:lineRule="auto"/>
        <w:ind w:hanging="720" w:left="720"/>
        <w:jc w:val="both"/>
      </w:pPr>
      <w:bookmarkStart w:id="522" w:name="NVIDIA2024"/>
      <w:hyperlink w:anchor="NVIDIA2024txt" w:history="1">
        <w:r>
          <w:rPr>
            <w:color w:val="1F3864"/>
            <w:u w:val="single"/>
          </w:rPr>
          <w:t xml:space="preserve">NVIDIA. (2024). NVIDIA H100 Tensor Core GPU Datasheet. nvidia.com.</w:t>
        </w:r>
      </w:hyperlink>
      <w:bookmarkEnd w:id="522"/>
    </w:p>
    <w:p>
      <w:pPr>
        <w:spacing w:before="0" w:after="80" w:line="240" w:lineRule="auto"/>
        <w:ind w:hanging="720" w:left="720"/>
        <w:jc w:val="both"/>
      </w:pPr>
      <w:bookmarkStart w:id="523" w:name="Oltmanns2021"/>
      <w:hyperlink w:anchor="Oltmanns2021txt" w:history="1">
        <w:r>
          <w:rPr>
            <w:color w:val="1F3864"/>
            <w:u w:val="single"/>
          </w:rPr>
          <w:t xml:space="preserve">Oltmanns, J., D. Krcmarik, and R. Gatti. (2021). </w:t>
        </w:r>
      </w:hyperlink>
      <w:r>
        <w:t xml:space="preserve">“Data Centre Site Selection.” </w:t>
      </w:r>
      <w:r>
        <w:rPr>
          <w:i/>
        </w:rPr>
        <w:t>Journal of Property Investment &amp; Finance</w:t>
      </w:r>
      <w:r>
        <w:t>, 39(1): 55–72.</w:t>
      </w:r>
      <w:bookmarkEnd w:id="523"/>
    </w:p>
    <w:p>
      <w:pPr>
        <w:spacing w:before="0" w:after="80" w:line="240" w:lineRule="auto"/>
        <w:ind w:hanging="720" w:left="720"/>
        <w:jc w:val="both"/>
      </w:pPr>
      <w:bookmarkStart w:id="524"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24"/>
    </w:p>
    <w:p>
      <w:pPr>
        <w:spacing w:before="0" w:after="80" w:line="240" w:lineRule="auto"/>
        <w:ind w:hanging="720" w:left="720"/>
        <w:jc w:val="both"/>
      </w:pPr>
      <w:bookmarkStart w:id="525" w:name="Sastry2024"/>
      <w:hyperlink w:anchor="Sastry2024txt" w:history="1">
        <w:r>
          <w:rPr>
            <w:color w:val="1F3864"/>
            <w:u w:val="single"/>
          </w:rPr>
          <w:t xml:space="preserve">Sastry, G., L. Heim, et al. (2024). </w:t>
        </w:r>
      </w:hyperlink>
      <w:r>
        <w:t>“Computing Power and the Governance of Artificial Intelligence.” arXiv:2402.08797.</w:t>
      </w:r>
      <w:bookmarkEnd w:id="525"/>
    </w:p>
    <w:p>
      <w:pPr>
        <w:spacing w:before="0" w:after="80" w:line="240" w:lineRule="auto"/>
        <w:ind w:hanging="720" w:left="720"/>
        <w:jc w:val="both"/>
      </w:pPr>
      <w:bookmarkStart w:id="526"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26"/>
    </w:p>
    <w:p>
      <w:pPr>
        <w:spacing w:before="0" w:after="80" w:line="240" w:lineRule="auto"/>
        <w:ind w:hanging="720" w:left="720"/>
        <w:jc w:val="both"/>
      </w:pPr>
      <w:bookmarkStart w:id="527" w:name="UNCTAD2025"/>
      <w:hyperlink w:anchor="UNCTAD2025txt" w:history="1">
        <w:r>
          <w:rPr>
            <w:color w:val="1F3864"/>
            <w:u w:val="single"/>
          </w:rPr>
          <w:t xml:space="preserve">UNCTAD. (2025). Technology and Innovation Report 2025. Geneva: United Nations.</w:t>
        </w:r>
      </w:hyperlink>
      <w:bookmarkEnd w:id="527"/>
    </w:p>
    <w:p>
      <w:pPr>
        <w:spacing w:before="0" w:after="80" w:line="240" w:lineRule="auto"/>
        <w:ind w:hanging="720" w:left="720"/>
        <w:jc w:val="both"/>
      </w:pPr>
      <w:bookmarkStart w:id="528" w:name="UptimeInstitute2024"/>
      <w:hyperlink w:anchor="UptimeInstitute2024txt" w:history="1">
        <w:r>
          <w:rPr>
            <w:color w:val="1F3864"/>
            <w:u w:val="single"/>
          </w:rPr>
          <w:t xml:space="preserve">Uptime Institute. (2024). </w:t>
        </w:r>
      </w:hyperlink>
      <w:r>
        <w:t>“Data Center Staffing: Trends and Best Practices.”</w:t>
      </w:r>
      <w:bookmarkEnd w:id="528"/>
    </w:p>
    <w:p>
      <w:pPr>
        <w:spacing w:before="0" w:after="80" w:line="240" w:lineRule="auto"/>
        <w:ind w:hanging="720" w:left="720"/>
        <w:jc w:val="both"/>
      </w:pPr>
      <w:bookmarkStart w:id="529"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29"/>
    </w:p>
    <w:p>
      <w:pPr>
        <w:spacing w:before="0" w:after="80" w:line="240" w:lineRule="auto"/>
        <w:ind w:hanging="720" w:left="720"/>
        <w:jc w:val="both"/>
      </w:pPr>
      <w:bookmarkStart w:id="530"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30"/>
    </w:p>
    <w:sectPr w:rsidR="00FC693F" w:rsidRPr="0006063C" w:rsidSect="00034616">
      <w:footerReference w:type="default" r:id="rId10"/>
      <w:footerReference w:type="first" r:id="rId11"/>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authors and do not necessarily represent the views of their employers including the World Bank, its Executive Directors, or the countries they represent. Michael Lokshin: mlokshin@worldbank.org</w:t>
      </w:r>
    </w:p>
  </w:footnote>
  <w:footnote w:id="2">
    <w:p>
      <w:pPr>
        <w:pStyle w:val="FootnoteText"/>
      </w:pPr>
      <w:r>
        <w:rPr>
          <w:rStyle w:val="FootnoteReference"/>
        </w:rPr>
        <w:footnoteRef/>
      </w:r>
      <w:r>
        <w:t xml:space="preserve"> Based on Epoch AI’s dataset of 225 notable training runs; growth has accelerated since 2020.</w:t>
      </w:r>
    </w:p>
  </w:footnote>
  <w:footnote w:id="3">
    <w:p>
      <w:pPr>
        <w:pStyle w:val="FootnoteText"/>
      </w:pPr>
      <w:r>
        <w:rPr>
          <w:rStyle w:val="FootnoteReference"/>
        </w:rPr>
        <w:footnoteRef/>
      </w:r>
      <w:r>
        <w:t xml:space="preserve"> A 40 MW facility houses over 6,000 servers with approximately 53,000 GPUs. Staffing ranges from approximately 30 (Tier II) to 70 (Tier IV with full redundancy); remote monitoring further reduces on-site requirements (Uptime Institute 2024).</w:t>
      </w:r>
    </w:p>
  </w:footnote>
  <w:footnote w:id="4">
    <w:p>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5">
    <w:p>
      <w:pPr>
        <w:pStyle w:val="FootnoteText"/>
      </w:pPr>
      <w:r>
        <w:rPr>
          <w:rStyle w:val="FootnoteReference"/>
        </w:rPr>
        <w:footnoteRef/>
      </w:r>
      <w:r>
        <w:t xml:space="preserve"> At $0.038/kWh electricity, a 40 MW facility houses approximately 53,000 GPUs with production costs of $453 million per year. Gross revenue depends on pricing: at hyperscaler retail rates ($2.00–2.50/GPU-hour), annual revenue would reach $830 million–$1 billion, but a Kyrgyz operator would more likely sell at wholesale or long-term contract rates, perhaps $0.80–1.20/GPU-hour, yielding $630–950 million and thinner margins. Even at the lower bound, this exceeds 15% of Kyrgyzstan’s $3.8 billion in goods exports (2024).</w:t>
      </w:r>
    </w:p>
  </w:footnote>
  <w:footnote w:id="6">
    <w:p>
      <w:pPr>
        <w:pStyle w:val="FootnoteText"/>
      </w:pPr>
      <w:r>
        <w:rPr>
          <w:rStyle w:val="FootnoteReference"/>
        </w:rPr>
        <w:footnoteRef/>
      </w:r>
      <w:r>
        <w:t xml:space="preserve"> Amortization: $25,000 / (3 years × 8,766 hours/year × 90% utilization) ≈ $1.06/hr. This assumes the NVIDIA list price; street prices fluctuated between $25,000 and $40,000 during the 2023–2024 GPU shortage.</w:t>
      </w:r>
    </w:p>
  </w:footnote>
  <w:footnote w:id="7">
    <w:p>
      <w:pPr>
        <w:pStyle w:val="FootnoteText"/>
      </w:pPr>
      <w:r>
        <w:rPr>
          <w:rStyle w:val="FootnoteReference"/>
        </w:rPr>
        <w:footnoteRef/>
      </w:r>
      <w:r>
        <w:t xml:space="preserve"> Google reports a fleet-wide trailing twelve-month PUE of 1.10 (2024). The PUE floor of 1.08 represents current best practice with free-air cooling in Scandinavian or Icelandic climates.</w:t>
      </w:r>
    </w:p>
  </w:footnote>
  <w:footnote w:id="8">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Our specification thus overstates the cooling penalty for countries that adopt advanced cooling.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9">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10">
    <w:p>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w:t>
      </w:r>
    </w:p>
  </w:footnote>
  <w:footnote w:id="11">
    <w:p>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