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v27  —  February 25, 2026  00:13</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compressing cross-country cost differences, production efficiency and bilateral trust are decisive. Countries combining cheap energy with adequate institutions remain competitive after governance adjustment. For energy-rich developing countries, FLOP exporting offers a route to integrate into the global economy without heavy industrialization.</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9" w:name="EpochAI2024txt"/>
      <w:hyperlink w:anchor="EpochAI2024" w:history="1">
        <w:r>
          <w:rPr>
            <w:color w:val="1F3864"/>
            <w:u w:val="single"/>
          </w:rPr>
          <w:t xml:space="preserve">Epoch AI 2024</w:t>
        </w:r>
      </w:hyperlink>
      <w:bookmarkEnd w:id="239"/>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export opportunity. We refer to the production of compute services in one country for consumption in another as </w:t>
      </w:r>
      <w:r>
        <w:rPr>
          <w:i/>
        </w:rPr>
        <w:t>FLOP exporting</w:t>
      </w:r>
      <w:r>
        <w:t xml:space="preserve">. Rather than exporting raw energy resources as primary commodities, countries can use cheap electricity to produce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40" w:name="WorldBank2024txt"/>
      <w:hyperlink w:anchor="WorldBank2024" w:history="1">
        <w:r>
          <w:rPr>
            <w:color w:val="1F3864"/>
            <w:u w:val="single"/>
          </w:rPr>
          <w:t xml:space="preserve">World Bank 2024</w:t>
        </w:r>
      </w:hyperlink>
      <w:bookmarkEnd w:id="240"/>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1" w:name="Sastry2024txt"/>
      <w:hyperlink w:anchor="Sastry2024" w:history="1">
        <w:r>
          <w:rPr>
            <w:color w:val="1F3864"/>
            <w:u w:val="single"/>
          </w:rPr>
          <w:t xml:space="preserve">Sastry et al. 2024</w:t>
        </w:r>
      </w:hyperlink>
      <w:bookmarkEnd w:id="241"/>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2" w:name="Pilz2025txt"/>
      <w:hyperlink w:anchor="Pilz2025" w:history="1">
        <w:r>
          <w:rPr>
            <w:color w:val="1F3864"/>
            <w:u w:val="single"/>
          </w:rPr>
          <w:t xml:space="preserve">Pilz et al. 2025</w:t>
        </w:r>
      </w:hyperlink>
      <w:bookmarkEnd w:id="242"/>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would allow energy-rich developing countries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3" w:name="Limao2001txt"/>
      <w:hyperlink w:anchor="Limao2001" w:history="1">
        <w:r>
          <w:rPr>
            <w:color w:val="1F3864"/>
            <w:u w:val="single"/>
          </w:rPr>
          <w:t xml:space="preserve">Limão and Venables (2001)</w:t>
        </w:r>
      </w:hyperlink>
      <w:bookmarkEnd w:id="243"/>
      <w:r>
        <w:t xml:space="preserve"> demonstrate that infrastructure quality determines trade costs. In our model, network infrastructure plays the analogous role for digital trade.</w:t>
      </w:r>
    </w:p>
    <w:p>
      <w:pPr>
        <w:spacing w:before="0" w:after="160"/>
        <w:ind w:firstLine="0"/>
        <w:jc w:val="both"/>
      </w:pPr>
      <w:r>
        <w:t xml:space="preserve">Unlike the offshoring of IT services, which is labor-intensive and skill-biased (</w:t>
      </w:r>
      <w:bookmarkStart w:id="207" w:name="Blinder2006txt"/>
      <w:hyperlink w:anchor="Blinder2006" w:history="1">
        <w:r>
          <w:rPr>
            <w:color w:val="1F3864"/>
            <w:u w:val="single"/>
          </w:rPr>
          <w:t xml:space="preserve">Blinder 2006</w:t>
        </w:r>
      </w:hyperlink>
      <w:bookmarkEnd w:id="207"/>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the determinants of data center location. </w:t>
      </w:r>
      <w:bookmarkStart w:id="208" w:name="Flucker2013txt"/>
      <w:hyperlink w:anchor="Flucker2013" w:history="1">
        <w:r>
          <w:rPr>
            <w:color w:val="1F3864"/>
            <w:u w:val="single"/>
          </w:rPr>
          <w:t xml:space="preserve">Flucker et al. (2013)</w:t>
        </w:r>
      </w:hyperlink>
      <w:bookmarkEnd w:id="208"/>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8" w:name="Brainard1997txt"/>
      <w:hyperlink w:anchor="Brainard1997" w:history="1">
        <w:r>
          <w:rPr>
            <w:color w:val="1F3864"/>
            <w:u w:val="single"/>
          </w:rPr>
          <w:t xml:space="preserve">Brainard (1997)</w:t>
        </w:r>
      </w:hyperlink>
      <w:bookmarkEnd w:id="258"/>
      <w:r>
        <w:t xml:space="preserve"> formalizes the proximity-concentration trade-off between serving a market locally and concentrating production abroad, and </w:t>
      </w:r>
      <w:bookmarkStart w:id="244" w:name="HMY2004txt"/>
      <w:hyperlink w:anchor="HMY2004" w:history="1">
        <w:r>
          <w:rPr>
            <w:color w:val="1F3864"/>
            <w:u w:val="single"/>
          </w:rPr>
          <w:t xml:space="preserve">Helpman et al. (2004)</w:t>
        </w:r>
      </w:hyperlink>
      <w:bookmarkEnd w:id="244"/>
      <w:r>
        <w:t xml:space="preserve"> extend this to heterogeneous firms choosing between exporting and FDI.</w:t>
      </w:r>
    </w:p>
    <w:p>
      <w:pPr>
        <w:spacing w:before="0" w:after="160"/>
        <w:ind w:firstLine="0"/>
        <w:jc w:val="both"/>
      </w:pPr>
      <w:r>
        <w:t xml:space="preserve">On the governance side, </w:t>
      </w:r>
      <w:bookmarkStart w:id="245" w:name="Sastry2024txt"/>
      <w:hyperlink w:anchor="Sastry2024" w:history="1">
        <w:r>
          <w:rPr>
            <w:color w:val="1F3864"/>
            <w:u w:val="single"/>
          </w:rPr>
          <w:t xml:space="preserve">Sastry et al. (2024)</w:t>
        </w:r>
      </w:hyperlink>
      <w:bookmarkEnd w:id="245"/>
      <w:r>
        <w:t xml:space="preserve"> argue that compute is well-suited for regulation because governments can track the number of chips in circulation, restrict who can buy them, and measure how much computation they perform. </w:t>
      </w:r>
      <w:bookmarkStart w:id="209" w:name="Lehdonvirta2024txt"/>
      <w:hyperlink w:anchor="Lehdonvirta2024" w:history="1">
        <w:r>
          <w:rPr>
            <w:color w:val="1F3864"/>
            <w:u w:val="single"/>
          </w:rPr>
          <w:t xml:space="preserve">Lehdonvirta et al. (2024)</w:t>
        </w:r>
      </w:hyperlink>
      <w:bookmarkEnd w:id="209"/>
      <w:r>
        <w:t xml:space="preserve"> map the global geography of cloud GPU infrastructure, distinguishing a “Compute North” with training-capable hardware from a “Compute South” limited to inference-grade chips. </w:t>
      </w:r>
      <w:bookmarkStart w:id="259" w:name="Pilz2025txt"/>
      <w:hyperlink w:anchor="Pilz2025" w:history="1">
        <w:r>
          <w:rPr>
            <w:color w:val="1F3864"/>
            <w:u w:val="single"/>
          </w:rPr>
          <w:t xml:space="preserve">Pilz et al. (2025)</w:t>
        </w:r>
      </w:hyperlink>
      <w:bookmarkEnd w:id="259"/>
      <w:r>
        <w:t xml:space="preserve"> project that AI data center power demand could reach 327 GW by 2030 and that domestic power shortages may push compute infrastructure abroad. The </w:t>
      </w:r>
      <w:bookmarkStart w:id="260" w:name="WorldBank2025txt"/>
      <w:hyperlink w:anchor="WorldBank2025" w:history="1">
        <w:r>
          <w:rPr>
            <w:color w:val="1F3864"/>
            <w:u w:val="single"/>
          </w:rPr>
          <w:t xml:space="preserve">World Bank (2025)</w:t>
        </w:r>
      </w:hyperlink>
      <w:bookmarkEnd w:id="260"/>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6" w:name="Biglaiser2024txt"/>
      <w:hyperlink w:anchor="Biglaiser2024" w:history="1">
        <w:r>
          <w:rPr>
            <w:color w:val="1F3864"/>
            <w:u w:val="single"/>
          </w:rPr>
          <w:t xml:space="preserve">Biglaiser et al. (2024)</w:t>
        </w:r>
      </w:hyperlink>
      <w:bookmarkEnd w:id="246"/>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Existing digital trade models treat cloud services as homogeneous and demand-driven (</w:t>
      </w:r>
      <w:bookmarkStart w:id="255" w:name="Stojkoski2024txt"/>
      <w:hyperlink w:anchor="Stojkoski2024" w:history="1">
        <w:r>
          <w:rPr>
            <w:color w:val="1F3864"/>
            <w:u w:val="single"/>
          </w:rPr>
          <w:t xml:space="preserve">Stojkoski et al. 2024</w:t>
        </w:r>
      </w:hyperlink>
      <w:bookmarkEnd w:id="255"/>
      <w:r>
        <w:t xml:space="preserve">); this paper models the supply side, where location-specific energy costs and institutional quality determine which countries can produce compute competitively. This paper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10" w:name="Ohlin1933txt"/>
      <w:hyperlink w:anchor="Ohlin1933" w:history="1">
        <w:r>
          <w:rPr>
            <w:color w:val="1F3864"/>
            <w:u w:val="single"/>
          </w:rPr>
          <w:t xml:space="preserve">Ohlin 1933</w:t>
        </w:r>
      </w:hyperlink>
      <w:bookmarkEnd w:id="210"/>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1" w:name="BaileyEtAl2017txt"/>
      <w:hyperlink w:anchor="BaileyEtAl2017" w:history="1">
        <w:r>
          <w:rPr>
            <w:color w:val="1F3864"/>
            <w:u w:val="single"/>
          </w:rPr>
          <w:t xml:space="preserve">Bailey, Strezhnev, and Voeten 2017</w:t>
        </w:r>
      </w:hyperlink>
      <w:bookmarkEnd w:id="211"/>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2" w:name="WorldBank2024txt"/>
      <w:hyperlink w:anchor="WorldBank2024" w:history="1">
        <w:r>
          <w:rPr>
            <w:color w:val="1F3864"/>
            <w:u w:val="single"/>
          </w:rPr>
          <w:t xml:space="preserve">World Bank 2024</w:t>
        </w:r>
      </w:hyperlink>
      <w:bookmarkEnd w:id="212"/>
      <w:r>
        <w:t xml:space="preserve">), </w:t>
      </w:r>
      <m:oMath>
        <m:r>
          <m:rPr>
            <m:sty m:val="i"/>
          </m:rPr>
          <w:rPr>
            <w:rFonts w:ascii="Cambria Math" w:hAnsi="Cambria Math"/>
          </w:rPr>
          <m:t xml:space="preserve">R</m:t>
        </m:r>
      </m:oMath>
      <w:r>
        <w:t xml:space="preserve"> is grid reliability (</w:t>
      </w:r>
      <w:bookmarkStart w:id="213" w:name="WBES2025txt"/>
      <w:hyperlink w:anchor="WBES2025" w:history="1">
        <w:r>
          <w:rPr>
            <w:color w:val="1F3864"/>
            <w:u w:val="single"/>
          </w:rPr>
          <w:t xml:space="preserve">World Bank Enterprise Survey 2025</w:t>
        </w:r>
      </w:hyperlink>
      <w:bookmarkEnd w:id="213"/>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 (Section 6). The efficiency adjustment applies only to the non-hardware cost component: since hardware is priced on global markets, governance penalties operate on local costs rather than on the full unit cost (see equation 3).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7" w:name="Eurostat2025txt"/>
      <w:hyperlink w:anchor="Eurostat2025" w:history="1">
        <w:r>
          <w:rPr>
            <w:color w:val="1F3864"/>
            <w:u w:val="single"/>
          </w:rPr>
          <w:t xml:space="preserve">Eurostat 2025</w:t>
        </w:r>
      </w:hyperlink>
      <w:bookmarkEnd w:id="247"/>
      <w:r>
        <w:t xml:space="preserve">). For non-European countries, the prices are obtained from national regulator tariff sheets and secondary sources, including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 national utility tariffs for Central Asian countries, and </w:t>
      </w:r>
      <w:bookmarkStart w:id="214" w:name="GlobalPetrolPrices2025txt"/>
      <w:hyperlink w:anchor="GlobalPetrolPrices2025" w:history="1">
        <w:r>
          <w:rPr>
            <w:color w:val="1F3864"/>
            <w:u w:val="single"/>
          </w:rPr>
          <w:t xml:space="preserve">GlobalPetrolPrices (2025)</w:t>
        </w:r>
      </w:hyperlink>
      <w:bookmarkEnd w:id="214"/>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8" w:name="Cloudscene2025txt"/>
      <w:hyperlink w:anchor="Cloudscene2025" w:history="1">
        <w:r>
          <w:rPr>
            <w:color w:val="1F3864"/>
            <w:u w:val="single"/>
          </w:rPr>
          <w:t xml:space="preserve">Cloudscene 2025</w:t>
        </w:r>
      </w:hyperlink>
      <w:bookmarkEnd w:id="218"/>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9" w:name="UptimeInstitute2024txt"/>
      <w:hyperlink w:anchor="UptimeInstitute2024" w:history="1">
        <w:r>
          <w:rPr>
            <w:color w:val="1F3864"/>
            <w:u w:val="single"/>
          </w:rPr>
          <w:t xml:space="preserve">Uptime Institute 2024</w:t>
        </w:r>
      </w:hyperlink>
      <w:bookmarkEnd w:id="219"/>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0" w:name="Liu2023txt"/>
      <w:hyperlink w:anchor="Liu2023" w:history="1">
        <w:r>
          <w:rPr>
            <w:color w:val="1F3864"/>
            <w:u w:val="single"/>
          </w:rPr>
          <w:t xml:space="preserve">Liu et al. 2023</w:t>
        </w:r>
      </w:hyperlink>
      <w:bookmarkEnd w:id="220"/>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1" w:name="UptimeInstitute2024txt"/>
      <w:hyperlink w:anchor="UptimeInstitute2024" w:history="1">
        <w:r>
          <w:rPr>
            <w:color w:val="1F3864"/>
            <w:u w:val="single"/>
          </w:rPr>
          <w:t xml:space="preserve">Uptime Institute 2024</w:t>
        </w:r>
      </w:hyperlink>
      <w:bookmarkEnd w:id="221"/>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2" w:name="Barroso2018txt"/>
      <w:hyperlink w:anchor="Barroso2018" w:history="1">
        <w:r>
          <w:rPr>
            <w:color w:val="1F3864"/>
            <w:u w:val="single"/>
          </w:rPr>
          <w:t xml:space="preserve">Barroso et al. 2018</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3" w:name="Barroso2018txt"/>
      <w:hyperlink w:anchor="Barroso2018" w:history="1">
        <w:r>
          <w:rPr>
            <w:color w:val="1F3864"/>
            <w:u w:val="single"/>
          </w:rPr>
          <w:t xml:space="preserve">Barroso et al. 2018</w:t>
        </w:r>
      </w:hyperlink>
      <w:bookmarkEnd w:id="223"/>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4" w:name="Deloitte2020txt"/>
      <w:hyperlink w:anchor="Deloitte2020" w:history="1">
        <w:r>
          <w:rPr>
            <w:color w:val="1F3864"/>
            <w:u w:val="single"/>
          </w:rPr>
          <w:t xml:space="preserve">Deloitte (2020)</w:t>
        </w:r>
      </w:hyperlink>
      <w:bookmarkEnd w:id="224"/>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5" w:name="Deloitte2025txt"/>
      <w:hyperlink w:anchor="Deloitte2025" w:history="1">
        <w:r>
          <w:rPr>
            <w:color w:val="1F3864"/>
            <w:u w:val="single"/>
          </w:rPr>
          <w:t xml:space="preserve">Deloitte 2025</w:t>
        </w:r>
      </w:hyperlink>
      <w:bookmarkEnd w:id="225"/>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The institutional floor reflects the minimum operational quality achievable when a hyperscaler structures the investment through international arbitration, a dedicated power purchase agreement, and special economic zone provisions (</w:t>
      </w:r>
      <w:bookmarkStart w:id="257" w:name="Farole2011txt"/>
      <w:hyperlink w:anchor="Farole2011" w:history="1">
        <w:r>
          <w:rPr>
            <w:color w:val="1F3864"/>
            <w:u w:val="single"/>
          </w:rPr>
          <w:t xml:space="preserve">Farole 2011</w:t>
        </w:r>
      </w:hyperlink>
      <w:bookmarkEnd w:id="257"/>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6" w:name="Frick2019txt"/>
      <w:hyperlink w:anchor="Frick2019" w:history="1">
        <w:r>
          <w:rPr>
            <w:color w:val="1F3864"/>
            <w:u w:val="single"/>
          </w:rPr>
          <w:t xml:space="preserve">Frick, Rodríguez-Pose, and Wong 2019</w:t>
        </w:r>
      </w:hyperlink>
      <w:bookmarkEnd w:id="226"/>
      <w:r>
        <w:t xml:space="preserve">). Because hardware costs — comprising GPU depreciation and networking — account for approximately 90 percent of cost-recovery costs and are determined on global markets at uniform prices, the efficiency adjustment operates only on the remaining country-specific cost component (equation 3). This ensures that governance penalties affect power purchase agreements, construction permits, and grid connections, but not globally-priced capital equipment.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The sensitivity of results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 ξ ranges from 0.60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7" w:name="Lazard2025txt"/>
      <w:hyperlink w:anchor="Lazard2025" w:history="1">
        <w:r>
          <w:rPr>
            <w:color w:val="1F3864"/>
            <w:u w:val="single"/>
          </w:rPr>
          <w:t xml:space="preserve">Lazard 2025</w:t>
        </w:r>
      </w:hyperlink>
      <w:bookmarkEnd w:id="227"/>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p>
    <w:p>
      <w:pPr>
        <w:spacing w:before="0" w:after="160"/>
        <w:ind w:firstLine="0"/>
        <w:jc w:val="both"/>
      </w:pPr>
      <w:r>
        <w:t>Cost advantages must be weighed against institutional quality. Private infrastructure mitigates grid unreliability, but governance weaknesses lie outside the investor’s control. Efficiency adjustment applies only to the country-specific cost component (energy procurement, cooling infrastructure, construction, and grid connection),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(Turkmenistan, Tajikistan, Russia) lose ground. With hardware dominating unit costs, the remaining cross-country variation is narrow, and even modest governance penalties reshuffle adjacent ranks. Cheap energy is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is more dispersed, with the top five suppliers being Canada (47%), China (26%), Finland (7%), Norway (7%), and India (3%), collectively accounting for 90% of global inference demand (HHI = 0.30).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Inference supply thus concentrates around latency-bounded regional hubs, each major market sourcing from a distinct nearby supplier.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8" w:name="EatonKortum2002txt"/>
      <w:hyperlink w:anchor="EatonKortum2002" w:history="1">
        <w:r>
          <w:rPr>
            <w:color w:val="1F3864"/>
            <w:u w:val="single"/>
          </w:rPr>
          <w:t xml:space="preserve">Eaton and Kortum 2002</w:t>
        </w:r>
      </w:hyperlink>
      <w:bookmarkEnd w:id="228"/>
      <w:r>
        <w:t xml:space="preserve">, </w:t>
      </w:r>
      <w:bookmarkStart w:id="250" w:name="ACR2012txt"/>
      <w:hyperlink w:anchor="ACR2012" w:history="1">
        <w:r>
          <w:rPr>
            <w:color w:val="1F3864"/>
            <w:u w:val="single"/>
          </w:rPr>
          <w:t xml:space="preserve">Arkolakis et al. 2012</w:t>
        </w:r>
      </w:hyperlink>
      <w:bookmarkEnd w:id="250"/>
      <w:r>
        <w:t xml:space="preserve">).</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not trivial: the bilateral premium shifts most countries toward domestic production, forgoing the cost savings from specialization. Developing countries that adopt broad data localization requirements risk foreclosing both import savings and regional export opportunities — the very specialization gains the model predicts. The </w:t>
      </w:r>
      <w:bookmarkStart w:id="229" w:name="WorldBank2025txt"/>
      <w:hyperlink w:anchor="WorldBank2025" w:history="1">
        <w:r>
          <w:rPr>
            <w:color w:val="1F3864"/>
            <w:u w:val="single"/>
          </w:rPr>
          <w:t xml:space="preserve">World Bank (2025)</w:t>
        </w:r>
      </w:hyperlink>
      <w:bookmarkEnd w:id="229"/>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the high-hardware scenario raises the developing-country count in the top fifteen to 10.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The qualitative result, that energy-rich developing countries can compete in compute exports, follows from hardware being globally priced, not from any particular parameter choice. The qualitative finding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in several directions. Carbon pricing could introduce a “green premium” favoring hydropower-rich countries. Demand segmentation by latency tolerance would capture heterogeneous service requirements. Stochastic disruptions — grid outages, political instability — would give buyers a reason to diversify across providers, a feature the current deterministic framework lacks.</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1" w:name="Krugman1991txt"/>
      <w:hyperlink w:anchor="Krugman1991" w:history="1">
        <w:r>
          <w:rPr>
            <w:color w:val="1F3864"/>
            <w:u w:val="single"/>
          </w:rPr>
          <w:t xml:space="preserve">Krugman 1991</w:t>
        </w:r>
      </w:hyperlink>
      <w:bookmarkEnd w:id="231"/>
      <w:r>
        <w:t xml:space="preserve">). The concentration of data centers in locations such as Northern Virginia reflects these centripetal forces. The cost-based ranking should therefore be interpreted as a necessary condition for competitiveness, not a sufficient one: a country must be cheap enough to attract investment, but whether a hyperscaler actually builds there depends on agglomeration economies and network effects the model abstracts from. This distinction motivates the capacity ceilings in Section 3, which partially capture the gap between cost-based potential and realized investment.</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Across 85 countries, low-energy-cost producers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1.5% of compute spending. The model generates a country taxonomy (full importers, training exporters, inference hubs, and hybrid regimes) that maps onto observed investment patterns. This geographic structure is consistent with </w:t>
      </w:r>
      <w:bookmarkStart w:id="232" w:name="Lehdonvirta2024txt"/>
      <w:hyperlink w:anchor="Lehdonvirta2024" w:history="1">
        <w:r>
          <w:rPr>
            <w:color w:val="1F3864"/>
            <w:u w:val="single"/>
          </w:rPr>
          <w:t xml:space="preserve">Lehdonvirta et al. (2024)</w:t>
        </w:r>
      </w:hyperlink>
      <w:bookmarkEnd w:id="232"/>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Montenegro, and Egypt, which rank among the cheapest FLOP producers in the calibration, could use their energy resource endowments—hydropower, natural gas, and solar irradiance—to turn cheap power into a high-value digital export without building a domestic AI research ecosystem. FLOP exporting resembles resource-based industrialization, but electricity, unlike oil or minerals, is renewable where generated from hydro, solar, or geothermal sources, and compute demand is growing faster than any other sector of the world economy. The resource curse literature (</w:t>
      </w:r>
      <w:bookmarkStart w:id="233" w:name="vanderPloeg2011txt"/>
      <w:hyperlink w:anchor="vanderPloeg2011" w:history="1">
        <w:r>
          <w:rPr>
            <w:color w:val="1F3864"/>
            <w:u w:val="single"/>
          </w:rPr>
          <w:t xml:space="preserve">van der Ploeg 2011</w:t>
        </w:r>
      </w:hyperlink>
      <w:bookmarkEnd w:id="233"/>
      <w:r>
        <w:t xml:space="preserve">) warns, however, that concentrated export revenues can lead to Dutch disease, institutional degradation, and exposure to demand cycles. Whether FLOP exporting countries share these risks depends on the revenue-sharing model they adopt: a sovereign wealth fund approach (Norway) versus elite capture (Dutch disease). Large-scale compute export revenues could also appreciate the real exchange rate, crowding out other tradable sectors, a channel particularly relevant for small, open economies where data center electricity consumption rivals existing industrial load. The institutional investments required to attract hyperscaler FDI may provide the governance improvements that prevent resource-curse dynamics.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without credible governance, bilateral trust, and data protection frameworks, cheap energy alone will not attract hyperscaler investment.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5" w:name="WorldBank2024txt"/>
      <w:hyperlink w:anchor="WorldBank2024" w:history="1">
        <w:r>
          <w:rPr>
            <w:i/>
            <w:color w:val="1F3864"/>
            <w:u w:val="single"/>
          </w:rPr>
          <w:t xml:space="preserve">World Bank</w:t>
        </w:r>
      </w:hyperlink>
      <w:bookmarkEnd w:id="235"/>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DOJFTC2010"/>
      <w:r>
        <w:rPr>
          <w:color w:val="1F3864"/>
          <w:u w:val="single"/>
        </w:rPr>
        <w:t xml:space="preserve">U.S. Department of Justice and Federal Trade Commission. </w:t>
      </w:r>
      <w:r>
        <w:t xml:space="preserve">(2010). </w:t>
      </w:r>
      <w:r>
        <w:rPr>
          <w:i/>
        </w:rPr>
        <w:t>Horizontal Merger Guidelines</w:t>
      </w:r>
      <w:r>
        <w:t>. Washington, DC.</w:t>
      </w:r>
      <w:bookmarkEnd w:id="540"/>
    </w:p>
    <w:p>
      <w:pPr>
        <w:spacing w:before="0" w:after="80" w:line="240" w:lineRule="exact"/>
        <w:ind w:hanging="720" w:left="720"/>
        <w:jc w:val="both"/>
      </w:pPr>
      <w:bookmarkStart w:id="541" w:name="UNCTAD2025"/>
      <w:r>
        <w:rPr>
          <w:color w:val="1F3864"/>
          <w:u w:val="single"/>
        </w:rPr>
        <w:t xml:space="preserve">UNCTAD. </w:t>
      </w:r>
      <w:r>
        <w:t xml:space="preserve">(2025). </w:t>
      </w:r>
      <w:r>
        <w:rPr>
          <w:i/>
        </w:rPr>
        <w:t>Technology and Innovation Report 2025</w:t>
      </w:r>
      <w:r>
        <w:t>. Geneva: United Nations.</w:t>
      </w:r>
      <w:bookmarkEnd w:id="541"/>
    </w:p>
    <w:p>
      <w:pPr>
        <w:spacing w:before="0" w:after="80" w:line="240" w:lineRule="exact"/>
        <w:ind w:hanging="720" w:left="720"/>
        <w:jc w:val="both"/>
      </w:pPr>
      <w:bookmarkStart w:id="542"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2"/>
    </w:p>
    <w:p>
      <w:pPr>
        <w:spacing w:before="0" w:after="80" w:line="240" w:lineRule="exact"/>
        <w:ind w:hanging="720" w:left="720"/>
        <w:jc w:val="both"/>
      </w:pPr>
      <w:bookmarkStart w:id="543"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3"/>
    </w:p>
    <w:p>
      <w:pPr>
        <w:spacing w:before="0" w:after="80" w:line="240" w:lineRule="exact"/>
        <w:ind w:hanging="720" w:left="720"/>
        <w:jc w:val="both"/>
      </w:pPr>
      <w:bookmarkStart w:id="544"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4"/>
    </w:p>
    <w:p>
      <w:pPr>
        <w:spacing w:before="0" w:after="80" w:line="240" w:lineRule="exact"/>
        <w:ind w:hanging="720" w:left="720"/>
        <w:jc w:val="both"/>
      </w:pPr>
      <w:bookmarkStart w:id="545"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6" w:name="WorldBank2024txt"/>
      <w:hyperlink w:anchor="WorldBank2024" w:history="1">
        <w:r>
          <w:rPr>
            <w:color w:val="1F3864"/>
            <w:u w:val="single"/>
          </w:rPr>
          <w:t xml:space="preserve">World Bank</w:t>
        </w:r>
      </w:hyperlink>
      <w:bookmarkEnd w:id="236"/>
      <w:r>
        <w:t xml:space="preserve">.</w:t>
      </w:r>
      <w:bookmarkEnd w:id="545"/>
    </w:p>
    <w:p>
      <w:pPr>
        <w:spacing w:before="0" w:after="80" w:line="240" w:lineRule="exact"/>
        <w:ind w:hanging="720" w:left="720"/>
        <w:jc w:val="both"/>
      </w:pPr>
      <w:bookmarkStart w:id="546"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6"/>
    </w:p>
    <w:p>
      <w:pPr>
        <w:spacing w:before="0" w:after="80" w:line="240" w:lineRule="exact"/>
        <w:ind w:hanging="720" w:left="720"/>
        <w:jc w:val="both"/>
      </w:pPr>
      <w:bookmarkStart w:id="547"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7" w:name="WorldBank2024txt"/>
      <w:hyperlink w:anchor="WorldBank2024" w:history="1">
        <w:r>
          <w:rPr>
            <w:color w:val="1F3864"/>
            <w:u w:val="single"/>
          </w:rPr>
          <w:t xml:space="preserve">World Bank</w:t>
        </w:r>
      </w:hyperlink>
      <w:bookmarkEnd w:id="237"/>
      <w:r>
        <w:t xml:space="preserve">.</w:t>
      </w:r>
      <w:bookmarkEnd w:id="547"/>
    </w:p>
    <w:p>
      <w:pPr>
        <w:spacing w:before="0" w:after="80" w:line="240" w:lineRule="exact"/>
        <w:ind w:hanging="720" w:left="720"/>
        <w:jc w:val="both"/>
      </w:pPr>
      <w:bookmarkStart w:id="548"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8" w:name="WorldBank2024txt"/>
      <w:hyperlink w:anchor="WorldBank2024" w:history="1">
        <w:r>
          <w:rPr>
            <w:color w:val="1F3864"/>
            <w:u w:val="single"/>
          </w:rPr>
          <w:t xml:space="preserve">World Bank</w:t>
        </w:r>
      </w:hyperlink>
      <w:bookmarkEnd w:id="238"/>
      <w:r>
        <w:t xml:space="preserve">. enterprisesurveys.org.</w:t>
      </w:r>
      <w:bookmarkEnd w:id="548"/>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 sovereignty premium</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 sovereignty premium (λ = 10%)</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−9.9%</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−8.2%</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−8.0%</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−7.6%</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6</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7</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Montenegro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−6.7%</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−6.3%</w:t>
            </w:r>
          </w:p>
        </w:tc>
      </w:tr>
      <w:tr>
        <w:tc>
          <w:tcPr>
            <w:tcW w:w="2400" w:type="dxa"/>
          </w:tcPr>
          <w:p>
            <w:pPr>
              <w:jc w:val="left"/>
              <w:spacing w:before="10" w:after="10"/>
            </w:pPr>
            <w:r/>
            <w:r>
              <w:rPr>
                <w:rFonts w:ascii="Times New Roman" w:hAnsi="Times New Roman"/>
                <w:sz w:val="16"/>
              </w:rPr>
              <w:t>Iceland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11</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New Zealand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12</w:t>
            </w:r>
          </w:p>
        </w:tc>
        <w:tc>
          <w:tcPr>
            <w:tcW w:w="1100" w:type="dxa"/>
          </w:tcPr>
          <w:p>
            <w:pPr>
              <w:jc w:val="center"/>
              <w:spacing w:before="10" w:after="10"/>
            </w:pPr>
            <w:r/>
            <w:r>
              <w:rPr>
                <w:rFonts w:ascii="Times New Roman" w:hAnsi="Times New Roman"/>
                <w:sz w:val="16"/>
              </w:rPr>
              <w:t>−6.1%</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−5.9%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India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17</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18</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Colombia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19</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Portugal</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UAE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Latvia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Belgium</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−5.2%</w:t>
            </w:r>
          </w:p>
        </w:tc>
      </w:tr>
      <w:tr>
        <w:tc>
          <w:tcPr>
            <w:tcW w:w="2400" w:type="dxa"/>
          </w:tcPr>
          <w:p>
            <w:pPr>
              <w:jc w:val="left"/>
              <w:spacing w:before="10" w:after="10"/>
            </w:pPr>
            <w:r/>
            <w:r>
              <w:rPr>
                <w:rFonts w:ascii="Times New Roman" w:hAnsi="Times New Roman"/>
                <w:sz w:val="16"/>
              </w:rPr>
              <w:t>Malta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24</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400" w:type="dxa"/>
          </w:tcPr>
          <w:p>
            <w:pPr>
              <w:jc w:val="left"/>
              <w:spacing w:before="10" w:after="10"/>
            </w:pPr>
            <w:r/>
            <w:r>
              <w:rPr>
                <w:rFonts w:ascii="Times New Roman" w:hAnsi="Times New Roman"/>
                <w:sz w:val="16"/>
              </w:rPr>
              <w:t>Georgia</w:t>
            </w:r>
          </w:p>
        </w:tc>
        <w:tc>
          <w:tcPr>
            <w:tcBorders>
              <w:bottom w:val="double" w:sz="4" w:space="0" w:color="auto"/>
            </w:tcBorders>
            <w:tcW w:w="1300" w:type="dxa"/>
          </w:tcPr>
          <w:p>
            <w:pPr>
              <w:jc w:val="center"/>
              <w:spacing w:before="10" w:after="10"/>
            </w:pPr>
            <w:r/>
            <w:r>
              <w:rPr>
                <w:rFonts w:ascii="Times New Roman" w:hAnsi="Times New Roman"/>
                <w:sz w:val="16"/>
              </w:rPr>
              <w:t>$1.52</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25</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