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v21  —  February 19, 2026  08:41</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86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location of compute facilities. For energy-rich developing countries with limited export diversification, compute exports offer a pathway to convert natural resources into high-value digital services and integrate into the global economy.</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2" w:name="EpochAI2024txt"/>
      <w:hyperlink w:anchor="EpochAI2024" w:history="1">
        <w:r>
          <w:rPr>
            <w:color w:val="1F3864"/>
            <w:u w:val="single"/>
          </w:rPr>
          <w:t xml:space="preserve">Epoch AI 2024</w:t>
        </w:r>
      </w:hyperlink>
      <w:bookmarkEnd w:id="232"/>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upgrading—moving from low-value to higher-value activities within an industry. Rather than exporting raw energy resources as primary commodities, countries can convert electricity into a higher value-added digital service.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already technically and commercially feasible. Armenia is deploying 50,000 GPUs in a $4 billion AI megaproject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3" w:name="WorldBank2024txt"/>
      <w:hyperlink w:anchor="WorldBank2024" w:history="1">
        <w:r>
          <w:rPr>
            <w:color w:val="1F3864"/>
            <w:u w:val="single"/>
          </w:rPr>
          <w:t xml:space="preserve">World Bank 2024</w:t>
        </w:r>
      </w:hyperlink>
      <w:bookmarkEnd w:id="233"/>
      <w:r>
        <w:t xml:space="preserve">).</w:t>
      </w:r>
      <w:r>
        <w:rPr>
          <w:rStyle w:val="FootnoteReference"/>
        </w:rPr>
        <w:footnoteReference w:id="5"/>
      </w:r>
    </w:p>
    <w:p>
      <w:pPr>
        <w:spacing w:before="0" w:after="160"/>
        <w:ind w:firstLine="0"/>
        <w:jc w:val="both"/>
      </w:pPr>
      <w:r>
        <w:t>Recent work examines compute governance and the geography of AI infrastructure (Sastry et al. 2024, Lehdonvirta et al. 2024, Pilz et al. 2025), but no formal trade model of compute exists. This paper offers the first such model, treating FLOPs as commodities produced and exported according to Ricardian comparative advantage. The paper makes three contributions. It decomposes the cost of a FLOP into electricity, hardware, and construction components, and introduces an iceberg trade cost for inference that captures latency degradation, as well as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it characterizes the resulting trade regimes (which countries export, which import, and which adopt hybrid strategies) and shows how the sovereignty premium determines the boundary between domestic and foreign sourcing.</w:t>
      </w:r>
    </w:p>
    <w:p>
      <w:pPr>
        <w:spacing w:before="0" w:after="160"/>
        <w:ind w:firstLine="0"/>
        <w:jc w:val="both"/>
      </w:pPr>
      <w:r>
        <w:t>The analysis in this paper demonstrates two main results that support the paper’s central argument. First, hardware amortization accounts for over 80 percent of the cost of a GPU-hour and is identical across countries, compressing the total cost spread to roughly 20 percent across 86 countries. Electricity and construction, the only location-specific inputs, operate on a narrow residual. Second, when empirically grounded reliability penalties—capturing grid outages, governance quality, and sanctions exposure—are applied, the cost ranking changes substantially. Several energy-abundant but institutionally fragile economies fall out of the top tier, replaced by countries with more reliable grids and stronger institutions at moderately higher energy costs. Together, these results carry a clear policy message: cheap electricity is necessary but not sufficient for compute exporting; durable comparative advantage requires credible reliability and institutional quality.</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34" w:name="Korinek2021txt"/>
      <w:hyperlink w:anchor="Korinek2021" w:history="1">
        <w:r>
          <w:rPr>
            <w:color w:val="1F3864"/>
            <w:u w:val="single"/>
          </w:rPr>
          <w:t xml:space="preserve">Korinek and Stiglitz (2021)</w:t>
        </w:r>
      </w:hyperlink>
      <w:bookmarkEnd w:id="234"/>
      <w:r>
        <w:t xml:space="preserve"> suggest that developing countries could be left behind in the AI revolution. FLOP exporting offers a pathway for energy-rich developing countries to participate in that revolution. The concept of FLOP exporting as value chain upgrading connects to </w:t>
      </w:r>
      <w:bookmarkStart w:id="205" w:name="Hausmann2007txt"/>
      <w:hyperlink w:anchor="Hausmann2007" w:history="1">
        <w:r>
          <w:rPr>
            <w:color w:val="1F3864"/>
            <w:u w:val="single"/>
          </w:rPr>
          <w:t xml:space="preserve">Hausmann, Hwang, and Rodrik (2007)</w:t>
        </w:r>
      </w:hyperlink>
      <w:bookmarkEnd w:id="205"/>
      <w:r>
        <w:t xml:space="preserve">, who show that what a country exports matters for growth. </w:t>
      </w:r>
      <w:bookmarkStart w:id="235" w:name="Limao2001txt"/>
      <w:hyperlink w:anchor="Limao2001" w:history="1">
        <w:r>
          <w:rPr>
            <w:color w:val="1F3864"/>
            <w:u w:val="single"/>
          </w:rPr>
          <w:t xml:space="preserve">Limão and Venables (2001)</w:t>
        </w:r>
      </w:hyperlink>
      <w:bookmarkEnd w:id="235"/>
      <w:r>
        <w:t xml:space="preserve"> demonstrate that infrastructure quality determines trade costs. In our model, network infrastructure plays the analogous role for digital trade. </w:t>
      </w:r>
      <w:bookmarkStart w:id="246" w:name="Krugman1991txt"/>
      <w:hyperlink w:anchor="Krugman1991" w:history="1">
        <w:r>
          <w:rPr>
            <w:color w:val="1F3864"/>
            <w:u w:val="single"/>
          </w:rPr>
          <w:t xml:space="preserve">Krugman (1991)</w:t>
        </w:r>
      </w:hyperlink>
      <w:bookmarkEnd w:id="246"/>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pPr>
        <w:spacing w:before="0" w:after="160"/>
        <w:ind w:firstLine="0"/>
        <w:jc w:val="both"/>
      </w:pPr>
      <w:r>
        <w:t xml:space="preserve">Several studies examine the determinants of data center location. </w:t>
      </w:r>
      <w:bookmarkStart w:id="206" w:name="Flucker2013txt"/>
      <w:hyperlink w:anchor="Flucker2013" w:history="1">
        <w:r>
          <w:rPr>
            <w:color w:val="1F3864"/>
            <w:u w:val="single"/>
          </w:rPr>
          <w:t xml:space="preserve">Flucker, Tozer, and Whitehead (2013)</w:t>
        </w:r>
      </w:hyperlink>
      <w:bookmarkEnd w:id="206"/>
      <w:r>
        <w:t xml:space="preserve"> show that climate affects data center cooling costs. </w:t>
      </w:r>
      <w:bookmarkStart w:id="236" w:name="Oltmanns2021txt"/>
      <w:hyperlink w:anchor="Oltmanns2021" w:history="1">
        <w:r>
          <w:rPr>
            <w:color w:val="1F3864"/>
            <w:u w:val="single"/>
          </w:rPr>
          <w:t xml:space="preserve">Oltmanns, Krcmarik, and Gatti (2021)</w:t>
        </w:r>
      </w:hyperlink>
      <w:bookmarkEnd w:id="236"/>
      <w:r>
        <w:t xml:space="preserve"> model data center location as a function of electricity prices, climate, connectivity, and political stability.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47" w:name="HMY2004txt"/>
      <w:hyperlink w:anchor="HMY2004" w:history="1">
        <w:r>
          <w:rPr>
            <w:color w:val="1F3864"/>
            <w:u w:val="single"/>
          </w:rPr>
          <w:t xml:space="preserve">Helpman, Melitz, and Yeaple (2004)</w:t>
        </w:r>
      </w:hyperlink>
      <w:bookmarkEnd w:id="247"/>
      <w:r>
        <w:t xml:space="preserve"> extend this to heterogeneous firms choosing between exporting and FDI.</w:t>
      </w:r>
    </w:p>
    <w:p>
      <w:pPr>
        <w:spacing w:before="0" w:after="160"/>
        <w:ind w:firstLine="0"/>
        <w:jc w:val="both"/>
      </w:pPr>
      <w:r>
        <w:t xml:space="preserve">Several papers address compute governance directly. </w:t>
      </w:r>
      <w:bookmarkStart w:id="248" w:name="Sastry2024txt"/>
      <w:hyperlink w:anchor="Sastry2024" w:history="1">
        <w:r>
          <w:rPr>
            <w:color w:val="1F3864"/>
            <w:u w:val="single"/>
          </w:rPr>
          <w:t xml:space="preserve">Sastry, Heim, et al. (2024)</w:t>
        </w:r>
      </w:hyperlink>
      <w:bookmarkEnd w:id="248"/>
      <w:r>
        <w:t xml:space="preserve"> argue that compute is well-suited for regulation because governments can track the number of chips in circulation, restrict who can buy them, and measure how much computation they perform. </w:t>
      </w:r>
      <w:bookmarkStart w:id="237" w:name="Lehdonvirta2024txt"/>
      <w:hyperlink w:anchor="Lehdonvirta2024" w:history="1">
        <w:r>
          <w:rPr>
            <w:color w:val="1F3864"/>
            <w:u w:val="single"/>
          </w:rPr>
          <w:t xml:space="preserve">Lehdonvirta, Wu, and Hawkins (2024)</w:t>
        </w:r>
      </w:hyperlink>
      <w:bookmarkEnd w:id="237"/>
      <w:r>
        <w:t xml:space="preserve"> map the global geography of cloud GPU infrastructure, distinguishing a “Compute North” with training-capable hardware from a “Compute South” limited to inference-grade chips. </w:t>
      </w:r>
      <w:bookmarkStart w:id="249" w:name="Pilz2025txt"/>
      <w:hyperlink w:anchor="Pilz2025" w:history="1">
        <w:r>
          <w:rPr>
            <w:color w:val="1F3864"/>
            <w:u w:val="single"/>
          </w:rPr>
          <w:t xml:space="preserve">Pilz, Mahmood, and Heim (2025)</w:t>
        </w:r>
      </w:hyperlink>
      <w:bookmarkEnd w:id="249"/>
      <w:r>
        <w:t xml:space="preserve"> project that AI data center power demand could reach 327 GW by 2030 and that domestic power shortages may push compute infrastructure abroad. The </w:t>
      </w:r>
      <w:bookmarkStart w:id="255" w:name="WorldBank2025txt"/>
      <w:hyperlink w:anchor="WorldBank2025" w:history="1">
        <w:r>
          <w:rPr>
            <w:color w:val="1F3864"/>
            <w:u w:val="single"/>
          </w:rPr>
          <w:t xml:space="preserve">World Bank (2025)</w:t>
        </w:r>
      </w:hyperlink>
      <w:bookmarkEnd w:id="255"/>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07" w:name="Biglaiser2024txt"/>
      <w:hyperlink w:anchor="Biglaiser2024" w:history="1">
        <w:r>
          <w:rPr>
            <w:color w:val="1F3864"/>
            <w:u w:val="single"/>
          </w:rPr>
          <w:t xml:space="preserve">Biglaiser, Crémer, and Mantovani (2024)</w:t>
        </w:r>
      </w:hyperlink>
      <w:bookmarkEnd w:id="207"/>
      <w:r>
        <w:t xml:space="preserve"> survey the economics of cloud markets—switching costs, egress fees, and platform competition among hyperscalers—but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unit cost of producing one GPU-hour of compute in country </w:t>
      </w:r>
      <m:oMath>
        <m:r>
          <m:rPr>
            <m:sty m:val="i"/>
          </m:rPr>
          <w:rPr>
            <w:rFonts w:ascii="Cambria Math" w:hAnsi="Cambria Math"/>
          </w:rPr>
          <m:t xml:space="preserve">j</m:t>
        </m:r>
      </m:oMath>
      <w:r>
        <w:t xml:space="preserve"> depends on three inputs—electricity, hardware, and data center construction.</w:t>
      </w:r>
      <w:r>
        <w:rPr>
          <w:rStyle w:val="FootnoteReference"/>
        </w:rPr>
        <w:footnoteReference w:id="6"/>
      </w:r>
    </w:p>
    <w:p>
      <w:pPr>
        <w:spacing w:before="0" w:after="160"/>
        <w:ind w:firstLine="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208" w:name="Flucker2013txt"/>
      <w:hyperlink w:anchor="Flucker2013" w:history="1">
        <w:r>
          <w:rPr>
            <w:color w:val="1F3864"/>
            <w:u w:val="single"/>
          </w:rPr>
          <w:t xml:space="preserve">Flucker, Tozer, and Whitehead 2013</w:t>
        </w:r>
      </w:hyperlink>
      <w:bookmarkEnd w:id="208"/>
      <w:r>
        <w:t xml:space="preserve">). PUE is modeled as a linear function of peak summer temperature: </w:t>
      </w: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w:r>
        <w:t xml:space="preserve">, where </w:t>
      </w:r>
      <m:oMath>
        <m:r>
          <m:rPr>
            <m:sty m:val="i"/>
          </m:rPr>
          <w:rPr>
            <w:rFonts w:ascii="Cambria Math" w:hAnsi="Cambria Math"/>
          </w:rPr>
          <m:t xml:space="preserve">φ</m:t>
        </m:r>
      </m:oMath>
      <w:r>
        <w:t xml:space="preserve"> is the baseline PUE in cold climates and </w:t>
      </w:r>
      <m:oMath>
        <m:r>
          <m:rPr>
            <m:sty m:val="i"/>
          </m:rPr>
          <w:rPr>
            <w:rFonts w:ascii="Cambria Math" w:hAnsi="Cambria Math"/>
          </w:rPr>
          <m:t xml:space="preserve">δ</m:t>
        </m:r>
      </m:oMath>
      <w:r>
        <w:t xml:space="preserve"> is the sensitivity per °C above the reference temperature </w:t>
      </w:r>
      <m:oMath>
        <m:bar>
          <m:barPr>
            <m:pos m:val="top"/>
          </m:barPr>
          <m:e>
            <m:r>
              <m:rPr>
                <m:sty m:val="i"/>
              </m:rPr>
              <w:rPr>
                <w:rFonts w:ascii="Cambria Math" w:hAnsi="Cambria Math"/>
              </w:rPr>
              <m:t xml:space="preserve">θ</m:t>
            </m:r>
          </m:e>
        </m:bar>
      </m:oMath>
      <w:r>
        <w:t>. PUE ranges from 1.08 in cold climates to over 1.4 in hot ones.</w:t>
      </w:r>
      <w:r>
        <w:rPr>
          <w:rStyle w:val="FootnoteReference"/>
        </w:rPr>
        <w:footnoteReference w:id="7"/>
      </w:r>
    </w:p>
    <w:p>
      <w:pPr>
        <w:spacing w:before="0" w:after="40"/>
        <w:ind w:firstLine="0"/>
        <w:jc w:val="both"/>
      </w:pPr>
      <w:r>
        <w:t xml:space="preserve">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(through PUE),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reservoirs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Following the trade-in-tasks framework of </w:t>
      </w:r>
      <w:bookmarkStart w:id="210" w:name="Grossman2008txt"/>
      <w:hyperlink w:anchor="Grossman2008" w:history="1">
        <w:r>
          <w:rPr>
            <w:color w:val="1F3864"/>
            <w:u w:val="single"/>
          </w:rPr>
          <w:t xml:space="preserve">Grossman and Rossi-Hansberg (2008)</w:t>
        </w:r>
      </w:hyperlink>
      <w:bookmarkEnd w:id="210"/>
      <w:r>
        <w:t xml:space="preserve"> and the iceberg cost structure of </w:t>
      </w:r>
      <w:bookmarkStart w:id="238" w:name="EatonKortum2002txt"/>
      <w:hyperlink w:anchor="EatonKortum2002" w:history="1">
        <w:r>
          <w:rPr>
            <w:color w:val="1F3864"/>
            <w:u w:val="single"/>
          </w:rPr>
          <w:t xml:space="preserve">Eaton and Kortum (2002)</w:t>
        </w:r>
      </w:hyperlink>
      <w:bookmarkEnd w:id="238"/>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encompass real-time workloads such as chatbot responses, autonomous decisions, and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and back, measured in milliseconds (ms). Within a country, latency is typically 5–10 ms, while across continents it can exceed 150 ms. For training, the workload ships to the seller, so effective latency is zero.</w:t>
      </w:r>
    </w:p>
    <w:p>
      <w:pPr>
        <w:spacing w:before="0" w:after="160"/>
        <w:ind w:firstLine="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 compiled from industry sources as follows: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r>
        <w:t xml:space="preserve">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Following </w:t>
      </w:r>
      <w:bookmarkStart w:id="212" w:name="DFS1977txt"/>
      <w:hyperlink w:anchor="DFS1977" w:history="1">
        <w:r>
          <w:rPr>
            <w:color w:val="1F3864"/>
            <w:u w:val="single"/>
          </w:rPr>
          <w:t xml:space="preserve">Dornbusch, Fischer, and Samuelson (1977)</w:t>
        </w:r>
      </w:hyperlink>
      <w:bookmarkEnd w:id="212"/>
      <w:r>
        <w:t xml:space="preserve">, countries are ranked by production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 xml:space="preserve">. In the capacity-constrained equilibrium, exporters fill demand in cost order, with country (1) supplying up to its capacity, then country (2), and so on.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at which cumulative capacity first meets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measuring the incremental gain from relaxing the capacity ceiling by one GPU-hour.</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rPr>
        <w:t xml:space="preserve">Proposition 1 (Country Taxonomy). </w:t>
      </w:r>
      <w:r>
        <w:t>In equilibrium, each country falls into exactly one of three regimes: (i) exporter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when the country supplies compute to the world market up to its capacity, (ii) domestic producer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the sovereignty premium makes domestic production cheaper than importing, and (iii) importer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even with the sovereignty markup, foreign compute is cheaper. The three cases partition the cost space and are mutually exclusive.</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t>
      </w:r>
      <w:bookmarkStart w:id="213" w:name="DOJFTC2010txt"/>
      <w:hyperlink w:anchor="DOJFTC2010" w:history="1">
        <w:r>
          <w:rPr>
            <w:color w:val="1F3864"/>
            <w:u w:val="single"/>
          </w:rPr>
          <w:t xml:space="preserve">U.S. DOJ and FTC 2010</w:t>
        </w:r>
      </w:hyperlink>
      <w:bookmarkEnd w:id="213"/>
      <w:r>
        <w:t xml:space="preserve">). Intuitively, when cheap producers hit capacity limits, residual demand spills over to costlier suppliers, spreading market shares more evenly. The proof follows from the strict Cauchy-Schwarz inequality when at least two producers hold positive market shares.</w:t>
      </w:r>
    </w:p>
    <w:p>
      <w:pPr>
        <w:spacing w:before="0" w:after="160"/>
        <w:ind w:firstLine="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a higher world price makes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which corresponds to large industrial consumers (</w:t>
      </w:r>
      <w:bookmarkStart w:id="239" w:name="Eurostat2025txt"/>
      <w:hyperlink w:anchor="Eurostat2025" w:history="1">
        <w:r>
          <w:rPr>
            <w:color w:val="1F3864"/>
            <w:u w:val="single"/>
          </w:rPr>
          <w:t xml:space="preserve">Eurostat 2025</w:t>
        </w:r>
      </w:hyperlink>
      <w:bookmarkEnd w:id="239"/>
      <w:r>
        <w:t xml:space="preserve">). For non-European countries, the paper uses national regulator tariff sheets and secondary sources, including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(Barki Tojik, AERA, Ministry of Energy of Uzbekistan), and </w:t>
      </w:r>
      <w:bookmarkStart w:id="214" w:name="GlobalPetrolPrices2025txt"/>
      <w:hyperlink w:anchor="GlobalPetrolPrices2025" w:history="1">
        <w:r>
          <w:rPr>
            <w:color w:val="1F3864"/>
            <w:u w:val="single"/>
          </w:rPr>
          <w:t xml:space="preserve">GlobalPetrolPrices (2025)</w:t>
        </w:r>
      </w:hyperlink>
      <w:bookmarkEnd w:id="214"/>
      <w:r>
        <w:t xml:space="preserve"> for remaining countries. All prices are converted to $/kWhat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which covers 37 countries. For the remaining countries, costs are predicted using a log-linear regression of ln($/W) on GDP per capita, population, urbanization, seismic risk, and regional dummies (Appendix E). Since construction is only 3–6% of total per-GPU-hour costs, imputation error has limited impact on cost rankings.</w:t>
      </w:r>
      <w:r>
        <w:rPr>
          <w:rStyle w:val="FootnoteReference"/>
        </w:rPr>
        <w:footnoteReference w:id="12"/>
      </w:r>
      <w:r>
        <w:t xml:space="preserve"> Costs are amortized over 15 years. The per-GPU construction cost in </w:t>
      </w:r>
      <w:bookmarkStart w:id="901" w:name="Eq1txt901"/>
      <w:hyperlink w:anchor="Eq1" w:history="1">
        <w:r>
          <w:rPr>
            <w:color w:val="1F3864"/>
            <w:u w:val="single"/>
          </w:rPr>
          <w:t xml:space="preserve">equation (1)</w:t>
        </w:r>
      </w:hyperlink>
      <w:bookmarkEnd w:id="901"/>
      <w:r>
        <w:t xml:space="preserve"> equals 700 W (the GPU thermal design power) times the build cost per watt.</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list price $25,000, thermal design power 700W, economic lifetime 3 years, utilization rate 70% (</w:t>
      </w:r>
      <w:bookmarkStart w:id="218" w:name="Barroso2018txt"/>
      <w:hyperlink w:anchor="Barroso2018" w:history="1">
        <w:r>
          <w:rPr>
            <w:color w:val="1F3864"/>
            <w:u w:val="single"/>
          </w:rPr>
          <w:t xml:space="preserve">Barroso, Hölzle, and Ranganathan 2018</w:t>
        </w:r>
      </w:hyperlink>
      <w:bookmarkEnd w:id="218"/>
      <w:r>
        <w:t xml:space="preserve">; </w:t>
      </w:r>
      <w:bookmarkStart w:id="251" w:name="NVIDIA2024txt"/>
      <w:hyperlink w:anchor="NVIDIA2024" w:history="1">
        <w:r>
          <w:rPr>
            <w:color w:val="1F3864"/>
            <w:u w:val="single"/>
          </w:rPr>
          <w:t xml:space="preserve">NVIDIA 2024</w:t>
        </w:r>
      </w:hyperlink>
      <w:bookmarkEnd w:id="251"/>
      <w:r>
        <w:t xml:space="preserve">). Google’s fleet-wide GPU utilization, after years of optimization with custom schedulers and workload packing, runs in the 60–75% range (</w:t>
      </w:r>
      <w:bookmarkStart w:id="240" w:name="Barroso2018txt"/>
      <w:hyperlink w:anchor="Barroso2018" w:history="1">
        <w:r>
          <w:rPr>
            <w:color w:val="1F3864"/>
            <w:u w:val="single"/>
          </w:rPr>
          <w:t xml:space="preserve">Barroso, Hölzle, and Ranganathan 2018</w:t>
        </w:r>
      </w:hyperlink>
      <w:bookmarkEnd w:id="240"/>
      <w:r>
        <w:t xml:space="preserve">). A new entrant in Central Asia would likely achieve 40–60% utilization in early years, which would roughly double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19" w:name="Barroso2018txt"/>
      <w:hyperlink w:anchor="Barroso2018" w:history="1">
        <w:r>
          <w:rPr>
            <w:color w:val="1F3864"/>
            <w:u w:val="single"/>
          </w:rPr>
          <w:t xml:space="preserve">Barroso, Hölzle, and Ranganathan 2018</w:t>
        </w:r>
      </w:hyperlink>
      <w:bookmarkEnd w:id="219"/>
      <w:r>
        <w:t xml:space="preserve">). Like hardware, networking equipment is procured at uniform global prices, so this term does not affect cross-country cost rankings. GPU prices are assumed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against competitors with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a latency difference of 100 ms (roughly the intercontinental round-trip between Europe and East Asia) imposes an 8% cost penalty, consistent with industry evidence that web-service revenue declines by approximately 1% per 100 ms of additional latency.</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0" w:name="Deloitte2025txt"/>
      <w:hyperlink w:anchor="Deloitte2025" w:history="1">
        <w:r>
          <w:rPr>
            <w:color w:val="1F3864"/>
            <w:u w:val="single"/>
          </w:rPr>
          <w:t xml:space="preserve">Deloitte 2025</w:t>
        </w:r>
      </w:hyperlink>
      <w:bookmarkEnd w:id="220"/>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1" w:name="WorldBank2024txt"/>
      <w:hyperlink w:anchor="WorldBank2024" w:history="1">
        <w:r>
          <w:rPr>
            <w:color w:val="1F3864"/>
            <w:u w:val="single"/>
          </w:rPr>
          <w:t xml:space="preserve">World Bank</w:t>
        </w:r>
      </w:hyperlink>
      <w:bookmarkEnd w:id="221"/>
      <w:r>
        <w:t xml:space="preserve"> Worldwide Governance Indicators, Rule of Law percentile, rescaled to [0, 1]), grid reliability (inverse of hours without electricity per firm per year, from the </w:t>
      </w:r>
      <w:bookmarkStart w:id="241" w:name="WorldBank2024txt"/>
      <w:hyperlink w:anchor="WorldBank2024" w:history="1">
        <w:r>
          <w:rPr>
            <w:color w:val="1F3864"/>
            <w:u w:val="single"/>
          </w:rPr>
          <w:t xml:space="preserve">World Bank</w:t>
        </w:r>
      </w:hyperlink>
      <w:bookmarkEnd w:id="241"/>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3" w:name="Eq3txt903"/>
      <w:hyperlink w:anchor="Eq3" w:history="1">
        <w:r>
          <w:rPr>
            <w:color w:val="1F3864"/>
            <w:u w:val="single"/>
          </w:rPr>
          <w:t xml:space="preserve">equation (3)</w:t>
        </w:r>
      </w:hyperlink>
      <w:bookmarkEnd w:id="903"/>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2" w:name="Cloudscene2025txt"/>
      <w:hyperlink w:anchor="Cloudscene2025" w:history="1">
        <w:r>
          <w:rPr>
            <w:color w:val="1F3864"/>
            <w:u w:val="single"/>
          </w:rPr>
          <w:t xml:space="preserve">Cloudscene</w:t>
        </w:r>
      </w:hyperlink>
      <w:bookmarkEnd w:id="242"/>
      <w:r>
        <w:t xml:space="preserve">), are substantially larger on average, and </w:t>
      </w:r>
      <w:bookmarkStart w:id="222" w:name="IEA2025txt"/>
      <w:hyperlink w:anchor="IEA2025" w:history="1">
        <w:r>
          <w:rPr>
            <w:color w:val="1F3864"/>
            <w:u w:val="single"/>
          </w:rPr>
          <w:t xml:space="preserve">IEA (2025)</w:t>
        </w:r>
      </w:hyperlink>
      <w:bookmarkEnd w:id="222"/>
      <w:r>
        <w:t xml:space="preserve"> data confirm that China accounts for roughly 25% of global data center electricity consumption compared with 44% for the United States.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3" w:name="UptimeInstitute2024txt"/>
      <w:hyperlink w:anchor="UptimeInstitute2024" w:history="1">
        <w:r>
          <w:rPr>
            <w:color w:val="1F3864"/>
            <w:u w:val="single"/>
          </w:rPr>
          <w:t xml:space="preserve">Uptime Institute 2024</w:t>
        </w:r>
      </w:hyperlink>
      <w:bookmarkEnd w:id="223"/>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4" w:name="Liu2023txt"/>
      <w:hyperlink w:anchor="Liu2023" w:history="1">
        <w:r>
          <w:rPr>
            <w:color w:val="1F3864"/>
            <w:u w:val="single"/>
          </w:rPr>
          <w:t xml:space="preserve">Liu et al. 2023</w:t>
        </w:r>
      </w:hyperlink>
      <w:bookmarkEnd w:id="224"/>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4" w:name="Eq2txt904"/>
      <w:hyperlink w:anchor="Eq2" w:history="1">
        <w:r>
          <w:rPr>
            <w:color w:val="1F3864"/>
            <w:u w:val="single"/>
          </w:rPr>
          <w:t xml:space="preserve">equation (2)</w:t>
        </w:r>
      </w:hyperlink>
      <w:bookmarkEnd w:id="904"/>
      <w:r>
        <w:t xml:space="preserve">. Under this specification, the five cheapest producers are </w:t>
      </w:r>
      <w:r>
        <w:t xml:space="preserve">Canada ($1.61/hr), Norway ($1.62/hr), Finland ($1.62/hr), Sweden ($1.63/hr), and Iceland ($1.64/hr). 9 of the ten cheapest countries under the pure engineering cost ranking fall out of the top ten after reliability adjustment, replaced by countries with stronger institutions and more reliable grids. </w:t>
      </w:r>
      <w:r>
        <w:t xml:space="preserve">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For comparison, under observed electricity tariffs and without reliability adjustment,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w:t>
      </w:r>
      <w:r>
        <w:t>13 countries</w:t>
      </w:r>
      <w:r>
        <w:t xml:space="preserve"> whose retail electricity prices fall below estimated LRMC. Hydropower producers (Kyrgyzstan, Canada, Norway) are not adjusted because their low prices reflect genuine resource advantages rather than fiscal transfers. The resulting cost-recovery ranking serves as the baseline for the preferred specification.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Countries with high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3txt905"/>
      <w:hyperlink w:anchor="Eq3" w:history="1">
        <w:r>
          <w:rPr>
            <w:color w:val="1F3864"/>
            <w:u w:val="single"/>
          </w:rPr>
          <w:t xml:space="preserve">equation (3)</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6" w:name="WorldBank2025txt"/>
      <w:hyperlink w:anchor="WorldBank2025" w:history="1">
        <w:r>
          <w:rPr>
            <w:color w:val="1F3864"/>
            <w:u w:val="single"/>
          </w:rPr>
          <w:t xml:space="preserve">World Bank (2025)</w:t>
        </w:r>
      </w:hyperlink>
      <w:bookmarkEnd w:id="226"/>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7" w:name="Krugman1991txt"/>
      <w:hyperlink w:anchor="Krugman1991" w:history="1">
        <w:r>
          <w:rPr>
            <w:color w:val="1F3864"/>
            <w:u w:val="single"/>
          </w:rPr>
          <w:t xml:space="preserve">Krugman 1991</w:t>
        </w:r>
      </w:hyperlink>
      <w:bookmarkEnd w:id="227"/>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pPr>
        <w:spacing w:before="0" w:after="160"/>
        <w:ind w:firstLine="0"/>
        <w:jc w:val="both"/>
      </w:pPr>
      <w:r>
        <w:t xml:space="preserve">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28" w:name="ACR2012txt"/>
      <w:hyperlink w:anchor="ACR2012" w:history="1">
        <w:r>
          <w:rPr>
            <w:color w:val="1F3864"/>
            <w:u w:val="single"/>
          </w:rPr>
          <w:t xml:space="preserve">Arkolakis, Costinot, and Rodríguez-Clare 2012</w:t>
        </w:r>
      </w:hyperlink>
      <w:bookmarkEnd w:id="228"/>
      <w:r>
        <w:t xml:space="preserve">). The model generates a country taxonomy (full importers, training exporters, inference hubs, and hybrid regimes) that maps onto observed investment patterns. This geographic structure is consistent with </w:t>
      </w:r>
      <w:bookmarkStart w:id="244" w:name="Lehdonvirta2024txt"/>
      <w:hyperlink w:anchor="Lehdonvirta2024" w:history="1">
        <w:r>
          <w:rPr>
            <w:color w:val="1F3864"/>
            <w:u w:val="single"/>
          </w:rPr>
          <w:t xml:space="preserve">Lehdonvirta, Wu, and Hawkins (2024)</w:t>
        </w:r>
      </w:hyperlink>
      <w:bookmarkEnd w:id="244"/>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29" w:name="vanderPloeg2011txt"/>
      <w:hyperlink w:anchor="vanderPloeg2011" w:history="1">
        <w:r>
          <w:rPr>
            <w:color w:val="1F3864"/>
            <w:u w:val="single"/>
          </w:rPr>
          <w:t xml:space="preserve">van der Ploeg 2011</w:t>
        </w:r>
      </w:hyperlink>
      <w:bookmarkEnd w:id="229"/>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Deloitte2020"/>
      <w:r>
        <w:rPr>
          <w:color w:val="1F3864"/>
          <w:u w:val="single"/>
        </w:rPr>
        <w:t xml:space="preserve">Deloitte and Google. (2020). </w:t>
      </w:r>
      <w:r>
        <w:t>“Milliseconds Make Millions.” Deloitte Digital and Google.</w:t>
      </w:r>
      <w:bookmarkEnd w:id="505"/>
    </w:p>
    <w:p>
      <w:pPr>
        <w:spacing w:before="0" w:after="80" w:line="240" w:lineRule="exact"/>
        <w:ind w:hanging="720" w:left="720"/>
        <w:jc w:val="both"/>
      </w:pPr>
      <w:bookmarkStart w:id="506"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6"/>
    </w:p>
    <w:p>
      <w:pPr>
        <w:spacing w:before="0" w:after="80" w:line="240" w:lineRule="exact"/>
        <w:ind w:hanging="720" w:left="720"/>
        <w:jc w:val="both"/>
      </w:pPr>
      <w:bookmarkStart w:id="507" w:name="DFS1977"/>
      <w:hyperlink w:anchor="DFS1977txt" w:history="1">
        <w:r>
          <w:rPr>
            <w:color w:val="1F3864"/>
            <w:u w:val="single"/>
          </w:rPr>
          <w:t xml:space="preserve">Dornbusch, R., S. Fischer, and P. Samuelson. (1977). </w:t>
        </w:r>
      </w:hyperlink>
      <w:r>
        <w:t xml:space="preserve">“Comparative Advantage, Trade, and Payments in a Ricardian Model with a Continuum of Goods.” </w:t>
      </w:r>
      <w:r>
        <w:rPr>
          <w:i/>
        </w:rPr>
        <w:t>American Economic Review</w:t>
      </w:r>
      <w:r>
        <w:t>, 67(5): 823–839.</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rossman2008"/>
      <w:hyperlink w:anchor="Grossman2008txt" w:history="1">
        <w:r>
          <w:rPr>
            <w:color w:val="1F3864"/>
            <w:u w:val="single"/>
          </w:rPr>
          <w:t xml:space="preserve">Grossman, G., and E. Rossi-Hansberg. (2008). </w:t>
        </w:r>
      </w:hyperlink>
      <w:r>
        <w:t xml:space="preserve">“Trading Tasks: A Simple Theory of Offshoring.” </w:t>
      </w:r>
      <w:r>
        <w:rPr>
          <w:i/>
        </w:rPr>
        <w:t>American Economic Review</w:t>
      </w:r>
      <w:r>
        <w:t>, 98(5): 1978–1997.</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hyperlink w:anchor="DOJFTC2010txt" w:history="1">
        <w:r>
          <w:rPr>
            <w:color w:val="1F3864"/>
            <w:u w:val="single"/>
          </w:rPr>
          <w:t xml:space="preserve">U.S. Department of Justice and Federal Trade Commission. </w:t>
        </w:r>
      </w:hyperlink>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(2024). </w:t>
        </w:r>
      </w:hyperlink>
      <w:r>
        <w:t>“Data Center Staffing: Trends and Best Practices.”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(2)</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(2)</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(2)</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(2)</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(2)</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(2)</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(2)</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r>
              <w:rPr>
                <w:sz w:val="16"/>
              </w:rPr>
              <w:t>Google (2024)</w:t>
            </w:r>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(2)</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(3)</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(5)</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(4)</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(4)</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(2a)</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3txt906"/>
      <w:hyperlink w:anchor="Eq3" w:history="1">
        <w:r>
          <w:rPr>
            <w:sz w:val="15"/>
            <w:color w:val="1F3864"/>
            <w:u w:val="single"/>
          </w:rPr>
          <w:t xml:space="preserve">equation (3)</w:t>
        </w:r>
      </w:hyperlink>
      <w:bookmarkEnd w:id="906"/>
      <w:r>
        <w:rPr>
          <w:sz w:val="15"/>
        </w:rPr>
        <w:t xml:space="preserve">.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3txt908"/>
      <w:hyperlink w:anchor="Eq3" w:history="1">
        <w:r>
          <w:rPr>
            <w:color w:val="1F3864"/>
            <w:u w:val="single"/>
          </w:rPr>
          <w:t xml:space="preserve">equation (3)</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$115</w:t>
            </w:r>
          </w:p>
        </w:tc>
        <w:tc>
          <w:tcPr>
            <w:tcW w:w="2600" w:type="dxa"/>
          </w:tcPr>
          <w:p>
            <w:pPr>
              <w:jc w:val="right"/>
              <w:spacing w:before="10" w:after="10"/>
            </w:pPr>
            <w:r/>
            <w:r>
              <w:rPr>
                <w:sz w:val="16"/>
              </w:rPr>
              <w:t>14.2%</w:t>
            </w:r>
          </w:p>
        </w:tc>
      </w:tr>
      <w:tr>
        <w:tc>
          <w:tcPr>
            <w:tcW w:w="3800" w:type="dxa"/>
          </w:tcPr>
          <w:p>
            <w:pPr>
              <w:spacing w:before="10" w:after="10"/>
            </w:pPr>
            <w:r/>
            <w:r>
              <w:rPr>
                <w:sz w:val="16"/>
              </w:rPr>
              <w:t>GPU price −20%</w:t>
            </w:r>
          </w:p>
        </w:tc>
        <w:tc>
          <w:tcPr>
            <w:tcW w:w="2400" w:type="dxa"/>
          </w:tcPr>
          <w:p>
            <w:pPr>
              <w:spacing w:before="10" w:after="10"/>
            </w:pPr>
            <w:r/>
            <w:r>
              <w:rPr>
                <w:sz w:val="16"/>
              </w:rPr>
              <w:t>$733</w:t>
            </w:r>
          </w:p>
        </w:tc>
        <w:tc>
          <w:tcPr>
            <w:tcW w:w="2600" w:type="dxa"/>
          </w:tcPr>
          <w:p>
            <w:pPr>
              <w:jc w:val="right"/>
              <w:spacing w:before="10" w:after="10"/>
            </w:pPr>
            <w:r/>
            <w:r>
              <w:rPr>
                <w:sz w:val="16"/>
              </w:rPr>
              <w:t>24.3%</w:t>
            </w:r>
          </w:p>
        </w:tc>
      </w:tr>
      <w:tr>
        <w:tc>
          <w:tcPr>
            <w:tcW w:w="3800" w:type="dxa"/>
          </w:tcPr>
          <w:p>
            <w:pPr>
              <w:spacing w:before="10" w:after="10"/>
            </w:pPr>
            <w:r/>
            <w:r>
              <w:rPr>
                <w:sz w:val="16"/>
              </w:rPr>
              <w:t>GPU price +20%</w:t>
            </w:r>
          </w:p>
        </w:tc>
        <w:tc>
          <w:tcPr>
            <w:tcW w:w="2400" w:type="dxa"/>
          </w:tcPr>
          <w:p>
            <w:pPr>
              <w:spacing w:before="10" w:after="10"/>
            </w:pPr>
            <w:r/>
            <w:r>
              <w:rPr>
                <w:sz w:val="16"/>
              </w:rPr>
              <w:t>$-503</w:t>
            </w:r>
          </w:p>
        </w:tc>
        <w:tc>
          <w:tcPr>
            <w:tcW w:w="2600" w:type="dxa"/>
          </w:tcPr>
          <w:p>
            <w:pPr>
              <w:jc w:val="right"/>
              <w:spacing w:before="10" w:after="10"/>
            </w:pPr>
            <w:r/>
            <w:r>
              <w:rPr>
                <w:sz w:val="16"/>
              </w:rPr>
              <w:t>6.2%</w:t>
            </w:r>
          </w:p>
        </w:tc>
      </w:tr>
      <w:tr>
        <w:tc>
          <w:tcPr>
            <w:tcW w:w="3800" w:type="dxa"/>
          </w:tcPr>
          <w:p>
            <w:pPr>
              <w:spacing w:before="10" w:after="10"/>
            </w:pPr>
            <w:r/>
            <w:r>
              <w:rPr>
                <w:sz w:val="16"/>
              </w:rPr>
              <w:t>Electricity +50%</w:t>
            </w:r>
          </w:p>
        </w:tc>
        <w:tc>
          <w:tcPr>
            <w:tcW w:w="2400" w:type="dxa"/>
          </w:tcPr>
          <w:p>
            <w:pPr>
              <w:spacing w:before="10" w:after="10"/>
            </w:pPr>
            <w:r/>
            <w:r>
              <w:rPr>
                <w:sz w:val="16"/>
              </w:rPr>
              <w:t>$68</w:t>
            </w:r>
          </w:p>
        </w:tc>
        <w:tc>
          <w:tcPr>
            <w:tcW w:w="2600" w:type="dxa"/>
          </w:tcPr>
          <w:p>
            <w:pPr>
              <w:jc w:val="right"/>
              <w:spacing w:before="10" w:after="10"/>
            </w:pPr>
            <w:r/>
            <w:r>
              <w:rPr>
                <w:sz w:val="16"/>
              </w:rPr>
              <w:t>13.5%</w:t>
            </w:r>
          </w:p>
        </w:tc>
      </w:tr>
      <w:tr>
        <w:tc>
          <w:tcPr>
            <w:tcW w:w="3800" w:type="dxa"/>
          </w:tcPr>
          <w:p>
            <w:pPr>
              <w:spacing w:before="10" w:after="10"/>
            </w:pPr>
            <w:r/>
            <w:r>
              <w:rPr>
                <w:sz w:val="16"/>
              </w:rPr>
              <w:t>Electricity −25%</w:t>
            </w:r>
          </w:p>
        </w:tc>
        <w:tc>
          <w:tcPr>
            <w:tcW w:w="2400" w:type="dxa"/>
          </w:tcPr>
          <w:p>
            <w:pPr>
              <w:spacing w:before="10" w:after="10"/>
            </w:pPr>
            <w:r/>
            <w:r>
              <w:rPr>
                <w:sz w:val="16"/>
              </w:rPr>
              <w:t>$138</w:t>
            </w:r>
          </w:p>
        </w:tc>
        <w:tc>
          <w:tcPr>
            <w:tcW w:w="2600" w:type="dxa"/>
          </w:tcPr>
          <w:p>
            <w:pPr>
              <w:jc w:val="right"/>
              <w:spacing w:before="10" w:after="10"/>
            </w:pPr>
            <w:r/>
            <w:r>
              <w:rPr>
                <w:sz w:val="16"/>
              </w:rPr>
              <w:t>14.5%</w:t>
            </w:r>
          </w:p>
        </w:tc>
      </w:tr>
      <w:tr>
        <w:tc>
          <w:tcPr>
            <w:tcW w:w="3800" w:type="dxa"/>
          </w:tcPr>
          <w:p>
            <w:pPr>
              <w:spacing w:before="10" w:after="10"/>
            </w:pPr>
            <w:r/>
            <w:r>
              <w:rPr>
                <w:sz w:val="16"/>
              </w:rPr>
              <w:t>Revenue +5%</w:t>
            </w:r>
          </w:p>
        </w:tc>
        <w:tc>
          <w:tcPr>
            <w:tcW w:w="2400" w:type="dxa"/>
          </w:tcPr>
          <w:p>
            <w:pPr>
              <w:spacing w:before="10" w:after="10"/>
            </w:pPr>
            <w:r/>
            <w:r>
              <w:rPr>
                <w:sz w:val="16"/>
              </w:rPr>
              <w:t>$269</w:t>
            </w:r>
          </w:p>
        </w:tc>
        <w:tc>
          <w:tcPr>
            <w:tcW w:w="2600" w:type="dxa"/>
          </w:tcPr>
          <w:p>
            <w:pPr>
              <w:jc w:val="right"/>
              <w:spacing w:before="10" w:after="10"/>
            </w:pPr>
            <w:r/>
            <w:r>
              <w:rPr>
                <w:sz w:val="16"/>
              </w:rPr>
              <w:t>16.3%</w:t>
            </w:r>
          </w:p>
        </w:tc>
      </w:tr>
      <w:tr>
        <w:tc>
          <w:tcPr>
            <w:tcW w:w="3800" w:type="dxa"/>
          </w:tcPr>
          <w:p>
            <w:pPr>
              <w:spacing w:before="10" w:after="10"/>
            </w:pPr>
            <w:r/>
            <w:r>
              <w:rPr>
                <w:sz w:val="16"/>
              </w:rPr>
              <w:t>Revenue −5%</w:t>
            </w:r>
          </w:p>
        </w:tc>
        <w:tc>
          <w:tcPr>
            <w:tcW w:w="2400" w:type="dxa"/>
          </w:tcPr>
          <w:p>
            <w:pPr>
              <w:spacing w:before="10" w:after="10"/>
            </w:pPr>
            <w:r/>
            <w:r>
              <w:rPr>
                <w:sz w:val="16"/>
              </w:rPr>
              <w:t>$-39</w:t>
            </w:r>
          </w:p>
        </w:tc>
        <w:tc>
          <w:tcPr>
            <w:tcW w:w="2600" w:type="dxa"/>
          </w:tcPr>
          <w:p>
            <w:pPr>
              <w:jc w:val="right"/>
              <w:spacing w:before="10" w:after="10"/>
            </w:pPr>
            <w:r/>
            <w:r>
              <w:rPr>
                <w:sz w:val="16"/>
              </w:rPr>
              <w:t>12.0%</w:t>
            </w:r>
          </w:p>
        </w:tc>
      </w:tr>
      <w:tr>
        <w:tc>
          <w:tcPr>
            <w:tcW w:w="3800" w:type="dxa"/>
          </w:tcPr>
          <w:p>
            <w:pPr>
              <w:spacing w:before="10" w:after="10"/>
            </w:pPr>
            <w:r/>
            <w:r>
              <w:rPr>
                <w:sz w:val="16"/>
              </w:rPr>
              <w:t>Utilization 80%</w:t>
            </w:r>
          </w:p>
        </w:tc>
        <w:tc>
          <w:tcPr>
            <w:tcW w:w="2400" w:type="dxa"/>
          </w:tcPr>
          <w:p>
            <w:pPr>
              <w:spacing w:before="10" w:after="10"/>
            </w:pPr>
            <w:r/>
            <w:r>
              <w:rPr>
                <w:sz w:val="16"/>
              </w:rPr>
              <w:t>$710</w:t>
            </w:r>
          </w:p>
        </w:tc>
        <w:tc>
          <w:tcPr>
            <w:tcW w:w="2600" w:type="dxa"/>
          </w:tcPr>
          <w:p>
            <w:pPr>
              <w:jc w:val="right"/>
              <w:spacing w:before="10" w:after="10"/>
            </w:pPr>
            <w:r/>
            <w:r>
              <w:rPr>
                <w:sz w:val="16"/>
              </w:rPr>
              <w:t>22.7%</w:t>
            </w:r>
          </w:p>
        </w:tc>
      </w:tr>
      <w:tr>
        <w:tc>
          <w:tcPr>
            <w:tcW w:w="3800" w:type="dxa"/>
          </w:tcPr>
          <w:p>
            <w:pPr>
              <w:spacing w:before="10" w:after="10"/>
            </w:pPr>
            <w:r/>
            <w:r>
              <w:rPr>
                <w:sz w:val="16"/>
              </w:rPr>
              <w:t>Utilization 60%</w:t>
            </w:r>
          </w:p>
        </w:tc>
        <w:tc>
          <w:tcPr>
            <w:tcW w:w="2400" w:type="dxa"/>
          </w:tcPr>
          <w:p>
            <w:pPr>
              <w:spacing w:before="10" w:after="10"/>
            </w:pPr>
            <w:r/>
            <w:r>
              <w:rPr>
                <w:sz w:val="16"/>
              </w:rPr>
              <w:t>$-480</w:t>
            </w:r>
          </w:p>
        </w:tc>
        <w:tc>
          <w:tcPr>
            <w:tcW w:w="2600" w:type="dxa"/>
          </w:tcPr>
          <w:p>
            <w:pPr>
              <w:jc w:val="right"/>
              <w:spacing w:before="10" w:after="10"/>
            </w:pPr>
            <w:r/>
            <w:r>
              <w:rPr>
                <w:sz w:val="16"/>
              </w:rPr>
              <w:t>5.8%</w:t>
            </w:r>
          </w:p>
        </w:tc>
      </w:tr>
      <w:tr>
        <w:tc>
          <w:tcPr>
            <w:tcW w:w="3800" w:type="dxa"/>
          </w:tcPr>
          <w:p>
            <w:pPr>
              <w:spacing w:before="10" w:after="10"/>
            </w:pPr>
            <w:r/>
            <w:r>
              <w:rPr>
                <w:sz w:val="16"/>
              </w:rPr>
              <w:t>WACC 10%</w:t>
            </w:r>
          </w:p>
        </w:tc>
        <w:tc>
          <w:tcPr>
            <w:tcW w:w="2400" w:type="dxa"/>
          </w:tcPr>
          <w:p>
            <w:pPr>
              <w:spacing w:before="10" w:after="10"/>
            </w:pPr>
            <w:r/>
            <w:r>
              <w:rPr>
                <w:sz w:val="16"/>
              </w:rPr>
              <w:t>$346</w:t>
            </w:r>
          </w:p>
        </w:tc>
        <w:tc>
          <w:tcPr>
            <w:tcW w:w="2600" w:type="dxa"/>
          </w:tcPr>
          <w:p>
            <w:pPr>
              <w:jc w:val="right"/>
              <w:spacing w:before="10" w:after="10"/>
            </w:pPr>
            <w:r/>
            <w:r>
              <w:rPr>
                <w:sz w:val="16"/>
              </w:rPr>
              <w:t>14.2%</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$-108</w:t>
            </w:r>
          </w:p>
        </w:tc>
        <w:tc>
          <w:tcPr>
            <w:tcBorders>
              <w:bottom w:val="double" w:sz="4" w:space="0" w:color="auto"/>
            </w:tcBorders>
            <w:tcW w:w="2600" w:type="dxa"/>
          </w:tcPr>
          <w:p>
            <w:pPr>
              <w:jc w:val="right"/>
              <w:spacing w:before="10" w:after="10"/>
            </w:pPr>
            <w:r/>
            <w:r>
              <w:rPr>
                <w:sz w:val="16"/>
              </w:rPr>
              <w:t>14.2%</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r>
        <w:t>Data center construction costs per watt of IT capacity are observed for 37 countries from the Turner &amp; Townsend Data Centre Construction Cost Index 2025 (52 markets). For the remaining countries, construction costs are predicted using the log-linear regression reported in Table A7. The dependent variable is ln($/W). Since construction accounts for only 3–6% of total per-GPU-hour costs, imputation error has limited impact on cost rankings.</w:t>
      </w:r>
    </w:p>
    <w:p>
      <w:pPr>
        <w:spacing w:before="0" w:after="60"/>
        <w:ind w:firstLine="0"/>
        <w:jc w:val="both"/>
      </w:pPr>
      <w:r>
        <w:rPr>
          <w:b/>
          <w:sz w:val="20"/>
        </w:rPr>
        <w:t>Table A7.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1800" w:type="dxa"/>
          </w:tcPr>
          <w:p>
            <w:pPr>
              <w:jc w:val="center"/>
              <w:spacing w:before="10" w:after="10"/>
            </w:pPr>
            <w:r/>
            <w:r>
              <w:rPr>
                <w:b/>
                <w:sz w:val="16"/>
              </w:rPr>
              <w:t>Coefficient</w:t>
            </w:r>
          </w:p>
        </w:tc>
        <w:tc>
          <w:tcPr>
            <w:tcBorders>
              <w:top w:val="single" w:sz="4" w:space="0" w:color="auto"/>
              <w:bottom w:val="single" w:sz="4" w:space="0" w:color="auto"/>
            </w:tcBorders>
            <w:tcW w:w="1800" w:type="dxa"/>
          </w:tcPr>
          <w:p>
            <w:pPr>
              <w:jc w:val="center"/>
              <w:spacing w:before="10" w:after="10"/>
            </w:pPr>
            <w:r/>
            <w:r>
              <w:rPr>
                <w:b/>
                <w:sz w:val="16"/>
              </w:rPr>
              <w:t>Std. Error</w:t>
            </w:r>
          </w:p>
        </w:tc>
        <w:tc>
          <w:tcPr>
            <w:tcBorders>
              <w:top w:val="single" w:sz="4" w:space="0" w:color="auto"/>
              <w:bottom w:val="single" w:sz="4" w:space="0" w:color="auto"/>
            </w:tcBorders>
            <w:tcW w:w="600" w:type="dxa"/>
          </w:tcPr>
          <w:p>
            <w:pPr>
              <w:jc w:val="center"/>
              <w:spacing w:before="10" w:after="10"/>
            </w:pPr>
            <w:r/>
            <w:r>
              <w:rPr>
                <w:b/>
                <w:sz w:val="16"/>
              </w:rPr>
            </w:r>
          </w:p>
        </w:tc>
      </w:tr>
      <w:tr>
        <w:tc>
          <w:tcPr>
            <w:tcW w:w="3600" w:type="dxa"/>
          </w:tcPr>
          <w:p>
            <w:pPr>
              <w:spacing w:before="10" w:after="10"/>
            </w:pPr>
            <w:r/>
            <w:r>
              <w:rPr>
                <w:sz w:val="16"/>
              </w:rPr>
              <w:t>Intercept</w:t>
            </w:r>
          </w:p>
        </w:tc>
        <w:tc>
          <w:tcPr>
            <w:tcW w:w="1800" w:type="dxa"/>
          </w:tcPr>
          <w:p>
            <w:pPr>
              <w:spacing w:before="10" w:after="10"/>
            </w:pPr>
            <w:r/>
            <w:r>
              <w:rPr>
                <w:sz w:val="16"/>
              </w:rPr>
              <w:t>1.753</w:t>
            </w:r>
          </w:p>
        </w:tc>
        <w:tc>
          <w:tcPr>
            <w:tcW w:w="1800" w:type="dxa"/>
          </w:tcPr>
          <w:p>
            <w:pPr>
              <w:jc w:val="right"/>
              <w:spacing w:before="10" w:after="10"/>
            </w:pPr>
            <w:r/>
            <w:r>
              <w:rPr>
                <w:sz w:val="16"/>
              </w:rPr>
              <w:t>(1.467)</w:t>
            </w:r>
          </w:p>
        </w:tc>
        <w:tc>
          <w:tcPr>
            <w:tcW w:w="600" w:type="dxa"/>
          </w:tcPr>
          <w:p>
            <w:pPr>
              <w:jc w:val="right"/>
              <w:spacing w:before="10" w:after="10"/>
            </w:pPr>
            <w:r/>
            <w:r>
              <w:rPr>
                <w:sz w:val="16"/>
              </w:rPr>
            </w:r>
          </w:p>
        </w:tc>
      </w:tr>
      <w:tr>
        <w:tc>
          <w:tcPr>
            <w:tcW w:w="3600" w:type="dxa"/>
          </w:tcPr>
          <w:p>
            <w:pPr>
              <w:spacing w:before="10" w:after="10"/>
            </w:pPr>
            <w:r/>
            <w:r>
              <w:rPr>
                <w:sz w:val="16"/>
              </w:rPr>
              <w:t>ln(GDP per capita)</w:t>
            </w:r>
          </w:p>
        </w:tc>
        <w:tc>
          <w:tcPr>
            <w:tcW w:w="1800" w:type="dxa"/>
          </w:tcPr>
          <w:p>
            <w:pPr>
              <w:spacing w:before="10" w:after="10"/>
            </w:pPr>
            <w:r/>
            <w:r>
              <w:rPr>
                <w:sz w:val="16"/>
              </w:rPr>
              <w:t>0.056</w:t>
            </w:r>
          </w:p>
        </w:tc>
        <w:tc>
          <w:tcPr>
            <w:tcW w:w="1800" w:type="dxa"/>
          </w:tcPr>
          <w:p>
            <w:pPr>
              <w:jc w:val="right"/>
              <w:spacing w:before="10" w:after="10"/>
            </w:pPr>
            <w:r/>
            <w:r>
              <w:rPr>
                <w:sz w:val="16"/>
              </w:rPr>
              <w:t>(0.114)</w:t>
            </w:r>
          </w:p>
        </w:tc>
        <w:tc>
          <w:tcPr>
            <w:tcW w:w="600" w:type="dxa"/>
          </w:tcPr>
          <w:p>
            <w:pPr>
              <w:jc w:val="right"/>
              <w:spacing w:before="10" w:after="10"/>
            </w:pPr>
            <w:r/>
            <w:r>
              <w:rPr>
                <w:sz w:val="16"/>
              </w:rPr>
            </w:r>
          </w:p>
        </w:tc>
      </w:tr>
      <w:tr>
        <w:tc>
          <w:tcPr>
            <w:tcW w:w="3600" w:type="dxa"/>
          </w:tcPr>
          <w:p>
            <w:pPr>
              <w:spacing w:before="10" w:after="10"/>
            </w:pPr>
            <w:r/>
            <w:r>
              <w:rPr>
                <w:sz w:val="16"/>
              </w:rPr>
              <w:t>ln(Population)</w:t>
            </w:r>
          </w:p>
        </w:tc>
        <w:tc>
          <w:tcPr>
            <w:tcW w:w="1800" w:type="dxa"/>
          </w:tcPr>
          <w:p>
            <w:pPr>
              <w:spacing w:before="10" w:after="10"/>
            </w:pPr>
            <w:r/>
            <w:r>
              <w:rPr>
                <w:sz w:val="16"/>
              </w:rPr>
              <w:t>-0.020</w:t>
            </w:r>
          </w:p>
        </w:tc>
        <w:tc>
          <w:tcPr>
            <w:tcW w:w="1800" w:type="dxa"/>
          </w:tcPr>
          <w:p>
            <w:pPr>
              <w:jc w:val="right"/>
              <w:spacing w:before="10" w:after="10"/>
            </w:pPr>
            <w:r/>
            <w:r>
              <w:rPr>
                <w:sz w:val="16"/>
              </w:rPr>
              <w:t>(0.027)</w:t>
            </w:r>
          </w:p>
        </w:tc>
        <w:tc>
          <w:tcPr>
            <w:tcW w:w="600" w:type="dxa"/>
          </w:tcPr>
          <w:p>
            <w:pPr>
              <w:jc w:val="right"/>
              <w:spacing w:before="10" w:after="10"/>
            </w:pPr>
            <w:r/>
            <w:r>
              <w:rPr>
                <w:sz w:val="16"/>
              </w:rPr>
            </w:r>
          </w:p>
        </w:tc>
      </w:tr>
      <w:tr>
        <w:tc>
          <w:tcPr>
            <w:tcW w:w="3600" w:type="dxa"/>
          </w:tcPr>
          <w:p>
            <w:pPr>
              <w:spacing w:before="10" w:after="10"/>
            </w:pPr>
            <w:r/>
            <w:r>
              <w:rPr>
                <w:sz w:val="16"/>
              </w:rPr>
              <w:t>Urban population share</w:t>
            </w:r>
          </w:p>
        </w:tc>
        <w:tc>
          <w:tcPr>
            <w:tcW w:w="1800" w:type="dxa"/>
          </w:tcPr>
          <w:p>
            <w:pPr>
              <w:spacing w:before="10" w:after="10"/>
            </w:pPr>
            <w:r/>
            <w:r>
              <w:rPr>
                <w:sz w:val="16"/>
              </w:rPr>
              <w:t>0.459</w:t>
            </w:r>
          </w:p>
        </w:tc>
        <w:tc>
          <w:tcPr>
            <w:tcW w:w="1800" w:type="dxa"/>
          </w:tcPr>
          <w:p>
            <w:pPr>
              <w:jc w:val="right"/>
              <w:spacing w:before="10" w:after="10"/>
            </w:pPr>
            <w:r/>
            <w:r>
              <w:rPr>
                <w:sz w:val="16"/>
              </w:rPr>
              <w:t>(0.355)</w:t>
            </w:r>
          </w:p>
        </w:tc>
        <w:tc>
          <w:tcPr>
            <w:tcW w:w="600" w:type="dxa"/>
          </w:tcPr>
          <w:p>
            <w:pPr>
              <w:jc w:val="right"/>
              <w:spacing w:before="10" w:after="10"/>
            </w:pPr>
            <w:r/>
            <w:r>
              <w:rPr>
                <w:sz w:val="16"/>
              </w:rPr>
            </w:r>
          </w:p>
        </w:tc>
      </w:tr>
      <w:tr>
        <w:tc>
          <w:tcPr>
            <w:tcW w:w="3600" w:type="dxa"/>
          </w:tcPr>
          <w:p>
            <w:pPr>
              <w:spacing w:before="10" w:after="10"/>
            </w:pPr>
            <w:r/>
            <w:r>
              <w:rPr>
                <w:sz w:val="16"/>
              </w:rPr>
              <w:t>Seismic zone indicator</w:t>
            </w:r>
          </w:p>
        </w:tc>
        <w:tc>
          <w:tcPr>
            <w:tcW w:w="1800" w:type="dxa"/>
          </w:tcPr>
          <w:p>
            <w:pPr>
              <w:spacing w:before="10" w:after="10"/>
            </w:pPr>
            <w:r/>
            <w:r>
              <w:rPr>
                <w:sz w:val="16"/>
              </w:rPr>
              <w:t>-0.053</w:t>
            </w:r>
          </w:p>
        </w:tc>
        <w:tc>
          <w:tcPr>
            <w:tcW w:w="1800" w:type="dxa"/>
          </w:tcPr>
          <w:p>
            <w:pPr>
              <w:jc w:val="right"/>
              <w:spacing w:before="10" w:after="10"/>
            </w:pPr>
            <w:r/>
            <w:r>
              <w:rPr>
                <w:sz w:val="16"/>
              </w:rPr>
              <w:t>(0.077)</w:t>
            </w:r>
          </w:p>
        </w:tc>
        <w:tc>
          <w:tcPr>
            <w:tcW w:w="600" w:type="dxa"/>
          </w:tcPr>
          <w:p>
            <w:pPr>
              <w:jc w:val="right"/>
              <w:spacing w:before="10" w:after="10"/>
            </w:pPr>
            <w:r/>
            <w:r>
              <w:rPr>
                <w:sz w:val="16"/>
              </w:rPr>
            </w:r>
          </w:p>
        </w:tc>
      </w:tr>
      <w:tr>
        <w:tc>
          <w:tcPr>
            <w:tcW w:w="3600" w:type="dxa"/>
          </w:tcPr>
          <w:p>
            <w:pPr>
              <w:spacing w:before="10" w:after="10"/>
            </w:pPr>
            <w:r/>
            <w:r>
              <w:rPr>
                <w:sz w:val="16"/>
              </w:rPr>
              <w:t>East Asia &amp; Pacific</w:t>
            </w:r>
          </w:p>
        </w:tc>
        <w:tc>
          <w:tcPr>
            <w:tcW w:w="1800" w:type="dxa"/>
          </w:tcPr>
          <w:p>
            <w:pPr>
              <w:spacing w:before="10" w:after="10"/>
            </w:pPr>
            <w:r/>
            <w:r>
              <w:rPr>
                <w:sz w:val="16"/>
              </w:rPr>
              <w:t>0.054</w:t>
            </w:r>
          </w:p>
        </w:tc>
        <w:tc>
          <w:tcPr>
            <w:tcW w:w="1800" w:type="dxa"/>
          </w:tcPr>
          <w:p>
            <w:pPr>
              <w:jc w:val="right"/>
              <w:spacing w:before="10" w:after="10"/>
            </w:pPr>
            <w:r/>
            <w:r>
              <w:rPr>
                <w:sz w:val="16"/>
              </w:rPr>
              <w:t>(0.084)</w:t>
            </w:r>
          </w:p>
        </w:tc>
        <w:tc>
          <w:tcPr>
            <w:tcW w:w="600" w:type="dxa"/>
          </w:tcPr>
          <w:p>
            <w:pPr>
              <w:jc w:val="right"/>
              <w:spacing w:before="10" w:after="10"/>
            </w:pPr>
            <w:r/>
            <w:r>
              <w:rPr>
                <w:sz w:val="16"/>
              </w:rPr>
            </w:r>
          </w:p>
        </w:tc>
      </w:tr>
      <w:tr>
        <w:tc>
          <w:tcPr>
            <w:tcW w:w="3600" w:type="dxa"/>
          </w:tcPr>
          <w:p>
            <w:pPr>
              <w:spacing w:before="10" w:after="10"/>
            </w:pPr>
            <w:r/>
            <w:r>
              <w:rPr>
                <w:sz w:val="16"/>
              </w:rPr>
              <w:t>Latin America &amp; Caribbean</w:t>
            </w:r>
          </w:p>
        </w:tc>
        <w:tc>
          <w:tcPr>
            <w:tcW w:w="1800" w:type="dxa"/>
          </w:tcPr>
          <w:p>
            <w:pPr>
              <w:spacing w:before="10" w:after="10"/>
            </w:pPr>
            <w:r/>
            <w:r>
              <w:rPr>
                <w:sz w:val="16"/>
              </w:rPr>
              <w:t>-0.106</w:t>
            </w:r>
          </w:p>
        </w:tc>
        <w:tc>
          <w:tcPr>
            <w:tcW w:w="1800" w:type="dxa"/>
          </w:tcPr>
          <w:p>
            <w:pPr>
              <w:jc w:val="right"/>
              <w:spacing w:before="10" w:after="10"/>
            </w:pPr>
            <w:r/>
            <w:r>
              <w:rPr>
                <w:sz w:val="16"/>
              </w:rPr>
              <w:t>(0.141)</w:t>
            </w:r>
          </w:p>
        </w:tc>
        <w:tc>
          <w:tcPr>
            <w:tcW w:w="600" w:type="dxa"/>
          </w:tcPr>
          <w:p>
            <w:pPr>
              <w:jc w:val="right"/>
              <w:spacing w:before="10" w:after="10"/>
            </w:pPr>
            <w:r/>
            <w:r>
              <w:rPr>
                <w:sz w:val="16"/>
              </w:rPr>
            </w:r>
          </w:p>
        </w:tc>
      </w:tr>
      <w:tr>
        <w:tc>
          <w:tcPr>
            <w:tcW w:w="3600" w:type="dxa"/>
          </w:tcPr>
          <w:p>
            <w:pPr>
              <w:spacing w:before="10" w:after="10"/>
            </w:pPr>
            <w:r/>
            <w:r>
              <w:rPr>
                <w:sz w:val="16"/>
              </w:rPr>
              <w:t>Middle East</w:t>
            </w:r>
          </w:p>
        </w:tc>
        <w:tc>
          <w:tcPr>
            <w:tcW w:w="1800" w:type="dxa"/>
          </w:tcPr>
          <w:p>
            <w:pPr>
              <w:spacing w:before="10" w:after="10"/>
            </w:pPr>
            <w:r/>
            <w:r>
              <w:rPr>
                <w:sz w:val="16"/>
              </w:rPr>
              <w:t>-0.114</w:t>
            </w:r>
          </w:p>
        </w:tc>
        <w:tc>
          <w:tcPr>
            <w:tcW w:w="1800" w:type="dxa"/>
          </w:tcPr>
          <w:p>
            <w:pPr>
              <w:jc w:val="right"/>
              <w:spacing w:before="10" w:after="10"/>
            </w:pPr>
            <w:r/>
            <w:r>
              <w:rPr>
                <w:sz w:val="16"/>
              </w:rPr>
              <w:t>(0.122)</w:t>
            </w:r>
          </w:p>
        </w:tc>
        <w:tc>
          <w:tcPr>
            <w:tcW w:w="600" w:type="dxa"/>
          </w:tcPr>
          <w:p>
            <w:pPr>
              <w:jc w:val="right"/>
              <w:spacing w:before="10" w:after="10"/>
            </w:pPr>
            <w:r/>
            <w:r>
              <w:rPr>
                <w:sz w:val="16"/>
              </w:rPr>
            </w:r>
          </w:p>
        </w:tc>
      </w:tr>
      <w:tr>
        <w:tc>
          <w:tcPr>
            <w:tcW w:w="3600" w:type="dxa"/>
          </w:tcPr>
          <w:p>
            <w:pPr>
              <w:spacing w:before="10" w:after="10"/>
            </w:pPr>
            <w:r/>
            <w:r>
              <w:rPr>
                <w:sz w:val="16"/>
              </w:rPr>
              <w:t>North America</w:t>
            </w:r>
          </w:p>
        </w:tc>
        <w:tc>
          <w:tcPr>
            <w:tcW w:w="1800" w:type="dxa"/>
          </w:tcPr>
          <w:p>
            <w:pPr>
              <w:spacing w:before="10" w:after="10"/>
            </w:pPr>
            <w:r/>
            <w:r>
              <w:rPr>
                <w:sz w:val="16"/>
              </w:rPr>
              <w:t>-0.024</w:t>
            </w:r>
          </w:p>
        </w:tc>
        <w:tc>
          <w:tcPr>
            <w:tcW w:w="1800" w:type="dxa"/>
          </w:tcPr>
          <w:p>
            <w:pPr>
              <w:jc w:val="right"/>
              <w:spacing w:before="10" w:after="10"/>
            </w:pPr>
            <w:r/>
            <w:r>
              <w:rPr>
                <w:sz w:val="16"/>
              </w:rPr>
              <w:t>(0.151)</w:t>
            </w:r>
          </w:p>
        </w:tc>
        <w:tc>
          <w:tcPr>
            <w:tcW w:w="600" w:type="dxa"/>
          </w:tcPr>
          <w:p>
            <w:pPr>
              <w:jc w:val="right"/>
              <w:spacing w:before="10" w:after="10"/>
            </w:pPr>
            <w:r/>
            <w:r>
              <w:rPr>
                <w:sz w:val="16"/>
              </w:rPr>
            </w:r>
          </w:p>
        </w:tc>
      </w:tr>
      <w:tr>
        <w:tc>
          <w:tcPr>
            <w:tcW w:w="3600" w:type="dxa"/>
          </w:tcPr>
          <w:p>
            <w:pPr>
              <w:spacing w:before="10" w:after="10"/>
            </w:pPr>
            <w:r/>
            <w:r>
              <w:rPr>
                <w:sz w:val="16"/>
              </w:rPr>
              <w:t>South Asia</w:t>
            </w:r>
          </w:p>
        </w:tc>
        <w:tc>
          <w:tcPr>
            <w:tcW w:w="1800" w:type="dxa"/>
          </w:tcPr>
          <w:p>
            <w:pPr>
              <w:spacing w:before="10" w:after="10"/>
            </w:pPr>
            <w:r/>
            <w:r>
              <w:rPr>
                <w:sz w:val="16"/>
              </w:rPr>
              <w:t>-0.070</w:t>
            </w:r>
          </w:p>
        </w:tc>
        <w:tc>
          <w:tcPr>
            <w:tcW w:w="1800" w:type="dxa"/>
          </w:tcPr>
          <w:p>
            <w:pPr>
              <w:jc w:val="right"/>
              <w:spacing w:before="10" w:after="10"/>
            </w:pPr>
            <w:r/>
            <w:r>
              <w:rPr>
                <w:sz w:val="16"/>
              </w:rPr>
              <w:t>(0.218)</w:t>
            </w:r>
          </w:p>
        </w:tc>
        <w:tc>
          <w:tcPr>
            <w:tcW w:w="600" w:type="dxa"/>
          </w:tcPr>
          <w:p>
            <w:pPr>
              <w:jc w:val="right"/>
              <w:spacing w:before="10" w:after="10"/>
            </w:pPr>
            <w:r/>
            <w:r>
              <w:rPr>
                <w:sz w:val="16"/>
              </w:rPr>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1800" w:type="dxa"/>
          </w:tcPr>
          <w:p>
            <w:pPr>
              <w:spacing w:before="10" w:after="10"/>
            </w:pPr>
            <w:r/>
            <w:r>
              <w:rPr>
                <w:sz w:val="16"/>
              </w:rPr>
              <w:t>0.190</w:t>
            </w:r>
          </w:p>
        </w:tc>
        <w:tc>
          <w:tcPr>
            <w:tcBorders>
              <w:bottom w:val="double" w:sz="4" w:space="0" w:color="auto"/>
            </w:tcBorders>
            <w:tcW w:w="1800" w:type="dxa"/>
          </w:tcPr>
          <w:p>
            <w:pPr>
              <w:jc w:val="right"/>
              <w:spacing w:before="10" w:after="10"/>
            </w:pPr>
            <w:r/>
            <w:r>
              <w:rPr>
                <w:sz w:val="16"/>
              </w:rPr>
              <w:t>(0.200)</w:t>
            </w:r>
          </w:p>
        </w:tc>
        <w:tc>
          <w:tcPr>
            <w:tcBorders>
              <w:bottom w:val="double" w:sz="4" w:space="0" w:color="auto"/>
            </w:tcBorders>
            <w:tcW w:w="600" w:type="dxa"/>
          </w:tcPr>
          <w:p>
            <w:pPr>
              <w:jc w:val="right"/>
              <w:spacing w:before="10" w:after="10"/>
            </w:pPr>
            <w:r/>
            <w:r>
              <w:rPr>
                <w:sz w:val="16"/>
              </w:rPr>
            </w:r>
          </w:p>
        </w:tc>
      </w:tr>
    </w:tbl>
    <w:p>
      <w:pPr>
        <w:spacing w:before="0" w:after="80"/>
        <w:ind w:firstLine="0"/>
        <w:jc w:val="both"/>
      </w:pPr>
      <w:r>
        <w:rPr>
          <w:sz w:val="15"/>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