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v27  —  February 24, 2026  21:54</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compressing cross-country cost differences, production efficiency and bilateral trust are decisive. Countries combining cheap energy with adequate institutions remain competitive after governance adjustment. For energy-rich developing countries, FLOP exporting offers a route to integrate into the global economy without heavy industrialization.</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0" w:name="IEA2025txt"/>
      <w:hyperlink w:anchor="IEA2025" w:history="1">
        <w:r>
          <w:rPr>
            <w:color w:val="1F3864"/>
            <w:u w:val="single"/>
          </w:rPr>
          <w:t xml:space="preserve">IEA 2025</w:t>
        </w:r>
      </w:hyperlink>
      <w:bookmarkEnd w:id="250"/>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9" w:name="WorldBank2024txt"/>
      <w:hyperlink w:anchor="WorldBank2024" w:history="1">
        <w:r>
          <w:rPr>
            <w:color w:val="1F3864"/>
            <w:u w:val="single"/>
          </w:rPr>
          <w:t xml:space="preserve">World Bank 2024</w:t>
        </w:r>
      </w:hyperlink>
      <w:bookmarkEnd w:id="239"/>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1" w:name="Hausmann2007txt"/>
      <w:hyperlink w:anchor="Hausmann2007" w:history="1">
        <w:r>
          <w:rPr>
            <w:color w:val="1F3864"/>
            <w:u w:val="single"/>
          </w:rPr>
          <w:t xml:space="preserve">Hausmann et al. (2007)</w:t>
        </w:r>
      </w:hyperlink>
      <w:bookmarkEnd w:id="251"/>
      <w:r>
        <w:t xml:space="preserve">, who show that what a country exports matters for growth. </w:t>
      </w:r>
      <w:bookmarkStart w:id="242" w:name="Limao2001txt"/>
      <w:hyperlink w:anchor="Limao2001" w:history="1">
        <w:r>
          <w:rPr>
            <w:color w:val="1F3864"/>
            <w:u w:val="single"/>
          </w:rPr>
          <w:t xml:space="preserve">Limão and Venables (2001)</w:t>
        </w:r>
      </w:hyperlink>
      <w:bookmarkEnd w:id="242"/>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2" w:name="Liu2023txt"/>
      <w:hyperlink w:anchor="Liu2023" w:history="1">
        <w:r>
          <w:rPr>
            <w:color w:val="1F3864"/>
            <w:u w:val="single"/>
          </w:rPr>
          <w:t xml:space="preserve">Liu et al. (2023)</w:t>
        </w:r>
      </w:hyperlink>
      <w:bookmarkEnd w:id="252"/>
      <w:r>
        <w:t xml:space="preserve"> study data center placement under renewable energy constraints. These studies focus on where firms should build data centers. In international trade theory, </w:t>
      </w:r>
      <w:bookmarkStart w:id="256" w:name="Brainard1997txt"/>
      <w:hyperlink w:anchor="Brainard1997" w:history="1">
        <w:r>
          <w:rPr>
            <w:color w:val="1F3864"/>
            <w:u w:val="single"/>
          </w:rPr>
          <w:t xml:space="preserve">Brainard (1997)</w:t>
        </w:r>
      </w:hyperlink>
      <w:bookmarkEnd w:id="256"/>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ind w:firstLine="0"/>
        <w:jc w:val="both"/>
      </w:pPr>
      <w:r>
        <w:t xml:space="preserve">On the governance side, </w:t>
      </w:r>
      <w:bookmarkStart w:id="244" w:name="Sastry2024txt"/>
      <w:hyperlink w:anchor="Sastry2024" w:history="1">
        <w:r>
          <w:rPr>
            <w:color w:val="1F3864"/>
            <w:u w:val="single"/>
          </w:rPr>
          <w:t xml:space="preserve">Sastry et al. (2024)</w:t>
        </w:r>
      </w:hyperlink>
      <w:bookmarkEnd w:id="244"/>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7" w:name="Pilz2025txt"/>
      <w:hyperlink w:anchor="Pilz2025" w:history="1">
        <w:r>
          <w:rPr>
            <w:color w:val="1F3864"/>
            <w:u w:val="single"/>
          </w:rPr>
          <w:t xml:space="preserve">Pilz et al. (2025)</w:t>
        </w:r>
      </w:hyperlink>
      <w:bookmarkEnd w:id="257"/>
      <w:r>
        <w:t xml:space="preserve"> project that AI data center power demand could reach 327 GW by 2030 and that domestic power shortages may push compute infrastructure abroad. The </w:t>
      </w:r>
      <w:bookmarkStart w:id="258" w:name="WorldBank2025txt"/>
      <w:hyperlink w:anchor="WorldBank2025" w:history="1">
        <w:r>
          <w:rPr>
            <w:color w:val="1F3864"/>
            <w:u w:val="single"/>
          </w:rPr>
          <w:t xml:space="preserve">World Bank (2025)</w:t>
        </w:r>
      </w:hyperlink>
      <w:bookmarkEnd w:id="258"/>
      <w:r>
        <w:t xml:space="preserve"> documents the resulting global compute divide: high-income countries hold 77% of colocation data center capacity and account for 87% of cloud computing exports (</w:t>
      </w:r>
      <w:bookmarkStart w:id="253" w:name="Stojkoski2024txt"/>
      <w:hyperlink w:anchor="Stojkoski2024" w:history="1">
        <w:r>
          <w:rPr>
            <w:color w:val="1F3864"/>
            <w:u w:val="single"/>
          </w:rPr>
          <w:t xml:space="preserve">Stojkoski et al. 2024</w:t>
        </w:r>
      </w:hyperlink>
      <w:bookmarkEnd w:id="253"/>
      <w:r>
        <w:t xml:space="preserve">), but the report offers descriptive evidence without a formal framework linking production costs to trade patterns. On the industrial organization side, </w:t>
      </w:r>
      <w:bookmarkStart w:id="245" w:name="Biglaiser2024txt"/>
      <w:hyperlink w:anchor="Biglaiser2024" w:history="1">
        <w:r>
          <w:rPr>
            <w:color w:val="1F3864"/>
            <w:u w:val="single"/>
          </w:rPr>
          <w:t xml:space="preserve">Biglaiser et al. (2024)</w:t>
        </w:r>
      </w:hyperlink>
      <w:bookmarkEnd w:id="245"/>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This paper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1" w:name="WorldBank2024txt"/>
      <w:hyperlink w:anchor="WorldBank2024" w:history="1">
        <w:r>
          <w:rPr>
            <w:color w:val="1F3864"/>
            <w:u w:val="single"/>
          </w:rPr>
          <w:t xml:space="preserve">World Bank 2024</w:t>
        </w:r>
      </w:hyperlink>
      <w:bookmarkEnd w:id="211"/>
      <w:r>
        <w:t xml:space="preserve">), </w:t>
      </w:r>
      <m:oMath>
        <m:r>
          <m:rPr>
            <m:sty m:val="i"/>
          </m:rPr>
          <w:rPr>
            <w:rFonts w:ascii="Cambria Math" w:hAnsi="Cambria Math"/>
          </w:rPr>
          <m:t xml:space="preserve">R</m:t>
        </m:r>
      </m:oMath>
      <w:r>
        <w:t xml:space="preserve"> is grid reliability (</w:t>
      </w:r>
      <w:bookmarkStart w:id="212" w:name="WBES2025txt"/>
      <w:hyperlink w:anchor="WBES2025" w:history="1">
        <w:r>
          <w:rPr>
            <w:color w:val="1F3864"/>
            <w:u w:val="single"/>
          </w:rPr>
          <w:t xml:space="preserve">World Bank Enterprise Survey 2025</w:t>
        </w:r>
      </w:hyperlink>
      <w:bookmarkEnd w:id="212"/>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 (Section 6). The efficiency adjustment applies only to the non-hardware cost component: since hardware is priced on global markets, governance penalties operate on local costs rather than on the full unit cost (see equation 3).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6" w:name="Eurostat2025txt"/>
      <w:hyperlink w:anchor="Eurostat2025" w:history="1">
        <w:r>
          <w:rPr>
            <w:color w:val="1F3864"/>
            <w:u w:val="single"/>
          </w:rPr>
          <w:t xml:space="preserve">Eurostat 2025</w:t>
        </w:r>
      </w:hyperlink>
      <w:bookmarkEnd w:id="246"/>
      <w:r>
        <w:t xml:space="preserve">). For non-European countries, the prices are obtained from national regulator tariff sheets and secondary sources, including the U.S. Energy Information Administration (</w:t>
      </w:r>
      <w:bookmarkStart w:id="254" w:name="EIA2025txt"/>
      <w:hyperlink w:anchor="EIA2025" w:history="1">
        <w:r>
          <w:rPr>
            <w:color w:val="1F3864"/>
            <w:u w:val="single"/>
          </w:rPr>
          <w:t xml:space="preserve">EIA 2025</w:t>
        </w:r>
      </w:hyperlink>
      <w:bookmarkEnd w:id="254"/>
      <w:r>
        <w:t xml:space="preserve">) for the United States, KEPCO for South Korea, national utility tariffs for Central Asian countries, and </w:t>
      </w:r>
      <w:bookmarkStart w:id="213" w:name="GlobalPetrolPrices2025txt"/>
      <w:hyperlink w:anchor="GlobalPetrolPrices2025" w:history="1">
        <w:r>
          <w:rPr>
            <w:color w:val="1F3864"/>
            <w:u w:val="single"/>
          </w:rPr>
          <w:t xml:space="preserve">GlobalPetrolPrices (2025)</w:t>
        </w:r>
      </w:hyperlink>
      <w:bookmarkEnd w:id="213"/>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4" w:name="Hersbach2020txt"/>
      <w:hyperlink w:anchor="Hersbach2020" w:history="1">
        <w:r>
          <w:rPr>
            <w:color w:val="1F3864"/>
            <w:u w:val="single"/>
          </w:rPr>
          <w:t xml:space="preserve">Hersbach et al. 2020</w:t>
        </w:r>
      </w:hyperlink>
      <w:bookmarkEnd w:id="214"/>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5" w:name="TurnerTownsend2025txt"/>
      <w:hyperlink w:anchor="TurnerTownsend2025" w:history="1">
        <w:r>
          <w:rPr>
            <w:color w:val="1F3864"/>
            <w:u w:val="single"/>
          </w:rPr>
          <w:t xml:space="preserve">Turner &amp; Townsend 2025</w:t>
        </w:r>
      </w:hyperlink>
      <w:bookmarkEnd w:id="215"/>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6" w:name="WonderNetwork2024txt"/>
      <w:hyperlink w:anchor="WonderNetwork2024" w:history="1">
        <w:r>
          <w:rPr>
            <w:color w:val="1F3864"/>
            <w:u w:val="single"/>
          </w:rPr>
          <w:t xml:space="preserve">WonderNetwork 2024</w:t>
        </w:r>
      </w:hyperlink>
      <w:bookmarkEnd w:id="216"/>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7" w:name="Cloudscene2025txt"/>
      <w:hyperlink w:anchor="Cloudscene2025" w:history="1">
        <w:r>
          <w:rPr>
            <w:color w:val="1F3864"/>
            <w:u w:val="single"/>
          </w:rPr>
          <w:t xml:space="preserve">Cloudscene 2025</w:t>
        </w:r>
      </w:hyperlink>
      <w:bookmarkEnd w:id="217"/>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8" w:name="UptimeInstitute2024txt"/>
      <w:hyperlink w:anchor="UptimeInstitute2024" w:history="1">
        <w:r>
          <w:rPr>
            <w:color w:val="1F3864"/>
            <w:u w:val="single"/>
          </w:rPr>
          <w:t xml:space="preserve">Uptime Institute 2024</w:t>
        </w:r>
      </w:hyperlink>
      <w:bookmarkEnd w:id="218"/>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9" w:name="Liu2023txt"/>
      <w:hyperlink w:anchor="Liu2023" w:history="1">
        <w:r>
          <w:rPr>
            <w:color w:val="1F3864"/>
            <w:u w:val="single"/>
          </w:rPr>
          <w:t xml:space="preserve">Liu et al. 2023</w:t>
        </w:r>
      </w:hyperlink>
      <w:bookmarkEnd w:id="219"/>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0" w:name="UptimeInstitute2024txt"/>
      <w:hyperlink w:anchor="UptimeInstitute2024" w:history="1">
        <w:r>
          <w:rPr>
            <w:color w:val="1F3864"/>
            <w:u w:val="single"/>
          </w:rPr>
          <w:t xml:space="preserve">Uptime Institute 2024</w:t>
        </w:r>
      </w:hyperlink>
      <w:bookmarkEnd w:id="220"/>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1" w:name="Barroso2018txt"/>
      <w:hyperlink w:anchor="Barroso2018" w:history="1">
        <w:r>
          <w:rPr>
            <w:color w:val="1F3864"/>
            <w:u w:val="single"/>
          </w:rPr>
          <w:t xml:space="preserve">Barroso et al. 2018</w:t>
        </w:r>
      </w:hyperlink>
      <w:bookmarkEnd w:id="221"/>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2" w:name="Barroso2018txt"/>
      <w:hyperlink w:anchor="Barroso2018" w:history="1">
        <w:r>
          <w:rPr>
            <w:color w:val="1F3864"/>
            <w:u w:val="single"/>
          </w:rPr>
          <w:t xml:space="preserve">Barroso et al. 2018</w:t>
        </w:r>
      </w:hyperlink>
      <w:bookmarkEnd w:id="222"/>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3" w:name="Deloitte2020txt"/>
      <w:hyperlink w:anchor="Deloitte2020" w:history="1">
        <w:r>
          <w:rPr>
            <w:color w:val="1F3864"/>
            <w:u w:val="single"/>
          </w:rPr>
          <w:t xml:space="preserve">Deloitte (2020)</w:t>
        </w:r>
      </w:hyperlink>
      <w:bookmarkEnd w:id="223"/>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4" w:name="Deloitte2025txt"/>
      <w:hyperlink w:anchor="Deloitte2025" w:history="1">
        <w:r>
          <w:rPr>
            <w:color w:val="1F3864"/>
            <w:u w:val="single"/>
          </w:rPr>
          <w:t xml:space="preserve">Deloitte 2025</w:t>
        </w:r>
      </w:hyperlink>
      <w:bookmarkEnd w:id="224"/>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t>
      </w:r>
      <w:bookmarkStart w:id="255" w:name="Farole2011txt"/>
      <w:hyperlink w:anchor="Farole2011" w:history="1">
        <w:r>
          <w:rPr>
            <w:color w:val="1F3864"/>
            <w:u w:val="single"/>
          </w:rPr>
          <w:t xml:space="preserve">Farole 2011</w:t>
        </w:r>
      </w:hyperlink>
      <w:bookmarkEnd w:id="255"/>
      <w:r>
        <w:t xml:space="preserve">; </w:t>
      </w:r>
      <w:bookmarkStart w:id="247" w:name="WorldBank2017txt"/>
      <w:hyperlink w:anchor="WorldBank2017" w:history="1">
        <w:r>
          <w:rPr>
            <w:color w:val="1F3864"/>
            <w:u w:val="single"/>
          </w:rPr>
          <w:t xml:space="preserve">World Bank 2017</w:t>
        </w:r>
      </w:hyperlink>
      <w:bookmarkEnd w:id="247"/>
      <w:r>
        <w:t xml:space="preserve">; </w:t>
      </w:r>
      <w:bookmarkStart w:id="225" w:name="Frick2019txt"/>
      <w:hyperlink w:anchor="Frick2019" w:history="1">
        <w:r>
          <w:rPr>
            <w:color w:val="1F3864"/>
            <w:u w:val="single"/>
          </w:rPr>
          <w:t xml:space="preserve">Frick, Rodríguez-Pose, and Wong 2019</w:t>
        </w:r>
      </w:hyperlink>
      <w:bookmarkEnd w:id="225"/>
      <w:r>
        <w:t xml:space="preserve">). Because hardware costs — comprising GPU depreciation and networking — account for approximately 90 percent of cost-recovery costs and are determined on global markets at uniform prices, the efficiency adjustment operates only on the remaining country-specific cost component (equation 3). This ensures that governance penalties affect power purchase agreements, construction permits, and grid connections, but not globally-priced capital equipment.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The sensitivity of results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 ξ ranges from 0.60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8" w:name="IMF2025txt"/>
      <w:hyperlink w:anchor="IMF2025" w:history="1">
        <w:r>
          <w:rPr>
            <w:color w:val="1F3864"/>
            <w:u w:val="single"/>
          </w:rPr>
          <w:t xml:space="preserve">IMF 2025</w:t>
        </w:r>
      </w:hyperlink>
      <w:bookmarkEnd w:id="248"/>
      <w:r>
        <w:t xml:space="preserve">, </w:t>
      </w:r>
      <w:bookmarkStart w:id="226" w:name="Lazard2025txt"/>
      <w:hyperlink w:anchor="Lazard2025" w:history="1">
        <w:r>
          <w:rPr>
            <w:color w:val="1F3864"/>
            <w:u w:val="single"/>
          </w:rPr>
          <w:t xml:space="preserve">Lazard 2025</w:t>
        </w:r>
      </w:hyperlink>
      <w:bookmarkEnd w:id="226"/>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While data centers can mitigate grid unreliability through private infrastructure, governance weaknesses — contract enforcement, expropriation risk, regulatory instability — cannot be engineered away. Because hardware costs are globally uniform, the efficiency adjustment applies only to the country-specific cost component — energy procurement, cooling infrastructure, construction, and grid connection —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 Turkmenistan, Tajikistan, Russia — lose ground. Because hardware accounts for roughly 90% of cost-recovery costs, the non-hardware spread is narrow, and even modest governance penalties on local costs can reshuffle adjacent ranks.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89% of global inference demand (HHI = 0.30). </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7" w:name="EatonKortum2002txt"/>
      <w:hyperlink w:anchor="EatonKortum2002" w:history="1">
        <w:r>
          <w:rPr>
            <w:color w:val="1F3864"/>
            <w:u w:val="single"/>
          </w:rPr>
          <w:t xml:space="preserve">Eaton and Kortum 2002</w:t>
        </w:r>
      </w:hyperlink>
      <w:bookmarkEnd w:id="227"/>
      <w:r>
        <w:t xml:space="preserve">, </w:t>
      </w:r>
      <w:bookmarkStart w:id="249" w:name="ACR2012txt"/>
      <w:hyperlink w:anchor="ACR2012" w:history="1">
        <w:r>
          <w:rPr>
            <w:color w:val="1F3864"/>
            <w:u w:val="single"/>
          </w:rPr>
          <w:t xml:space="preserve">Arkolakis et al. 2012</w:t>
        </w:r>
      </w:hyperlink>
      <w:bookmarkEnd w:id="249"/>
      <w:r>
        <w:t xml:space="preserve">).</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not trivial: the bilateral premium shifts most countries toward domestic production, forgoing the cost savings from specialization. Developing countries that adopt broad data localization requirements risk foreclosing both import savings and regional export opportunities — the very specialization gains the model predicts. The </w:t>
      </w:r>
      <w:bookmarkStart w:id="228" w:name="WorldBank2025txt"/>
      <w:hyperlink w:anchor="WorldBank2025" w:history="1">
        <w:r>
          <w:rPr>
            <w:color w:val="1F3864"/>
            <w:u w:val="single"/>
          </w:rPr>
          <w:t xml:space="preserve">World Bank (2025)</w:t>
        </w:r>
      </w:hyperlink>
      <w:bookmarkEnd w:id="228"/>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9" w:name="Calcaterra2024txt"/>
      <w:hyperlink w:anchor="Calcaterra2024" w:history="1">
        <w:r>
          <w:rPr>
            <w:color w:val="1F3864"/>
            <w:u w:val="single"/>
          </w:rPr>
          <w:t xml:space="preserve">Calcaterra et al. 2024</w:t>
        </w:r>
      </w:hyperlink>
      <w:bookmarkEnd w:id="229"/>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This sensitivity reinforces the structural argument — the finding that energy-rich developing countries can compete depends primarily on the observation that hardware is globally priced, not on any particular parameter choice. The qualitative finding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in several directions. Carbon pricing could introduce a “green premium” favoring hydropower-rich countries. Demand segmentation by latency tolerance would capture heterogeneous service requirements. Stochastic disruptions — grid outages, political instability — would give buyers a reason to diversify across providers, a feature the current deterministic framework lacks.</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0" w:name="Krugman1991txt"/>
      <w:hyperlink w:anchor="Krugman1991" w:history="1">
        <w:r>
          <w:rPr>
            <w:color w:val="1F3864"/>
            <w:u w:val="single"/>
          </w:rPr>
          <w:t xml:space="preserve">Krugman 1991</w:t>
        </w:r>
      </w:hyperlink>
      <w:bookmarkEnd w:id="230"/>
      <w:r>
        <w:t xml:space="preserve">). The concentration of data centers in locations such as Northern Virginia reflects these centripetal forces. The cost-based ranking should therefore be interpreted as a necessary condition for competitiveness, not a sufficient one: a country must be cheap enough to attract investment, but whether a hyperscaler actually builds there depends on agglomeration economies and network effects the model abstracts from. This distinction motivates the capacity ceilings in Section 3, which partially capture the gap between cost-based potential and realized investment.</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1.5% of compute spending. The model generates a country taxonomy (full importers, training exporters, inference hubs, and hybrid regimes) that maps onto observed investment patterns. This geographic structure is consistent with </w:t>
      </w:r>
      <w:bookmarkStart w:id="231" w:name="Lehdonvirta2024txt"/>
      <w:hyperlink w:anchor="Lehdonvirta2024" w:history="1">
        <w:r>
          <w:rPr>
            <w:color w:val="1F3864"/>
            <w:u w:val="single"/>
          </w:rPr>
          <w:t xml:space="preserve">Lehdonvirta et al. (2024)</w:t>
        </w:r>
      </w:hyperlink>
      <w:bookmarkEnd w:id="231"/>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Montenegro,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2" w:name="vanderPloeg2011txt"/>
      <w:hyperlink w:anchor="vanderPloeg2011" w:history="1">
        <w:r>
          <w:rPr>
            <w:color w:val="1F3864"/>
            <w:u w:val="single"/>
          </w:rPr>
          <w:t xml:space="preserve">van der Ploeg 2011</w:t>
        </w:r>
      </w:hyperlink>
      <w:bookmarkEnd w:id="232"/>
      <w:r>
        <w:t xml:space="preserve">) warns that concentrated export revenues can lead to Dutch disease, institutional degradation, and volatility. Whether FLOP exporting countries share these risks depends on the revenue-sharing model they adopt: a sovereign wealth fund approach (Norway) versus elite capture (Dutch disease). The institutional investments required to attract hyperscaler FDI may provide the governance improvements that prevent resource-curse dynamics.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without credible governance, bilateral trust, and data protection frameworks, cheap energy alone will not attract hyperscaler investment.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3" w:name="WorldBank2024txt"/>
      <w:hyperlink w:anchor="WorldBank2024" w:history="1">
        <w:r>
          <w:rPr>
            <w:color w:val="1F3864"/>
            <w:u w:val="single"/>
          </w:rPr>
          <w:t xml:space="preserve">World Bank</w:t>
        </w:r>
      </w:hyperlink>
      <w:bookmarkEnd w:id="233"/>
      <w:r>
        <w:t xml:space="preserve">.</w:t>
      </w:r>
      <w:bookmarkEnd w:id="514"/>
    </w:p>
    <w:p>
      <w:pPr>
        <w:spacing w:before="0" w:after="80" w:line="240" w:lineRule="exact"/>
        <w:ind w:hanging="720" w:left="720"/>
        <w:jc w:val="both"/>
      </w:pPr>
      <w:bookmarkStart w:id="51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5"/>
    </w:p>
    <w:p>
      <w:pPr>
        <w:spacing w:before="0" w:after="80" w:line="240" w:lineRule="exact"/>
        <w:ind w:hanging="720" w:left="720"/>
        <w:jc w:val="both"/>
      </w:pPr>
      <w:bookmarkStart w:id="516"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6"/>
    </w:p>
    <w:p>
      <w:pPr>
        <w:spacing w:before="0" w:after="80" w:line="240" w:lineRule="exact"/>
        <w:ind w:hanging="720" w:left="720"/>
        <w:jc w:val="both"/>
      </w:pPr>
      <w:bookmarkStart w:id="517"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7"/>
    </w:p>
    <w:p>
      <w:pPr>
        <w:spacing w:before="0" w:after="80" w:line="240" w:lineRule="exact"/>
        <w:ind w:hanging="720" w:left="720"/>
        <w:jc w:val="both"/>
      </w:pPr>
      <w:bookmarkStart w:id="518"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8"/>
    </w:p>
    <w:p>
      <w:pPr>
        <w:spacing w:before="0" w:after="80" w:line="240" w:lineRule="exact"/>
        <w:ind w:hanging="720" w:left="720"/>
        <w:jc w:val="both"/>
      </w:pPr>
      <w:bookmarkStart w:id="519"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9"/>
    </w:p>
    <w:p>
      <w:pPr>
        <w:spacing w:before="0" w:after="80" w:line="240" w:lineRule="exact"/>
        <w:ind w:hanging="720" w:left="720"/>
        <w:jc w:val="both"/>
      </w:pPr>
      <w:bookmarkStart w:id="520" w:name="Google2024"/>
      <w:r>
        <w:rPr>
          <w:color w:val="1F3864"/>
          <w:u w:val="single"/>
        </w:rPr>
        <w:t xml:space="preserve">Google. </w:t>
      </w:r>
      <w:r>
        <w:t xml:space="preserve">(2024). </w:t>
      </w:r>
      <w:r>
        <w:rPr>
          <w:i/>
        </w:rPr>
        <w:t>2024 Environmental Report</w:t>
      </w:r>
      <w:r>
        <w:t>. sustainability.google.</w:t>
      </w:r>
      <w:bookmarkEnd w:id="520"/>
    </w:p>
    <w:p>
      <w:pPr>
        <w:spacing w:before="0" w:after="80" w:line="240" w:lineRule="exact"/>
        <w:ind w:hanging="720" w:left="720"/>
        <w:jc w:val="both"/>
      </w:pPr>
      <w:bookmarkStart w:id="521"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1"/>
    </w:p>
    <w:p>
      <w:pPr>
        <w:spacing w:before="0" w:after="80" w:line="240" w:lineRule="exact"/>
        <w:ind w:hanging="720" w:left="720"/>
        <w:jc w:val="both"/>
      </w:pPr>
      <w:bookmarkStart w:id="522"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2"/>
    </w:p>
    <w:p>
      <w:pPr>
        <w:spacing w:before="0" w:after="80" w:line="240" w:lineRule="exact"/>
        <w:ind w:hanging="720" w:left="720"/>
        <w:jc w:val="both"/>
      </w:pPr>
      <w:bookmarkStart w:id="52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3"/>
    </w:p>
    <w:p>
      <w:pPr>
        <w:spacing w:before="0" w:after="80" w:line="240" w:lineRule="exact"/>
        <w:ind w:hanging="720" w:left="720"/>
        <w:jc w:val="both"/>
      </w:pPr>
      <w:bookmarkStart w:id="524" w:name="IEA2025"/>
      <w:hyperlink w:anchor="IEA2025txt" w:history="1">
        <w:r>
          <w:rPr>
            <w:color w:val="1F3864"/>
            <w:u w:val="single"/>
          </w:rPr>
          <w:t xml:space="preserve">IEA. (2025). </w:t>
        </w:r>
      </w:hyperlink>
      <w:r>
        <w:t>“Energy Demand from AI.” Published online at iea.org.</w:t>
      </w:r>
      <w:bookmarkEnd w:id="524"/>
    </w:p>
    <w:p>
      <w:pPr>
        <w:spacing w:before="0" w:after="80" w:line="240" w:lineRule="exact"/>
        <w:ind w:hanging="720" w:left="720"/>
        <w:jc w:val="both"/>
      </w:pPr>
      <w:bookmarkStart w:id="52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5"/>
    </w:p>
    <w:p>
      <w:pPr>
        <w:spacing w:before="0" w:after="80" w:line="240" w:lineRule="exact"/>
        <w:ind w:hanging="720" w:left="720"/>
        <w:jc w:val="both"/>
      </w:pPr>
      <w:bookmarkStart w:id="526"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6"/>
    </w:p>
    <w:p>
      <w:pPr>
        <w:spacing w:before="0" w:after="80" w:line="240" w:lineRule="exact"/>
        <w:ind w:hanging="720" w:left="720"/>
        <w:jc w:val="both"/>
      </w:pPr>
      <w:bookmarkStart w:id="527"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7"/>
    </w:p>
    <w:p>
      <w:pPr>
        <w:spacing w:before="0" w:after="80" w:line="240" w:lineRule="exact"/>
        <w:ind w:hanging="720" w:left="720"/>
        <w:jc w:val="both"/>
      </w:pPr>
      <w:bookmarkStart w:id="528"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8"/>
    </w:p>
    <w:p>
      <w:pPr>
        <w:spacing w:before="0" w:after="80" w:line="240" w:lineRule="exact"/>
        <w:ind w:hanging="720" w:left="720"/>
        <w:jc w:val="both"/>
      </w:pPr>
      <w:bookmarkStart w:id="52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9"/>
    </w:p>
    <w:p>
      <w:pPr>
        <w:spacing w:before="0" w:after="80" w:line="240" w:lineRule="exact"/>
        <w:ind w:hanging="720" w:left="720"/>
        <w:jc w:val="both"/>
      </w:pPr>
      <w:bookmarkStart w:id="530"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4" w:name="WorldBank2024txt"/>
      <w:hyperlink w:anchor="WorldBank2024" w:history="1">
        <w:r>
          <w:rPr>
            <w:i/>
            <w:color w:val="1F3864"/>
            <w:u w:val="single"/>
          </w:rPr>
          <w:t xml:space="preserve">World Bank</w:t>
        </w:r>
      </w:hyperlink>
      <w:bookmarkEnd w:id="234"/>
      <w:r>
        <w:rPr>
          <w:i/>
        </w:rPr>
        <w:t xml:space="preserve"> Economic Review</w:t>
      </w:r>
      <w:r>
        <w:t>, 15(3): 451–479.</w:t>
      </w:r>
      <w:bookmarkEnd w:id="530"/>
    </w:p>
    <w:p>
      <w:pPr>
        <w:spacing w:before="0" w:after="80" w:line="240" w:lineRule="exact"/>
        <w:ind w:hanging="720" w:left="720"/>
        <w:jc w:val="both"/>
      </w:pPr>
      <w:bookmarkStart w:id="53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1"/>
    </w:p>
    <w:p>
      <w:pPr>
        <w:spacing w:before="0" w:after="80" w:line="240" w:lineRule="exact"/>
        <w:ind w:hanging="720" w:left="720"/>
        <w:jc w:val="both"/>
      </w:pPr>
      <w:bookmarkStart w:id="532" w:name="NVIDIA2024"/>
      <w:r>
        <w:rPr>
          <w:color w:val="1F3864"/>
          <w:u w:val="single"/>
        </w:rPr>
        <w:t xml:space="preserve">NVIDIA. </w:t>
      </w:r>
      <w:r>
        <w:t xml:space="preserve">(2024). </w:t>
      </w:r>
      <w:r>
        <w:rPr>
          <w:i/>
        </w:rPr>
        <w:t>NVIDIA H100 Tensor Core GPU Datasheet</w:t>
      </w:r>
      <w:r>
        <w:t>. nvidia.com.</w:t>
      </w:r>
      <w:bookmarkEnd w:id="532"/>
    </w:p>
    <w:p>
      <w:pPr>
        <w:spacing w:before="0" w:after="80" w:line="240" w:lineRule="exact"/>
        <w:ind w:hanging="720" w:left="720"/>
        <w:jc w:val="both"/>
      </w:pPr>
      <w:bookmarkStart w:id="533"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3"/>
    </w:p>
    <w:p>
      <w:pPr>
        <w:spacing w:before="0" w:after="80" w:line="240" w:lineRule="exact"/>
        <w:ind w:hanging="720" w:left="720"/>
        <w:jc w:val="both"/>
      </w:pPr>
      <w:bookmarkStart w:id="534"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4"/>
    </w:p>
    <w:p>
      <w:pPr>
        <w:spacing w:before="0" w:after="80" w:line="240" w:lineRule="exact"/>
        <w:ind w:hanging="720" w:left="720"/>
        <w:jc w:val="both"/>
      </w:pPr>
      <w:bookmarkStart w:id="535" w:name="Sastry2024"/>
      <w:hyperlink w:anchor="Sastry2024txt" w:history="1">
        <w:r>
          <w:rPr>
            <w:color w:val="1F3864"/>
            <w:u w:val="single"/>
          </w:rPr>
          <w:t xml:space="preserve">Sastry, G., L. Heim, et al. (2024). </w:t>
        </w:r>
      </w:hyperlink>
      <w:r>
        <w:t>“Computing Power and the Governance of Artificial Intelligence.” arXiv:2402.08797.</w:t>
      </w:r>
      <w:bookmarkEnd w:id="535"/>
    </w:p>
    <w:p>
      <w:pPr>
        <w:spacing w:before="0" w:after="80" w:line="240" w:lineRule="exact"/>
        <w:ind w:hanging="720" w:left="720"/>
        <w:jc w:val="both"/>
      </w:pPr>
      <w:bookmarkStart w:id="53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6"/>
    </w:p>
    <w:p>
      <w:pPr>
        <w:spacing w:before="0" w:after="80" w:line="240" w:lineRule="exact"/>
        <w:ind w:hanging="720" w:left="720"/>
        <w:jc w:val="both"/>
      </w:pPr>
      <w:bookmarkStart w:id="53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7"/>
    </w:p>
    <w:p>
      <w:pPr>
        <w:spacing w:before="0" w:after="80" w:line="240" w:lineRule="exact"/>
        <w:ind w:hanging="720" w:left="720"/>
        <w:jc w:val="both"/>
      </w:pPr>
      <w:bookmarkStart w:id="538" w:name="TurnerLee2025"/>
      <w:hyperlink w:anchor="TurnerLee2025txt" w:history="1">
        <w:r>
          <w:rPr>
            <w:color w:val="1F3864"/>
            <w:u w:val="single"/>
          </w:rPr>
          <w:t xml:space="preserve">Turner Lee, N., and D. West. (2025). </w:t>
        </w:r>
      </w:hyperlink>
      <w:r>
        <w:t>“The Future of Data Centers.” Brookings Institution, November 2025.</w:t>
      </w:r>
      <w:bookmarkEnd w:id="538"/>
    </w:p>
    <w:p>
      <w:pPr>
        <w:spacing w:before="0" w:after="80" w:line="240" w:lineRule="exact"/>
        <w:ind w:hanging="720" w:left="720"/>
        <w:jc w:val="both"/>
      </w:pPr>
      <w:bookmarkStart w:id="539" w:name="DOJFTC2010"/>
      <w:r>
        <w:rPr>
          <w:color w:val="1F3864"/>
          <w:u w:val="single"/>
        </w:rPr>
        <w:t xml:space="preserve">U.S. Department of Justice and Federal Trade Commission. </w:t>
      </w:r>
      <w:r>
        <w:t xml:space="preserve">(2010). </w:t>
      </w:r>
      <w:r>
        <w:rPr>
          <w:i/>
        </w:rPr>
        <w:t>Horizontal Merger Guidelines</w:t>
      </w:r>
      <w:r>
        <w:t>. Washington, DC.</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5" w:name="WorldBank2024txt"/>
      <w:hyperlink w:anchor="WorldBank2024" w:history="1">
        <w:r>
          <w:rPr>
            <w:color w:val="1F3864"/>
            <w:u w:val="single"/>
          </w:rPr>
          <w:t xml:space="preserve">World Bank</w:t>
        </w:r>
      </w:hyperlink>
      <w:bookmarkEnd w:id="235"/>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6" w:name="WorldBank2024txt"/>
      <w:hyperlink w:anchor="WorldBank2024" w:history="1">
        <w:r>
          <w:rPr>
            <w:color w:val="1F3864"/>
            <w:u w:val="single"/>
          </w:rPr>
          <w:t xml:space="preserve">World Bank</w:t>
        </w:r>
      </w:hyperlink>
      <w:bookmarkEnd w:id="236"/>
      <w:r>
        <w:t xml:space="preserve">.</w:t>
      </w:r>
      <w:bookmarkEnd w:id="546"/>
    </w:p>
    <w:p>
      <w:pPr>
        <w:spacing w:before="0" w:after="80" w:line="240" w:lineRule="exact"/>
        <w:ind w:hanging="720" w:left="720"/>
        <w:jc w:val="both"/>
      </w:pPr>
      <w:bookmarkStart w:id="547"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7" w:name="WorldBank2024txt"/>
      <w:hyperlink w:anchor="WorldBank2024" w:history="1">
        <w:r>
          <w:rPr>
            <w:color w:val="1F3864"/>
            <w:u w:val="single"/>
          </w:rPr>
          <w:t xml:space="preserve">World Bank</w:t>
        </w:r>
      </w:hyperlink>
      <w:bookmarkEnd w:id="237"/>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 sovereignty premium</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 sovereignty premium (λ = 10%)</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−9.9%</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−8.2%</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−8.0%</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−7.6%</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6</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7</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Montenegro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−6.7%</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−6.3%</w:t>
            </w:r>
          </w:p>
        </w:tc>
      </w:tr>
      <w:tr>
        <w:tc>
          <w:tcPr>
            <w:tcW w:w="2400" w:type="dxa"/>
          </w:tcPr>
          <w:p>
            <w:pPr>
              <w:jc w:val="left"/>
              <w:spacing w:before="10" w:after="10"/>
            </w:pPr>
            <w:r/>
            <w:r>
              <w:rPr>
                <w:rFonts w:ascii="Times New Roman" w:hAnsi="Times New Roman"/>
                <w:sz w:val="16"/>
              </w:rPr>
              <w:t>Iceland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11</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New Zealand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12</w:t>
            </w:r>
          </w:p>
        </w:tc>
        <w:tc>
          <w:tcPr>
            <w:tcW w:w="1100" w:type="dxa"/>
          </w:tcPr>
          <w:p>
            <w:pPr>
              <w:jc w:val="center"/>
              <w:spacing w:before="10" w:after="10"/>
            </w:pPr>
            <w:r/>
            <w:r>
              <w:rPr>
                <w:rFonts w:ascii="Times New Roman" w:hAnsi="Times New Roman"/>
                <w:sz w:val="16"/>
              </w:rPr>
              <w:t>−6.1%</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−5.9%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India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17</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18</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Colombia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19</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Portugal</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UAE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Latvia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Belgium</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−5.2%</w:t>
            </w:r>
          </w:p>
        </w:tc>
      </w:tr>
      <w:tr>
        <w:tc>
          <w:tcPr>
            <w:tcW w:w="2400" w:type="dxa"/>
          </w:tcPr>
          <w:p>
            <w:pPr>
              <w:jc w:val="left"/>
              <w:spacing w:before="10" w:after="10"/>
            </w:pPr>
            <w:r/>
            <w:r>
              <w:rPr>
                <w:rFonts w:ascii="Times New Roman" w:hAnsi="Times New Roman"/>
                <w:sz w:val="16"/>
              </w:rPr>
              <w:t>Malta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24</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400" w:type="dxa"/>
          </w:tcPr>
          <w:p>
            <w:pPr>
              <w:jc w:val="left"/>
              <w:spacing w:before="10" w:after="10"/>
            </w:pPr>
            <w:r/>
            <w:r>
              <w:rPr>
                <w:rFonts w:ascii="Times New Roman" w:hAnsi="Times New Roman"/>
                <w:sz w:val="16"/>
              </w:rPr>
              <w:t>Georgia</w:t>
            </w:r>
          </w:p>
        </w:tc>
        <w:tc>
          <w:tcPr>
            <w:tcBorders>
              <w:bottom w:val="double" w:sz="4" w:space="0" w:color="auto"/>
            </w:tcBorders>
            <w:tcW w:w="1300" w:type="dxa"/>
          </w:tcPr>
          <w:p>
            <w:pPr>
              <w:jc w:val="center"/>
              <w:spacing w:before="10" w:after="10"/>
            </w:pPr>
            <w:r/>
            <w:r>
              <w:rPr>
                <w:rFonts w:ascii="Times New Roman" w:hAnsi="Times New Roman"/>
                <w:sz w:val="16"/>
              </w:rPr>
              <w:t>$1.52</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25</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