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00:43</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rFonts w:ascii="Times New Roman" w:hAnsi="Times New Roman"/>
          <w:b w:val="0"/>
          <w:i/>
          <w:sz w:val="24"/>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sz w:val="20"/>
              </w:rPr>
              <w:t>Pᴳᴘᴜ</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w:r>
              <w:rPr>
                <w:rFonts w:ascii="Times New Roman" w:hAnsi="Times New Roman"/>
                <w:sz w:val="20"/>
              </w:rPr>
              <w:t>θ̄</w:t>
            </w:r>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w:r>
              <w:rPr>
                <w:rFonts w:ascii="Times New Roman" w:hAnsi="Times New Roman"/>
                <w:sz w:val="20"/>
              </w:rPr>
              <w:t>ξⱼ</w:t>
            </w:r>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United States of 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Netherlands</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South Korea</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Spain</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Chile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+18</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Switzerland</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Malaysia</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Singapore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i/>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Top 20 countries shown by specification (3);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i/>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