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22:31</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grid outages and weak governance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These studies focus on where firms should build data centers.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The coefficients are calibrated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0" w:name="EIA2025txt"/>
      <w:hyperlink w:anchor="EIA2025" w:history="1">
        <w:r>
          <w:rPr>
            <w:color w:val="1F3864"/>
            <w:u w:val="single"/>
          </w:rPr>
          <w:t xml:space="preserve">EIA 2025</w:t>
        </w:r>
      </w:hyperlink>
      <w:bookmarkEnd w:id="250"/>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Google’s GPU utilization, after years of optimization, runs in the 60–75% range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Our qualitative findings are therefore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2" w:name="WorldBank2024txt"/>
      <w:hyperlink w:anchor="WorldBank2024" w:history="1">
        <w:r>
          <w:rPr>
            <w:color w:val="1F3864"/>
            <w:u w:val="single"/>
          </w:rPr>
          <w:t xml:space="preserve">World Bank</w:t>
        </w:r>
      </w:hyperlink>
      <w:bookmarkEnd w:id="242"/>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such as electricity prices, temperatures, construction costs, and the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r>
        <w:t xml:space="preserve">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 xml:space="preserve">The efficiency-adjusted ranking captures governance quality and grid stability, while the bilateral sovereignty premium captures sanctions, geopolitical distance, and regulatory incompatibility.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fully captured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GPU export controls (Section 6.1) and water scarcity in Iran, Turkmenistan, Egypt, and Saudi Arabia further constrain several low-cost producers.</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a hyperscale data center can be large relative to the host grid. Kyrgyzstan’s 3,800 MW grid (Appendix D) would face significant strain from a single 100 MW facility consuming roughly 3% of national electricity output. At the multi-facility scale implied by the model’s export predictions, data centers would become the dominant industrial load competing with residential heating in winter when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5" w:name="vanderPloeg2011txt"/>
      <w:hyperlink w:anchor="vanderPloeg2011" w:history="1">
        <w:r>
          <w:rPr>
            <w:color w:val="1F3864"/>
            <w:u w:val="single"/>
          </w:rPr>
          <w:t xml:space="preserve">van der Ploeg 2011</w:t>
        </w:r>
      </w:hyperlink>
      <w:bookmarkEnd w:id="245"/>
      <w:r>
        <w:t xml:space="preserve">) warns that concentrated export revenues can lead to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r>
        <w:rPr>
          <w:color w:val="1F3864"/>
          <w:u w:val="single"/>
        </w:rPr>
        <w:t xml:space="preserve">NVIDIA. </w:t>
      </w:r>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30125"/>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30125"/>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