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26, 2026  16:06</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trade model of compute services, distinguishing latency-insensitive training (offshored to lowest-cost producers) from latency-sensitive inference (favoring proximity to users) and incorporating a bilateral sovereignty premium. Calibration across 85 countries shows that six developing countries rank among the fifteen cheapest producers after governance adjustment, but bilateral trust deficits eliminate all developing-country exports. When a hyperscaler intermediates the transaction, the buyer’s trust attaches to the operator rather than the host country: ten developing economies re-enter as potential exporters. Because hardware dominates unit cost, the cross-country cost spread is only 12–20 percent, making compute both the easiest sector for developing countries to enter on cost grounds and the most vulnerable to small policy-induced frictions.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7" w:name="EpochAI2024txt"/>
      <w:hyperlink w:anchor="EpochAI2024" w:history="1">
        <w:r>
          <w:rPr>
            <w:color w:val="1F3864"/>
            <w:u w:val="single"/>
          </w:rPr>
          <w:t xml:space="preserve">Epoch AI 2024</w:t>
        </w:r>
      </w:hyperlink>
      <w:bookmarkEnd w:id="237"/>
      <w:r>
        <w:t xml:space="preserve">). Data centers accounted for approximately 1.5% of global electricity demand in 2024, and that share is projected to more than double by 2030 (</w:t>
      </w:r>
      <w:bookmarkStart w:id="250" w:name="IEA2025txt"/>
      <w:hyperlink w:anchor="IEA2025" w:history="1">
        <w:r>
          <w:rPr>
            <w:color w:val="1F3864"/>
            <w:u w:val="single"/>
          </w:rPr>
          <w:t xml:space="preserve">IEA 2025</w:t>
        </w:r>
      </w:hyperlink>
      <w:bookmarkEnd w:id="250"/>
      <w:r>
        <w:t xml:space="preserve">), driven largely by AI-oriented facilities whose power densities are 5–10 times those of conventional data centers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We offer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the paper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quantify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of the cheapest producers drop sharply, while countries combining cheap energy with adequate institutions remain in the top 15. Under the bilateral sovereignty specification, however, trust deficits eliminate all developing-country exports. When a hyperscaler operates the facility, the buyer’s trust attaches to the operator rather than the host country, and five developing economies re-enter as potential exporters. For energy-rich developing countries, the binding constraint is not electricity cost but the institutional environment needed to attract FDI.</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countries with data, human capital, and institutional capacity. Our model shows that comparative advantage in compute </w:t>
      </w:r>
      <w:r>
        <w:rPr>
          <w:i/>
        </w:rPr>
        <w:t>production</w:t>
      </w:r>
      <w:r>
        <w:t xml:space="preserve"> depends on electricity costs, climate, and institutional quality, so resource-rich countries could become compute exporters without domestic AI research industries. </w:t>
      </w:r>
      <w:bookmarkStart w:id="204" w:name="Korinek2021txt"/>
      <w:hyperlink w:anchor="Korinek2021" w:history="1">
        <w:r>
          <w:rPr>
            <w:color w:val="1F3864"/>
            <w:u w:val="single"/>
          </w:rPr>
          <w:t xml:space="preserve">Korinek and Stiglitz (2021)</w:t>
        </w:r>
      </w:hyperlink>
      <w:bookmarkEnd w:id="204"/>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51" w:name="Hausmann2007txt"/>
      <w:hyperlink w:anchor="Hausmann2007" w:history="1">
        <w:r>
          <w:rPr>
            <w:color w:val="1F3864"/>
            <w:u w:val="single"/>
          </w:rPr>
          <w:t xml:space="preserve">Hausmann et al. (2007)</w:t>
        </w:r>
      </w:hyperlink>
      <w:bookmarkEnd w:id="251"/>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52" w:name="Liu2023txt"/>
      <w:hyperlink w:anchor="Liu2023" w:history="1">
        <w:r>
          <w:rPr>
            <w:color w:val="1F3864"/>
            <w:u w:val="single"/>
          </w:rPr>
          <w:t xml:space="preserve">Liu et al. (2023)</w:t>
        </w:r>
      </w:hyperlink>
      <w:bookmarkEnd w:id="252"/>
      <w:r>
        <w:t xml:space="preserve"> study data center placement under renewable energy constraints.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7" w:name="Lehdonvirta2024txt"/>
      <w:hyperlink w:anchor="Lehdonvirta2024" w:history="1">
        <w:r>
          <w:rPr>
            <w:color w:val="1F3864"/>
            <w:u w:val="single"/>
          </w:rPr>
          <w:t xml:space="preserve">Lehdonvirta et al. (2024)</w:t>
        </w:r>
      </w:hyperlink>
      <w:bookmarkEnd w:id="207"/>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3" w:name="Stojkoski2024txt"/>
      <w:hyperlink w:anchor="Stojkoski2024" w:history="1">
        <w:r>
          <w:rPr>
            <w:color w:val="1F3864"/>
            <w:u w:val="single"/>
          </w:rPr>
          <w:t xml:space="preserve">Stojkoski et al. 2024</w:t>
        </w:r>
      </w:hyperlink>
      <w:bookmarkEnd w:id="253"/>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4" w:name="Stojkoski2024txt"/>
      <w:hyperlink w:anchor="Stojkoski2024" w:history="1">
        <w:r>
          <w:rPr>
            <w:color w:val="1F3864"/>
            <w:u w:val="single"/>
          </w:rPr>
          <w:t xml:space="preserve">Stojkoski et al. (2024)</w:t>
        </w:r>
      </w:hyperlink>
      <w:bookmarkEnd w:id="254"/>
      <w:r>
        <w:t xml:space="preserve"> document the geography of cloud exports but treat cloud services as homogeneous; the present model adds supply-side cost structure and a training–inference distinction that generates location-specific comparative advantage. </w:t>
      </w: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Graphic Processing Units (GPU)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8" w:name="Ohlin1933txt"/>
      <w:hyperlink w:anchor="Ohlin1933" w:history="1">
        <w:r>
          <w:rPr>
            <w:color w:val="1F3864"/>
            <w:u w:val="single"/>
          </w:rPr>
          <w:t xml:space="preserve">Ohlin 1933</w:t>
        </w:r>
      </w:hyperlink>
      <w:bookmarkEnd w:id="208"/>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0" w:name="WorldBank2024txt"/>
      <w:hyperlink w:anchor="WorldBank2024" w:history="1">
        <w:r>
          <w:rPr>
            <w:color w:val="1F3864"/>
            <w:u w:val="single"/>
          </w:rPr>
          <w:t xml:space="preserve">World Bank 2024</w:t>
        </w:r>
      </w:hyperlink>
      <w:bookmarkEnd w:id="210"/>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1" w:name="WBES2025txt"/>
      <w:hyperlink w:anchor="WBES2025" w:history="1">
        <w:r>
          <w:rPr>
            <w:color w:val="1F3864"/>
            <w:u w:val="single"/>
          </w:rPr>
          <w:t xml:space="preserve">World Bank Enterprise Surveys 2025</w:t>
        </w:r>
      </w:hyperlink>
      <w:bookmarkEnd w:id="211"/>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w:t>
      </w:r>
    </w:p>
    <w:p>
      <w:pPr>
        <w:spacing w:before="0" w:after="160"/>
        <w:ind w:firstLine="0"/>
        <w:jc w:val="both"/>
      </w:pPr>
      <w:r>
        <w:t xml:space="preserve">The efficiency adjustment applies only to the non-hardware cost component: since hardware is priced on global markets, governance penalties operate on local costs rather than on the full unit cost.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2" w:name="Krugman1991txt"/>
      <w:hyperlink w:anchor="Krugman1991" w:history="1">
        <w:r>
          <w:rPr>
            <w:color w:val="1F3864"/>
            <w:u w:val="single"/>
          </w:rPr>
          <w:t xml:space="preserve">Krugman 1991</w:t>
        </w:r>
      </w:hyperlink>
      <w:bookmarkEnd w:id="212"/>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3" w:name="Eurostat2025txt"/>
      <w:hyperlink w:anchor="Eurostat2025" w:history="1">
        <w:r>
          <w:rPr>
            <w:color w:val="1F3864"/>
            <w:u w:val="single"/>
          </w:rPr>
          <w:t xml:space="preserve">Eurostat 2025</w:t>
        </w:r>
      </w:hyperlink>
      <w:bookmarkEnd w:id="213"/>
      <w:r>
        <w:t xml:space="preserve">). For non-European countries, the prices are obtained from national regulator tariff sheets and secondary sources, including the U.S. Energy Information Administration (</w:t>
      </w:r>
      <w:bookmarkStart w:id="246" w:name="EIA2025txt"/>
      <w:hyperlink w:anchor="EIA2025" w:history="1">
        <w:r>
          <w:rPr>
            <w:color w:val="1F3864"/>
            <w:u w:val="single"/>
          </w:rPr>
          <w:t xml:space="preserve">EIA 2025</w:t>
        </w:r>
      </w:hyperlink>
      <w:bookmarkEnd w:id="246"/>
      <w:r>
        <w:t xml:space="preserve">) for the United States, KEPCO for South Korea,</w:t>
      </w:r>
      <w:r>
        <w:rPr>
          <w:rStyle w:val="FootnoteReference"/>
        </w:rPr>
        <w:footnoteReference w:id="24"/>
      </w:r>
      <w:r>
        <w:t xml:space="preserve">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0" w:name="Eq4txt900"/>
      <w:hyperlink w:anchor="Eq4" w:history="1">
        <w:r>
          <w:rPr>
            <w:color w:val="1F3864"/>
            <w:u w:val="single"/>
          </w:rPr>
          <w:t xml:space="preserve">equation (4)</w:t>
        </w:r>
      </w:hyperlink>
      <w:bookmarkEnd w:id="900"/>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1" w:name="Eq2txt901"/>
      <w:hyperlink w:anchor="Eq2" w:history="1">
        <w:r>
          <w:rPr>
            <w:color w:val="1F3864"/>
            <w:u w:val="single"/>
          </w:rPr>
          <w:t xml:space="preserve">eq. (2)</w:t>
        </w:r>
      </w:hyperlink>
      <w:bookmarkEnd w:id="901"/>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w:t>
      </w:r>
      <w:bookmarkStart w:id="902" w:name="Eq3txt902"/>
      <w:hyperlink w:anchor="Eq3" w:history="1">
        <w:r>
          <w:rPr>
            <w:color w:val="1F3864"/>
            <w:u w:val="single"/>
          </w:rPr>
          <w:t xml:space="preserve">eq. (3)</w:t>
        </w:r>
      </w:hyperlink>
      <w:bookmarkEnd w:id="902"/>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5" w:name="Farole2011txt"/>
      <w:hyperlink w:anchor="Farole2011" w:history="1">
        <w:r>
          <w:rPr>
            <w:color w:val="1F3864"/>
            <w:u w:val="single"/>
          </w:rPr>
          <w:t xml:space="preserve">Farole 2011</w:t>
        </w:r>
      </w:hyperlink>
      <w:bookmarkEnd w:id="255"/>
      <w:r>
        <w:t xml:space="preserve">; </w:t>
      </w:r>
      <w:bookmarkStart w:id="247" w:name="WorldBank2017txt"/>
      <w:hyperlink w:anchor="WorldBank2017" w:history="1">
        <w:r>
          <w:rPr>
            <w:color w:val="1F3864"/>
            <w:u w:val="single"/>
          </w:rPr>
          <w:t xml:space="preserve">World Bank 2017</w:t>
        </w:r>
      </w:hyperlink>
      <w:bookmarkEnd w:id="247"/>
      <w:r>
        <w:t xml:space="preserve">; </w:t>
      </w:r>
      <w:bookmarkStart w:id="226" w:name="Frick2019txt"/>
      <w:hyperlink w:anchor="Frick2019" w:history="1">
        <w:r>
          <w:rPr>
            <w:color w:val="1F3864"/>
            <w:u w:val="single"/>
          </w:rPr>
          <w:t xml:space="preserve">Frick, Rodríguez-Pose, and Wong 2019</w:t>
        </w:r>
      </w:hyperlink>
      <w:bookmarkEnd w:id="226"/>
      <w:r>
        <w:t xml:space="preserve">). The floor is a political parameter, not a technological one: it depends on the durability of institutional commitments — power purchase agreements, SEZ provisions, arbitration clauses — that can be revoked if the political economy shifts.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0.29, Uzbekistan: 0.40, Ethiopia: 0.38).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applying trade frictions, and introducing hyperscaler FDI as a trust channel.</w:t>
      </w:r>
    </w:p>
    <w:p>
      <w:pPr>
        <w:spacing w:before="0" w:after="160"/>
        <w:ind w:firstLine="0"/>
        <w:jc w:val="both"/>
      </w:pPr>
      <w:r>
        <w:t xml:space="preserve">Under observed electricity tariffs and without efficiency adjustment,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21st. 33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Norway, Finland, China, and Sweden. </w:t>
      </w:r>
      <w:r>
        <w:t xml:space="preserve">Six developing countries appear in the top fifteen: China, Kyrgyzstan, Kosovo, Montenegro, Ethiopia, and Vietnam. The Δ column shows the rank change from raw tariffs to the preferred specification (column 1 to column 4): Turkmenistan drops 83 places, Tajikistan drops 68, while Denmark and Iceland rise 45 places. Countries that combine cheap energy with adequate institutions retain their cost advantage after governance adjustment, while those with very weak governance (Turkmenistan, Tajikistan, Russia) lose ground. Because hardware dominates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The threshold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−10.0%</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−1.2%</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exports are more dispersed, with the top five exporters being Canada (45%), Finland (7%), Norway (7%), Singapore (4%), and the United Arab Emirates (0.3%), collectively accounting for 63% of cross-border inference demand (HHI = 0.21).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foreign source of inference is Japan.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4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4" w:name="Eq2txt904"/>
      <w:hyperlink w:anchor="Eq2" w:history="1">
        <w:r>
          <w:rPr>
            <w:color w:val="1F3864"/>
            <w:u w:val="single"/>
          </w:rPr>
          <w:t xml:space="preserve">equation (2)</w:t>
        </w:r>
      </w:hyperlink>
      <w:bookmarkEnd w:id="904"/>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because GPUs cannot be shipped to Iran, Russia, Belarus, or Turkmenistan regardless of who operates the facility. GPU export controls partially restrict China’s access to training-grade hardware.</w:t>
      </w:r>
    </w:p>
    <w:p>
      <w:pPr>
        <w:spacing w:before="0" w:after="160"/>
        <w:ind w:firstLine="0"/>
        <w:jc w:val="both"/>
      </w:pPr>
      <w:r>
        <w:t xml:space="preserve">Column (7) of </w:t>
      </w:r>
      <w:hyperlink w:anchor="Table3b" w:history="1">
        <w:r>
          <w:rPr>
            <w:color w:val="1F3864"/>
            <w:u w:val="single"/>
          </w:rPr>
          <w:t xml:space="preserve">Table 3b</w:t>
        </w:r>
      </w:hyperlink>
      <w:r>
        <w:t xml:space="preserve"> reports regime assignments under the FDI specification. Under bilateral sovereignty (column 4), only Canada exports; all other countries either produce domestically or import. Under hyperscaler FDI (column 7), 15 countries become exporters, 10 of them developing economies: Argentina, Brazil, Georgia, Indonesia, Kosovo, Kyrgyzstan, Montenegro, Tajikistan, Ukraine, and Vietnam. The developing-country export opportunity identified in the cost rankings (column 3) is not eliminated by sovereignty — it is blocked by the absence of a trust intermediary and restored when one is present.</w:t>
      </w:r>
      <w:r>
        <w:t xml:space="preserve"> Within the top 25 countries shown in Table 3b, Argentina, Georgia, Kosovo, Kyrgyzstan, Montenegro, Vietnam are the visible developing-country exporters; the remaining developing-country exporters (Brazil (rank 42), Indonesia (rank 43), Ukraine (rank 64), and Tajikistan (rank 80)) appear at lower efficiency-adjusted ranks where their FDI-intermediated costs fall below the import threshold.</w:t>
      </w:r>
    </w:p>
    <w:p>
      <w:pPr>
        <w:spacing w:before="0" w:after="160"/>
        <w:ind w:firstLine="0"/>
        <w:jc w:val="both"/>
      </w:pPr>
      <w:r>
        <w:t xml:space="preserve">This result aligns with observed investment patterns. Countries actively attracting hyperscaler data center investment, such as India ($15 billion AdaniConneX/Google campus), Indonesia (120 MW Jakarta), Malaysia (300 MW Johor), Kenya ($1 billion Microsoft/G42 geothermal campus), and Armenia ($4 billion Firebird project), are developing economies that the bilateral specification assigns to DD or II but that the FDI specification identifies as potential exporters. The gap between columns (4) and (7)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particularly governments and regulated industries,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1.9%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49" w:name="ACR2012txt"/>
      <w:hyperlink w:anchor="ACR2012" w:history="1">
        <w:r>
          <w:rPr>
            <w:color w:val="1F3864"/>
            <w:u w:val="single"/>
          </w:rPr>
          <w:t xml:space="preserve">Arkolakis et al. 2012</w:t>
        </w:r>
      </w:hyperlink>
      <w:bookmarkEnd w:id="249"/>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9" w:name="WorldBank2025txt"/>
      <w:hyperlink w:anchor="WorldBank2025" w:history="1">
        <w:r>
          <w:rPr>
            <w:color w:val="1F3864"/>
            <w:u w:val="single"/>
          </w:rPr>
          <w:t xml:space="preserve">World Bank (2025)</w:t>
        </w:r>
      </w:hyperlink>
      <w:bookmarkEnd w:id="229"/>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the same institutional weaknesses that lower ξ also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t xml:space="preserve">The comparative statics have clear economic intuition. Raising the governance weight ω penalizes countries with weak rule of law, pushing Kyrgyzstan and Ethiopia down the ranking while rewarding Scandinavian producers. Raising the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compresses the governance penalty, allowing more developing countries into the top fifteen. The hardware cost share ρ is the most consequential parameter: when hardware’s share rises, the (identical) hardware cost dominates the unit cost, narrowing the cross-country spread and making governance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1.9% of compute spending. The resolution lies in the hyperscaler FDI channel: when a trusted cloud provider operates the facility, the buyer’s sovereignty concern attaches to the operator, not the host country. Under this specification, ten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fifteen cheapest FLOP producers after governance adjustment,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(7)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31" w:name="vanderPloeg2011txt"/>
      <w:hyperlink w:anchor="vanderPloeg2011" w:history="1">
        <w:r>
          <w:rPr>
            <w:color w:val="1F3864"/>
            <w:u w:val="single"/>
          </w:rPr>
          <w:t xml:space="preserve">van der Ploeg 2011</w:t>
        </w:r>
      </w:hyperlink>
      <w:bookmarkEnd w:id="231"/>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five-column progression in Table 3b makes the policy challenge concrete: cheap energy gets a country into the cost-feasible set (column 3), but bilateral trust eliminates the opportunity (column 4), and only hyperscaler intermediation restores it (column 7).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2" w:name="WorldBank2024txt"/>
      <w:hyperlink w:anchor="WorldBank2024" w:history="1">
        <w:r>
          <w:rPr>
            <w:color w:val="1F3864"/>
            <w:u w:val="single"/>
          </w:rPr>
          <w:t xml:space="preserve">World Bank</w:t>
        </w:r>
      </w:hyperlink>
      <w:bookmarkEnd w:id="232"/>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6" w:name="WorldBank2024txt"/>
      <w:hyperlink w:anchor="WorldBank2024" w:history="1">
        <w:r>
          <w:rPr>
            <w:color w:val="1F3864"/>
            <w:u w:val="single"/>
          </w:rPr>
          <w:t xml:space="preserve">World Bank</w:t>
        </w:r>
      </w:hyperlink>
      <w:bookmarkEnd w:id="236"/>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28_slide2.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through cost-recovery pricing to efficiency-adjusted costs. Step 2 applies bilateral sovereignty premiums, with a uniform premium (λ = 0.10) as robustness check. Step 3 replaces host-country trust with hyperscaler-intermediated FDI.</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0.71</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+25</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0.60</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0</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+36</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0.93</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+42</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+9</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0.65</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0.86</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0.85</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+25</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0.63</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25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Georgia</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540" w:type="dxa"/>
          </w:tcPr>
          <w:p>
            <w:pPr>
              <w:jc w:val="center"/>
              <w:spacing w:before="10" w:after="10"/>
            </w:pPr>
            <w:r/>
            <w:r>
              <w:rPr>
                <w:rFonts w:ascii="Times New Roman" w:hAnsi="Times New Roman"/>
                <w:b/>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450" w:type="dxa"/>
          </w:tcPr>
          <w:p>
            <w:pPr>
              <w:jc w:val="center"/>
              <w:spacing w:before="10" w:after="10"/>
            </w:pPr>
            <w:r/>
            <w:r>
              <w:rPr>
                <w:rFonts w:ascii="Times New Roman" w:hAnsi="Times New Roman"/>
                <w:sz w:val="16"/>
              </w:rPr>
              <w:t>0.52</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34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450" w:type="dxa"/>
          </w:tcPr>
          <w:p>
            <w:pPr>
              <w:jc w:val="center"/>
              <w:spacing w:before="10" w:after="10"/>
            </w:pPr>
            <w:r/>
            <w:r>
              <w:rPr>
                <w:rFonts w:ascii="Times New Roman" w:hAnsi="Times New Roman"/>
                <w:sz w:val="16"/>
              </w:rPr>
              <w:t>0.53</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35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-17</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0.38</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-41</w:t>
            </w:r>
          </w:p>
        </w:tc>
      </w:tr>
      <w:tr>
        <w:tc>
          <w:tcPr>
            <w:tcBorders>
              <w:bottom w:val="double" w:sz="4" w:space="0" w:color="auto"/>
            </w:tcBorders>
            <w:tcW w:w="1800" w:type="dxa"/>
          </w:tcPr>
          <w:p>
            <w:pPr>
              <w:jc w:val="left"/>
              <w:spacing w:before="10" w:after="10"/>
            </w:pPr>
            <w:r/>
            <w:r>
              <w:rPr>
                <w:rFonts w:ascii="Times New Roman" w:hAnsi="Times New Roman"/>
                <w:sz w:val="16"/>
              </w:rPr>
              <w:t>Kyrgyzstan</w:t>
            </w:r>
          </w:p>
        </w:tc>
        <w:tc>
          <w:tcPr>
            <w:tcBorders>
              <w:bottom w:val="double" w:sz="4" w:space="0" w:color="auto"/>
            </w:tcBorders>
            <w:tcW w:w="900" w:type="dxa"/>
          </w:tcPr>
          <w:p>
            <w:pPr>
              <w:jc w:val="center"/>
              <w:spacing w:before="10" w:after="10"/>
            </w:pPr>
            <w:r/>
            <w:r>
              <w:rPr>
                <w:rFonts w:ascii="Times New Roman" w:hAnsi="Times New Roman"/>
                <w:sz w:val="16"/>
              </w:rPr>
              <w:t>$1.42</w:t>
            </w:r>
          </w:p>
        </w:tc>
        <w:tc>
          <w:tcPr>
            <w:tcBorders>
              <w:bottom w:val="double" w:sz="4" w:space="0" w:color="auto"/>
            </w:tcBorders>
            <w:tcW w:w="540" w:type="dxa"/>
          </w:tcPr>
          <w:p>
            <w:pPr>
              <w:jc w:val="center"/>
              <w:spacing w:before="10" w:after="10"/>
            </w:pPr>
            <w:r/>
            <w:r>
              <w:rPr>
                <w:rFonts w:ascii="Times New Roman" w:hAnsi="Times New Roman"/>
                <w:sz w:val="16"/>
              </w:rPr>
              <w:t>4</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$1.42</w:t>
            </w:r>
          </w:p>
        </w:tc>
        <w:tc>
          <w:tcPr>
            <w:tcBorders>
              <w:bottom w:val="double" w:sz="4" w:space="0" w:color="auto"/>
            </w:tcBorders>
            <w:tcW w:w="540" w:type="dxa"/>
          </w:tcPr>
          <w:p>
            <w:pPr>
              <w:jc w:val="center"/>
              <w:spacing w:before="10" w:after="10"/>
            </w:pPr>
            <w:r/>
            <w:r>
              <w:rPr>
                <w:rFonts w:ascii="Times New Roman" w:hAnsi="Times New Roman"/>
                <w:sz w:val="16"/>
              </w:rPr>
              <w:t>1</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450" w:type="dxa"/>
          </w:tcPr>
          <w:p>
            <w:pPr>
              <w:jc w:val="center"/>
              <w:spacing w:before="10" w:after="10"/>
            </w:pPr>
            <w:r/>
            <w:r>
              <w:rPr>
                <w:rFonts w:ascii="Times New Roman" w:hAnsi="Times New Roman"/>
                <w:sz w:val="16"/>
              </w:rPr>
              <w:t>0.29</w:t>
            </w:r>
          </w:p>
        </w:tc>
        <w:tc>
          <w:tcPr>
            <w:tcBorders>
              <w:bottom w:val="double" w:sz="4" w:space="0" w:color="auto"/>
            </w:tcBorders>
            <w:tcW w:w="540" w:type="dxa"/>
          </w:tcPr>
          <w:p>
            <w:pPr>
              <w:jc w:val="center"/>
              <w:spacing w:before="10" w:after="10"/>
            </w:pPr>
            <w:r/>
            <w:r>
              <w:rPr>
                <w:rFonts w:ascii="Times New Roman" w:hAnsi="Times New Roman"/>
                <w:sz w:val="16"/>
              </w:rPr>
              <w:t>52</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b/>
                <w:sz w:val="16"/>
              </w:rPr>
              <w:t>52</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-48</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5" w:name="Eq2txt905"/>
      <w:hyperlink w:anchor="Eq2" w:history="1">
        <w:r>
          <w:rPr>
            <w:rFonts w:ascii="Times New Roman" w:hAnsi="Times New Roman"/>
            <w:sz w:val="20"/>
            <w:color w:val="1F3864"/>
            <w:u w:val="single"/>
          </w:rPr>
          <w:t xml:space="preserve">equation (2)</w:t>
        </w:r>
      </w:hyperlink>
      <w:bookmarkEnd w:id="905"/>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(4)/(5)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(6)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(7)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$1.44</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−10.0%</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−8.3%</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−8.2%</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−7.6%</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−7.5%</w:t>
            </w:r>
          </w:p>
        </w:tc>
      </w:tr>
      <w:tr>
        <w:tc>
          <w:tcPr>
            <w:tcW w:w="2000" w:type="dxa"/>
          </w:tcPr>
          <w:p>
            <w:pPr>
              <w:jc w:val="left"/>
              <w:spacing w:before="10" w:after="10"/>
            </w:pPr>
            <w:r/>
            <w:r>
              <w:rPr>
                <w:rFonts w:ascii="Times New Roman" w:hAnsi="Times New Roman"/>
                <w:sz w:val="16"/>
              </w:rPr>
              <w:t>USA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−6.7%</w:t>
            </w:r>
          </w:p>
        </w:tc>
      </w:tr>
      <w:tr>
        <w:tc>
          <w:tcPr>
            <w:tcW w:w="2000" w:type="dxa"/>
          </w:tcPr>
          <w:p>
            <w:pPr>
              <w:jc w:val="left"/>
              <w:spacing w:before="10" w:after="10"/>
            </w:pPr>
            <w:r/>
            <w:r>
              <w:rPr>
                <w:rFonts w:ascii="Times New Roman" w:hAnsi="Times New Roman"/>
                <w:sz w:val="16"/>
              </w:rPr>
              <w:t>Iceland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−6.5%</w:t>
            </w:r>
          </w:p>
        </w:tc>
      </w:tr>
      <w:tr>
        <w:tc>
          <w:tcPr>
            <w:tcW w:w="2000" w:type="dxa"/>
          </w:tcPr>
          <w:p>
            <w:pPr>
              <w:jc w:val="left"/>
              <w:spacing w:before="10" w:after="10"/>
            </w:pPr>
            <w:r/>
            <w:r>
              <w:rPr>
                <w:rFonts w:ascii="Times New Roman" w:hAnsi="Times New Roman"/>
                <w:sz w:val="16"/>
              </w:rPr>
              <w:t>Australia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−6.3%</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−6.3%</w:t>
            </w:r>
          </w:p>
        </w:tc>
      </w:tr>
      <w:tr>
        <w:tc>
          <w:tcPr>
            <w:tcW w:w="2000" w:type="dxa"/>
          </w:tcPr>
          <w:p>
            <w:pPr>
              <w:jc w:val="left"/>
              <w:spacing w:before="10" w:after="10"/>
            </w:pPr>
            <w:r/>
            <w:r>
              <w:rPr>
                <w:rFonts w:ascii="Times New Roman" w:hAnsi="Times New Roman"/>
                <w:sz w:val="16"/>
              </w:rPr>
              <w:t>New Zealand</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−6.2%</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UK</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−5.9%</w:t>
            </w:r>
          </w:p>
        </w:tc>
      </w:tr>
      <w:tr>
        <w:tc>
          <w:tcPr>
            <w:tcW w:w="2000" w:type="dxa"/>
          </w:tcPr>
          <w:p>
            <w:pPr>
              <w:jc w:val="left"/>
              <w:spacing w:before="10" w:after="10"/>
            </w:pPr>
            <w:r/>
            <w:r>
              <w:rPr>
                <w:rFonts w:ascii="Times New Roman" w:hAnsi="Times New Roman"/>
                <w:sz w:val="16"/>
              </w:rPr>
              <w:t>France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−5.8%</w:t>
            </w:r>
          </w:p>
        </w:tc>
      </w:tr>
      <w:tr>
        <w:tc>
          <w:tcPr>
            <w:tcW w:w="2000" w:type="dxa"/>
          </w:tcPr>
          <w:p>
            <w:pPr>
              <w:jc w:val="left"/>
              <w:spacing w:before="10" w:after="10"/>
            </w:pPr>
            <w:r/>
            <w:r>
              <w:rPr>
                <w:rFonts w:ascii="Times New Roman" w:hAnsi="Times New Roman"/>
                <w:sz w:val="16"/>
              </w:rPr>
              <w:t>Belgium</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W w:w="2000" w:type="dxa"/>
          </w:tcPr>
          <w:p>
            <w:pPr>
              <w:jc w:val="left"/>
              <w:spacing w:before="10" w:after="10"/>
            </w:pPr>
            <w:r/>
            <w:r>
              <w:rPr>
                <w:rFonts w:ascii="Times New Roman" w:hAnsi="Times New Roman"/>
                <w:sz w:val="16"/>
              </w:rPr>
              <w:t>UAE</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W w:w="2000" w:type="dxa"/>
          </w:tcPr>
          <w:p>
            <w:pPr>
              <w:jc w:val="left"/>
              <w:spacing w:before="10" w:after="10"/>
            </w:pPr>
            <w:r/>
            <w:r>
              <w:rPr>
                <w:rFonts w:ascii="Times New Roman" w:hAnsi="Times New Roman"/>
                <w:sz w:val="16"/>
              </w:rPr>
              <w:t>Portugal</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−5.1%</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−5.0%</w:t>
            </w:r>
          </w:p>
        </w:tc>
      </w:tr>
      <w:tr>
        <w:tc>
          <w:tcPr>
            <w:tcW w:w="2000" w:type="dxa"/>
          </w:tcPr>
          <w:p>
            <w:pPr>
              <w:jc w:val="left"/>
              <w:spacing w:before="10" w:after="10"/>
            </w:pPr>
            <w:r/>
            <w:r>
              <w:rPr>
                <w:rFonts w:ascii="Times New Roman" w:hAnsi="Times New Roman"/>
                <w:sz w:val="16"/>
              </w:rPr>
              <w:t>Latvia</w:t>
            </w:r>
          </w:p>
        </w:tc>
        <w:tc>
          <w:tcPr>
            <w:tcW w:w="1100" w:type="dxa"/>
          </w:tcPr>
          <w:p>
            <w:pPr>
              <w:jc w:val="center"/>
              <w:spacing w:before="10" w:after="10"/>
            </w:pPr>
            <w:r/>
            <w:r>
              <w:rPr>
                <w:rFonts w:ascii="Times New Roman" w:hAnsi="Times New Roman"/>
                <w:sz w:val="16"/>
              </w:rPr>
              <w:t>$1.53</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−4.8%</w:t>
            </w:r>
          </w:p>
        </w:tc>
      </w:tr>
      <w:tr>
        <w:tc>
          <w:tcPr>
            <w:tcW w:w="2000" w:type="dxa"/>
          </w:tcPr>
          <w:p>
            <w:pPr>
              <w:jc w:val="left"/>
              <w:spacing w:before="10" w:after="10"/>
            </w:pPr>
            <w:r/>
            <w:r>
              <w:rPr>
                <w:rFonts w:ascii="Times New Roman" w:hAnsi="Times New Roman"/>
                <w:sz w:val="16"/>
              </w:rPr>
              <w:t>Malta</w:t>
            </w:r>
          </w:p>
        </w:tc>
        <w:tc>
          <w:tcPr>
            <w:tcW w:w="1100" w:type="dxa"/>
          </w:tcPr>
          <w:p>
            <w:pPr>
              <w:jc w:val="center"/>
              <w:spacing w:before="10" w:after="10"/>
            </w:pPr>
            <w:r/>
            <w:r>
              <w:rPr>
                <w:rFonts w:ascii="Times New Roman" w:hAnsi="Times New Roman"/>
                <w:sz w:val="16"/>
              </w:rPr>
              <w:t>$1.53</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−4.6%</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$1.53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25</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−4.4%</w:t>
            </w:r>
          </w:p>
        </w:tc>
      </w:tr>
      <w:tr>
        <w:tc>
          <w:tcPr>
            <w:tcW w:w="2000" w:type="dxa"/>
          </w:tcPr>
          <w:p>
            <w:pPr>
              <w:jc w:val="left"/>
              <w:spacing w:before="10" w:after="10"/>
            </w:pPr>
            <w:r/>
            <w:r>
              <w:rPr>
                <w:rFonts w:ascii="Times New Roman" w:hAnsi="Times New Roman"/>
                <w:sz w:val="16"/>
              </w:rPr>
              <w:t>Georgia</w:t>
            </w:r>
          </w:p>
        </w:tc>
        <w:tc>
          <w:tcPr>
            <w:tcW w:w="1100" w:type="dxa"/>
          </w:tcPr>
          <w:p>
            <w:pPr>
              <w:jc w:val="center"/>
              <w:spacing w:before="10" w:after="10"/>
            </w:pPr>
            <w:r/>
            <w:r>
              <w:rPr>
                <w:rFonts w:ascii="Times New Roman" w:hAnsi="Times New Roman"/>
                <w:sz w:val="16"/>
              </w:rPr>
              <w:t>$1.54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30</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−3.8%</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$1.55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34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−3.5%</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$1.55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35</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−3.2%</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$1.57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44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−2.0%</w:t>
            </w:r>
          </w:p>
        </w:tc>
      </w:tr>
      <w:tr>
        <w:tc>
          <w:tcPr>
            <w:tcBorders>
              <w:bottom w:val="double" w:sz="4" w:space="0" w:color="auto"/>
            </w:tcBorders>
            <w:tcW w:w="2000" w:type="dxa"/>
          </w:tcPr>
          <w:p>
            <w:pPr>
              <w:jc w:val="left"/>
              <w:spacing w:before="10" w:after="10"/>
            </w:pPr>
            <w:r/>
            <w:r>
              <w:rPr>
                <w:rFonts w:ascii="Times New Roman" w:hAnsi="Times New Roman"/>
                <w:sz w:val="16"/>
              </w:rPr>
              <w:t>Kyrgyzstan</w:t>
            </w:r>
          </w:p>
        </w:tc>
        <w:tc>
          <w:tcPr>
            <w:tcBorders>
              <w:bottom w:val="double" w:sz="4" w:space="0" w:color="auto"/>
            </w:tcBorders>
            <w:tcW w:w="1100" w:type="dxa"/>
          </w:tcPr>
          <w:p>
            <w:pPr>
              <w:jc w:val="center"/>
              <w:spacing w:before="10" w:after="10"/>
            </w:pPr>
            <w:r/>
            <w:r>
              <w:rPr>
                <w:rFonts w:ascii="Times New Roman" w:hAnsi="Times New Roman"/>
                <w:sz w:val="16"/>
              </w:rPr>
              <w:t>$1.58</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52</w:t>
            </w:r>
          </w:p>
        </w:tc>
        <w:tc>
          <w:tcPr>
            <w:tcBorders>
              <w:bottom w:val="double" w:sz="4" w:space="0" w:color="auto"/>
            </w:tcBorders>
            <w:tcW w:w="900" w:type="dxa"/>
          </w:tcPr>
          <w:p>
            <w:pPr>
              <w:jc w:val="center"/>
              <w:spacing w:before="10" w:after="10"/>
            </w:pPr>
            <w:r/>
            <w:r>
              <w:rPr>
                <w:rFonts w:ascii="Times New Roman" w:hAnsi="Times New Roman"/>
                <w:sz w:val="16"/>
              </w:rPr>
              <w:t>EE†</w:t>
            </w:r>
          </w:p>
        </w:tc>
        <w:tc>
          <w:tcPr>
            <w:tcBorders>
              <w:bottom w:val="double" w:sz="4" w:space="0" w:color="auto"/>
            </w:tcBorders>
            <w:tcW w:w="1100" w:type="dxa"/>
          </w:tcPr>
          <w:p>
            <w:pPr>
              <w:jc w:val="center"/>
              <w:spacing w:before="10" w:after="10"/>
            </w:pPr>
            <w:r/>
            <w:r>
              <w:rPr>
                <w:rFonts w:ascii="Times New Roman" w:hAnsi="Times New Roman"/>
                <w:sz w:val="16"/>
              </w:rPr>
              <w:t>−1.2%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(7)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0.29</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0.38</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0.95</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0.71</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0.25</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0.39</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0.53</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0.45</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0.32</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0.63</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0.22</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0.57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0.92</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0.55</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0.53</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0.32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0.59</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0.42</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0.30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0.63</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0.80</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0.77</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0.85</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0.51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0.34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0.80</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0.70</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0.64</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0.77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0.59</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0.92</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0.55</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0.74</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0.96</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0.76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0.76</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0.73</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0.96</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0.92</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7" w:name="Eq4txt907"/>
      <w:hyperlink w:anchor="Eq4" w:history="1">
        <w:r>
          <w:rPr>
            <w:sz w:val="20"/>
            <w:color w:val="1F3864"/>
            <w:u w:val="single"/>
          </w:rPr>
          <w:t xml:space="preserve">equation (4)</w:t>
        </w:r>
      </w:hyperlink>
      <w:bookmarkEnd w:id="907"/>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0.38</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0.29</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0.59</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0.45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0.43</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0.39</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0.61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0.40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0.55</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0.42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0.32</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DD</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0.35</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-78</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0.25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0.32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0.34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450" w:type="dxa"/>
          </w:tcPr>
          <w:p>
            <w:pPr>
              <w:jc w:val="center"/>
              <w:spacing w:before="5" w:after="5"/>
            </w:pPr>
            <w:r/>
            <w:r>
              <w:rPr>
                <w:rFonts w:ascii="Times New Roman" w:hAnsi="Times New Roman"/>
                <w:sz w:val="14"/>
              </w:rPr>
              <w:t>0.30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DD</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$1.86</w:t>
            </w:r>
          </w:p>
        </w:tc>
        <w:tc>
          <w:tcPr>
            <w:tcBorders>
              <w:bottom w:val="double" w:sz="4" w:space="0" w:color="auto"/>
            </w:tcBorders>
            <w:tcW w:w="450" w:type="dxa"/>
          </w:tcPr>
          <w:p>
            <w:pPr>
              <w:jc w:val="center"/>
              <w:spacing w:before="5" w:after="5"/>
            </w:pPr>
            <w:r/>
            <w:r>
              <w:rPr>
                <w:rFonts w:ascii="Times New Roman" w:hAnsi="Times New Roman"/>
                <w:sz w:val="14"/>
              </w:rPr>
              <w:t>0.22</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$1.86</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DD</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8" w:name="Eq2txt908"/>
      <w:hyperlink w:anchor="Eq2" w:history="1">
        <w:r>
          <w:rPr>
            <w:sz w:val="20"/>
            <w:color w:val="1F3864"/>
            <w:u w:val="single"/>
          </w:rPr>
          <w:t xml:space="preserve">equation (2)</w:t>
        </w:r>
      </w:hyperlink>
      <w:bookmarkEnd w:id="908"/>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9" w:name="Eq1txt909"/>
      <w:hyperlink w:anchor="Eq1" w:history="1">
        <w:r>
          <w:rPr>
            <w:color w:val="1F3864"/>
            <w:u w:val="single"/>
          </w:rPr>
          <w:t xml:space="preserve">equation (1)</w:t>
        </w:r>
      </w:hyperlink>
      <w:bookmarkEnd w:id="909"/>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0" w:name="Eq4txt910"/>
      <w:hyperlink w:anchor="Eq4" w:history="1">
        <w:r>
          <w:rPr>
            <w:color w:val="1F3864"/>
            <w:u w:val="single"/>
          </w:rPr>
          <w:t xml:space="preserve">equation (4)</w:t>
        </w:r>
      </w:hyperlink>
      <w:bookmarkEnd w:id="910"/>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1" w:name="Eq2txt911"/>
      <w:hyperlink w:anchor="Eq2" w:history="1">
        <w:r>
          <w:rPr>
            <w:color w:val="1F3864"/>
            <w:u w:val="single"/>
          </w:rPr>
          <w:t xml:space="preserve">equation (2)</w:t>
        </w:r>
      </w:hyperlink>
      <w:bookmarkEnd w:id="911"/>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