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i w:val="0"/>
          <w:sz w:val="30"/>
        </w:rPr>
        <w:t>Cheap Energy Might Not Be Enough: A Trade Model of AI Compute Services</w:t>
      </w:r>
    </w:p>
    <w:p>
      <w:pPr>
        <w:spacing w:before="0" w:after="40"/>
        <w:jc w:val="center"/>
      </w:pPr>
      <w:r>
        <w:rPr>
          <w:rFonts w:ascii="Times New Roman" w:hAnsi="Times New Roman"/>
          <w:b w:val="0"/>
          <w:i w:val="0"/>
          <w:sz w:val="24"/>
        </w:rPr>
        <w:t>Michael Lokshin</w:t>
      </w:r>
    </w:p>
    <w:p>
      <w:pPr>
        <w:spacing w:before="0" w:after="40"/>
        <w:jc w:val="center"/>
      </w:pPr>
      <w:r>
        <w:rPr>
          <w:rFonts w:ascii="Times New Roman" w:hAnsi="Times New Roman"/>
          <w:b w:val="0"/>
          <w:i/>
          <w:sz w:val="22"/>
        </w:rPr>
        <w:t>World Bank, Washington, DC, USA</w:t>
      </w:r>
    </w:p>
    <w:p>
      <w:pPr>
        <w:spacing w:before="0" w:after="40"/>
        <w:jc w:val="center"/>
      </w:pPr>
      <w:r>
        <w:rPr>
          <w:rFonts w:ascii="Times New Roman" w:hAnsi="Times New Roman"/>
          <w:b w:val="0"/>
          <w:i w:val="0"/>
          <w:sz w:val="22"/>
        </w:rPr>
        <w:t>Corresponding author: mlokshin@worldbank.org</w:t>
      </w:r>
    </w:p>
    <w:p>
      <w:pPr>
        <w:spacing w:before="0" w:after="280"/>
        <w:jc w:val="center"/>
      </w:pPr>
      <w:r>
        <w:rPr>
          <w:rFonts w:ascii="Times New Roman" w:hAnsi="Times New Roman"/>
          <w:b w:val="0"/>
          <w:i w:val="0"/>
          <w:sz w:val="22"/>
        </w:rPr>
        <w:t>ORCiD: [TODO – insert ORCiD iD]</w:t>
      </w:r>
    </w:p>
    <w:p>
      <w:pPr>
        <w:spacing w:after="120"/>
        <w:jc w:val="both"/>
      </w:pPr>
      <w:r>
        <w:rPr>
          <w:rFonts w:ascii="Times New Roman" w:hAnsi="Times New Roman"/>
          <w:b/>
          <w:sz w:val="24"/>
        </w:rPr>
        <w:t xml:space="preserve">Abstract. </w:t>
      </w:r>
      <w:r>
        <w:rPr>
          <w:rFonts w:ascii="Times New Roman" w:hAnsi="Times New Roman"/>
          <w:sz w:val="24"/>
        </w:rPr>
        <w:t>Can energy-rich developing countries turn cheap electricity into AI compute exports? We develop a capacity-constrained trade model of AI compute services with bilateral frictions in delivery, regulation, and trust. Calibrating the model across 85 countries shows that several developing economies can produce compute at low cost, but this advantage rarely becomes export competitiveness. Hardware dominates unit costs and is globally priced, leaving only a 12–20 percent cross-country production-cost spread. Modest regulatory, financing, and trust frictions can therefore erase the gains from cheap power. The binding constraint is institutional credibility rather than electricity prices: enforceable data governance, stable regulation, credible power contracts, access to finance, and geopolitical alignment with buyers.</w:t>
      </w:r>
    </w:p>
    <w:p>
      <w:pPr>
        <w:spacing w:before="120" w:after="120"/>
      </w:pPr>
      <w:r>
        <w:rPr>
          <w:rFonts w:ascii="Times New Roman" w:hAnsi="Times New Roman"/>
          <w:b/>
          <w:sz w:val="24"/>
        </w:rPr>
        <w:t xml:space="preserve">Keywords: </w:t>
      </w:r>
      <w:r>
        <w:rPr>
          <w:rFonts w:ascii="Times New Roman" w:hAnsi="Times New Roman"/>
          <w:sz w:val="24"/>
        </w:rPr>
        <w:t>compute trade; FLOPs; artificial intelligence; data centers; comparative advantage; developing countries</w:t>
      </w:r>
    </w:p>
    <w:p>
      <w:pPr>
        <w:spacing w:before="120" w:after="120"/>
      </w:pPr>
      <w:r>
        <w:rPr>
          <w:rFonts w:ascii="Times New Roman" w:hAnsi="Times New Roman"/>
          <w:b/>
          <w:sz w:val="24"/>
        </w:rPr>
        <w:t xml:space="preserve">JEL classification: </w:t>
      </w:r>
      <w:r>
        <w:rPr>
          <w:rFonts w:ascii="Times New Roman" w:hAnsi="Times New Roman"/>
          <w:sz w:val="24"/>
        </w:rPr>
        <w:t>F14, F18, L86, O14, O33, Q40</w:t>
      </w:r>
    </w:p>
    <w:p>
      <w:pPr>
        <w:spacing w:before="120" w:after="120"/>
      </w:pPr>
      <w:r>
        <w:rPr>
          <w:rFonts w:ascii="Times New Roman" w:hAnsi="Times New Roman"/>
          <w:b/>
          <w:sz w:val="24"/>
        </w:rPr>
        <w:t xml:space="preserve">Article type: </w:t>
      </w:r>
      <w:r>
        <w:rPr>
          <w:rFonts w:ascii="Times New Roman" w:hAnsi="Times New Roman"/>
          <w:sz w:val="24"/>
        </w:rPr>
        <w:t>Original Article</w:t>
      </w:r>
    </w:p>
    <w:p>
      <w:pPr>
        <w:spacing w:before="120" w:after="120"/>
      </w:pPr>
      <w:r>
        <w:rPr>
          <w:rFonts w:ascii="Times New Roman" w:hAnsi="Times New Roman"/>
          <w:b/>
          <w:sz w:val="24"/>
        </w:rPr>
        <w:t xml:space="preserve">Word count: </w:t>
      </w:r>
      <w:r>
        <w:rPr>
          <w:rFonts w:ascii="Times New Roman" w:hAnsi="Times New Roman"/>
          <w:sz w:val="24"/>
        </w:rPr>
        <w:t>approximately 12,825 words (including tables, notes, and appendices).</w:t>
      </w:r>
    </w:p>
    <w:p>
      <w:pPr>
        <w:spacing w:before="280" w:after="120"/>
      </w:pPr>
      <w:r>
        <w:rPr>
          <w:rFonts w:ascii="Times New Roman" w:hAnsi="Times New Roman"/>
          <w:b/>
          <w:i w:val="0"/>
          <w:sz w:val="24"/>
        </w:rPr>
        <w:t>Statements and Declarations</w:t>
      </w:r>
    </w:p>
    <w:p>
      <w:pPr>
        <w:spacing w:before="120" w:after="120"/>
      </w:pPr>
      <w:r>
        <w:rPr>
          <w:rFonts w:ascii="Times New Roman" w:hAnsi="Times New Roman"/>
          <w:b/>
          <w:sz w:val="24"/>
        </w:rPr>
        <w:t xml:space="preserve">Acknowledgements. </w:t>
      </w:r>
      <w:r>
        <w:rPr>
          <w:rFonts w:ascii="Times New Roman" w:hAnsi="Times New Roman"/>
          <w:sz w:val="24"/>
        </w:rPr>
        <w:t>The author thanks Ivan Torre, Christine Ann McDaniel, and Erhan Artuc for constructive comments. The findings, interpretations, and conclusions are entirely those of the author and do not necessarily represent the views of the World Bank, its Executive Directors, or the countries they represent.</w:t>
      </w:r>
    </w:p>
    <w:p>
      <w:pPr>
        <w:spacing w:before="120" w:after="120"/>
      </w:pPr>
      <w:r>
        <w:rPr>
          <w:rFonts w:ascii="Times New Roman" w:hAnsi="Times New Roman"/>
          <w:b/>
          <w:sz w:val="24"/>
        </w:rPr>
        <w:t xml:space="preserve">Funding. </w:t>
      </w:r>
      <w:r>
        <w:rPr>
          <w:rFonts w:ascii="Times New Roman" w:hAnsi="Times New Roman"/>
          <w:sz w:val="24"/>
        </w:rPr>
        <w:t>This work received no external funding. It was prepared as part of the author’s research at the World Bank.</w:t>
      </w:r>
    </w:p>
    <w:p>
      <w:pPr>
        <w:spacing w:before="120" w:after="120"/>
      </w:pPr>
      <w:r>
        <w:rPr>
          <w:rFonts w:ascii="Times New Roman" w:hAnsi="Times New Roman"/>
          <w:b/>
          <w:sz w:val="24"/>
        </w:rPr>
        <w:t xml:space="preserve">Disclosure of interest. </w:t>
      </w:r>
      <w:r>
        <w:rPr>
          <w:rFonts w:ascii="Times New Roman" w:hAnsi="Times New Roman"/>
          <w:sz w:val="24"/>
        </w:rPr>
        <w:t>The author reports there are no competing interests to declare.</w:t>
      </w:r>
    </w:p>
    <w:p>
      <w:pPr>
        <w:spacing w:before="120" w:after="120"/>
      </w:pPr>
      <w:r>
        <w:rPr>
          <w:rFonts w:ascii="Times New Roman" w:hAnsi="Times New Roman"/>
          <w:b/>
          <w:sz w:val="24"/>
        </w:rPr>
        <w:t xml:space="preserve">Declaration of generative AI use. </w:t>
      </w:r>
      <w:r>
        <w:rPr>
          <w:rFonts w:ascii="Times New Roman" w:hAnsi="Times New Roman"/>
          <w:sz w:val="24"/>
        </w:rPr>
        <w:t>The author used generative AI tools to assist with text editing. The model, the analysis, and all conclusions are the author’s own.</w:t>
      </w:r>
    </w:p>
    <w:p>
      <w:pPr>
        <w:spacing w:before="120" w:after="120"/>
      </w:pPr>
      <w:r>
        <w:rPr>
          <w:rFonts w:ascii="Times New Roman" w:hAnsi="Times New Roman"/>
          <w:b/>
          <w:sz w:val="24"/>
        </w:rPr>
        <w:t xml:space="preserve">Data availability. </w:t>
      </w:r>
      <w:r>
        <w:rPr>
          <w:rFonts w:ascii="Times New Roman" w:hAnsi="Times New Roman"/>
          <w:sz w:val="24"/>
        </w:rPr>
        <w:t>The data and code that support the findings of this study are available in the World Bank Reproducible Research Repository (reproducibility report RR_EUR_2026_669). [TODO – insert the RRR DOI/URL once assigned.]</w:t>
      </w:r>
    </w:p>
    <w:p>
      <w:pPr>
        <w:spacing w:before="120" w:after="120"/>
      </w:pPr>
      <w:r>
        <w:rPr>
          <w:rFonts w:ascii="Times New Roman" w:hAnsi="Times New Roman"/>
          <w:b/>
          <w:sz w:val="24"/>
        </w:rPr>
        <w:t xml:space="preserve">CRediT author statement. </w:t>
      </w:r>
      <w:r>
        <w:rPr>
          <w:rFonts w:ascii="Times New Roman" w:hAnsi="Times New Roman"/>
          <w:sz w:val="24"/>
        </w:rPr>
        <w:t>Michael Lokshin: Conceptualization; Methodology; Formal analysis; Software; Data curation; Writing – original draft; Writing – review &amp; editing.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