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19:02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four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−1.3%</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6 countries become exporters, 4 of them developing economies: Ethiopia, Kosovo, Kyrgyzstan,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1.7%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1.7% of compute spending. The resolution lies in the hyperscaler FDI channel: when a trusted cloud provider operates the facility, the buyer’s sovereignty concern attaches to the operator, not the host country. Under this specification, four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0.3%</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2.3%</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2.8%</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3.1%</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3.9%</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3.9%</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