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r>
      <w:r>
        <w:rPr>
          <w:rFonts w:ascii="Times New Roman" w:hAnsi="Times New Roman"/>
          <w:b w:val="0"/>
          <w:sz w:val="32"/>
        </w:rPr>
        <w:t>A Trade Model of AI Compute Services</w:t>
      </w:r>
    </w:p>
    <w:p>
      <w:pPr>
        <w:spacing w:before="240" w:after="240" w:line="360" w:lineRule="auto"/>
        <w:ind w:firstLine="0"/>
        <w:jc w:val="center"/>
      </w:pPr>
      <w:r>
        <w:rPr>
          <w:i/>
        </w:rPr>
        <w:t>Michael Lokshin</w:t>
      </w:r>
      <w:r>
        <w:rPr>
          <w:rStyle w:val="FootnoteReference"/>
        </w:rPr>
        <w:footnoteReference w:id="1"/>
      </w:r>
    </w:p>
    <w:p>
      <w:pPr>
        <w:spacing w:before="40" w:after="240" w:line="360" w:lineRule="auto"/>
        <w:ind w:firstLine="0"/>
        <w:jc w:val="center"/>
      </w:pPr>
      <w:r>
        <w:rPr>
          <w:rFonts w:ascii="Times New Roman" w:hAnsi="Times New Roman"/>
          <w:color w:val="808080"/>
          <w:sz w:val="18"/>
        </w:rPr>
        <w:t>v34  —  June 25, 2026  14:53</w:t>
      </w:r>
    </w:p>
    <w:p>
      <w:pPr>
        <w:spacing w:before="240" w:after="0" w:line="240" w:lineRule="auto"/>
        <w:ind w:firstLine="0" w:left="720" w:right="720"/>
        <w:jc w:val="both"/>
      </w:pPr>
      <w:r>
        <w:rPr>
          <w:b/>
        </w:rPr>
        <w:t>Abstract</w:t>
      </w:r>
      <w:r>
        <w:t>: Can energy-rich developing countries convert cheap electricity into AI compute exports? We develop a capacity-constrained Ricardian model of compute trade in which training is globally tradable, but inference incurs a latency cost, and delivered prices carry a bilateral sovereignty premium. Calibrated across 85 countries, the model places several developing economies among the cheapest producers at unsubsidized prices, yet bilateral trust deficits between developing-country producers and OECD buyers eliminate nearly all exports. Globally priced hardware compresses the cross-country cost spread to 12–20 percent, making compute the easiest tradable sector to enter on cost grounds and the most sensitive to small policy frictions: the binding export constraint is institutional credibility, not the price of power. Credibility is priced twice, once in the sovereignty premium buyers charge and once in the cost of capital that locally financed operators pay. The levers that move these prices are financial and regulatory.</w:t>
      </w:r>
    </w:p>
    <w:p>
      <w:pPr>
        <w:spacing w:before="0" w:after="0" w:line="240" w:lineRule="auto"/>
        <w:ind w:firstLine="0"/>
        <w:jc w:val="both"/>
      </w:pPr>
    </w:p>
    <w:p>
      <w:pPr>
        <w:spacing w:before="0" w:after="0" w:line="240" w:lineRule="auto"/>
        <w:ind w:firstLine="0"/>
        <w:jc w:val="both"/>
      </w:pPr>
    </w:p>
    <w:p>
      <w:pPr>
        <w:spacing w:before="0" w:after="0" w:line="240" w:lineRule="auto"/>
        <w:ind w:firstLine="0"/>
        <w:jc w:val="both"/>
      </w:pPr>
    </w:p>
    <w:p>
      <w:pPr>
        <w:spacing w:before="0" w:after="160" w:line="240" w:lineRule="auto"/>
        <w:ind w:firstLine="0" w:left="720" w:right="720"/>
        <w:jc w:val="both"/>
      </w:pPr>
      <w:r>
        <w:rPr>
          <w:b/>
        </w:rPr>
        <w:t xml:space="preserve">JEL Classification: </w:t>
      </w:r>
      <w:r>
        <w:t>F14, F18, L86, O14, O33, Q40</w:t>
      </w:r>
    </w:p>
    <w:p>
      <w:pPr>
        <w:spacing w:before="4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line="360" w:lineRule="auto"/>
        <w:ind w:firstLine="0"/>
        <w:jc w:val="both"/>
      </w:pPr>
      <w:r>
        <w:t xml:space="preserve">The expansion of artificial intelligence drives the demand for computational resources. The compute used to train machine-learning models (ML) has doubled every six months since 2010 (</w:t>
      </w:r>
      <w:bookmarkStart w:id="200" w:name="SevillaEtAl2022txt"/>
      <w:hyperlink w:anchor="SevillaEtAl2022" w:history="1">
        <w:r>
          <w:rPr>
            <w:color w:val="1F3864"/>
            <w:u w:val="single"/>
          </w:rPr>
          <w:t xml:space="preserve">Sevilla et al. 2022</w:t>
        </w:r>
      </w:hyperlink>
      <w:bookmarkEnd w:id="200"/>
      <w:r>
        <w:t xml:space="preserve">). In 2024, data centers accounted for approximately 1.5 percent of global electricity demand, and that share is projected to exceed 3 percent by 2030 (</w:t>
      </w:r>
      <w:bookmarkStart w:id="244" w:name="IEA2025txt"/>
      <w:hyperlink w:anchor="IEA2025" w:history="1">
        <w:r>
          <w:rPr>
            <w:color w:val="1F3864"/>
            <w:u w:val="single"/>
          </w:rPr>
          <w:t xml:space="preserve">IEA 2025</w:t>
        </w:r>
      </w:hyperlink>
      <w:bookmarkEnd w:id="244"/>
      <w:r>
        <w:t xml:space="preserve">).</w:t>
      </w:r>
    </w:p>
    <w:p>
      <w:pPr>
        <w:spacing w:before="0" w:after="160" w:line="360" w:lineRule="auto"/>
        <w:ind w:firstLine="0"/>
        <w:jc w:val="both"/>
      </w:pPr>
      <w:r>
        <w:t xml:space="preserve">This surge in demand for compute creates an export opportunity. We refer to the production of compute services in one country for consumption in another as </w:t>
      </w:r>
      <w:r>
        <w:rPr>
          <w:i/>
        </w:rPr>
        <w:t>FLOP exporting</w:t>
      </w:r>
      <w:r>
        <w:t>, where FLOP denotes floating-point operations, the standard unit of computational work. Rather than exporting raw energy resources, countries can use cheap electricity to produce higher-value-added digital services. For resource-rich developing countries, FLOP exporting offers a route up the value chain.</w:t>
      </w:r>
    </w:p>
    <w:p>
      <w:pPr>
        <w:spacing w:before="0" w:after="160" w:line="360" w:lineRule="auto"/>
        <w:ind w:firstLine="0"/>
        <w:jc w:val="both"/>
      </w:pPr>
      <w:r>
        <w:t xml:space="preserve">Several megaprojects suggest that FLOP exporting is technically and commercially feasible. Armenia is deploying 50,000 GPUs as a part of a $4 billion investment (</w:t>
      </w:r>
      <w:bookmarkStart w:id="245" w:name="Firebird2026txt"/>
      <w:hyperlink w:anchor="Firebird2026" w:history="1">
        <w:r>
          <w:rPr>
            <w:color w:val="1F3864"/>
            <w:u w:val="single"/>
          </w:rPr>
          <w:t xml:space="preserve">Firebird 2026</w:t>
        </w:r>
      </w:hyperlink>
      <w:bookmarkEnd w:id="245"/>
      <w:r>
        <w:t xml:space="preserve">). Kenya, Saudi Arabia, and Malaysia have attracted billion-dollar investments in data centers. Google has committed $15 billion to India, and OpenAI has proposed a $25 billion “Stargate Argentina” complex (</w:t>
      </w:r>
      <w:bookmarkStart w:id="201" w:name="StraubEtAl2026txt"/>
      <w:hyperlink w:anchor="StraubEtAl2026" w:history="1">
        <w:r>
          <w:rPr>
            <w:color w:val="1F3864"/>
            <w:u w:val="single"/>
          </w:rPr>
          <w:t xml:space="preserve">Straub et al. 2026</w:t>
        </w:r>
      </w:hyperlink>
      <w:bookmarkEnd w:id="201"/>
      <w:r>
        <w:t xml:space="preserve">). Global data-center FDI reached over $310 billion in 2025 (</w:t>
      </w:r>
      <w:bookmarkStart w:id="246" w:name="AykutEtAl2026txt"/>
      <w:hyperlink w:anchor="AykutEtAl2026" w:history="1">
        <w:r>
          <w:rPr>
            <w:color w:val="1F3864"/>
            <w:u w:val="single"/>
          </w:rPr>
          <w:t xml:space="preserve">Aykut et al. 2026</w:t>
        </w:r>
      </w:hyperlink>
      <w:bookmarkEnd w:id="246"/>
      <w:r>
        <w:t xml:space="preserve">) and annual cloud computing exports exceed $9 billion (</w:t>
      </w:r>
      <w:bookmarkStart w:id="261" w:name="WorldBank2025txt"/>
      <w:hyperlink w:anchor="WorldBank2025" w:history="1">
        <w:r>
          <w:rPr>
            <w:color w:val="1F3864"/>
            <w:u w:val="single"/>
          </w:rPr>
          <w:t xml:space="preserve">World Bank 2025</w:t>
        </w:r>
      </w:hyperlink>
      <w:bookmarkEnd w:id="261"/>
      <w:r>
        <w:t xml:space="preserve">).</w:t>
      </w:r>
    </w:p>
    <w:p>
      <w:pPr>
        <w:spacing w:before="0" w:after="160" w:line="360" w:lineRule="auto"/>
        <w:ind w:firstLine="0"/>
        <w:jc w:val="both"/>
      </w:pPr>
      <w:r>
        <w:t xml:space="preserve">Yet cost advantage and investment remain weakly aligned. The cheapest potential producer in our calibration, Kyrgyzstan, has 5 MW of installed capacity and virtually no data-center FDI, while the largest recipients among developing economies (Malaysia, India, Brazil) sit in the middle of the cost ranking (</w:t>
      </w:r>
      <w:bookmarkStart w:id="202" w:name="AykutEtAl2026txt"/>
      <w:hyperlink w:anchor="AykutEtAl2026" w:history="1">
        <w:r>
          <w:rPr>
            <w:color w:val="1F3864"/>
            <w:u w:val="single"/>
          </w:rPr>
          <w:t xml:space="preserve">Aykut et al. 2026</w:t>
        </w:r>
      </w:hyperlink>
      <w:bookmarkEnd w:id="202"/>
      <w:r>
        <w:t xml:space="preserve">). Cheap electricity is not converting into compute exports. We ask why, and what would have to change.</w:t>
      </w:r>
    </w:p>
    <w:p>
      <w:pPr>
        <w:spacing w:before="0" w:after="160" w:line="360" w:lineRule="auto"/>
        <w:ind w:firstLine="0"/>
        <w:jc w:val="both"/>
      </w:pPr>
      <w:r>
        <w:t xml:space="preserve">Recent work examines compute governance and the geography of AI infrastructure (</w:t>
      </w:r>
      <w:bookmarkStart w:id="247" w:name="Sastry2024txt"/>
      <w:hyperlink w:anchor="Sastry2024" w:history="1">
        <w:r>
          <w:rPr>
            <w:color w:val="1F3864"/>
            <w:u w:val="single"/>
          </w:rPr>
          <w:t xml:space="preserve">Sastry et al. 2024</w:t>
        </w:r>
      </w:hyperlink>
      <w:bookmarkEnd w:id="247"/>
      <w:r>
        <w:t xml:space="preserve">, </w:t>
      </w:r>
      <w:bookmarkStart w:id="203" w:name="Lehdonvirta2024txt"/>
      <w:hyperlink w:anchor="Lehdonvirta2024" w:history="1">
        <w:r>
          <w:rPr>
            <w:color w:val="1F3864"/>
            <w:u w:val="single"/>
          </w:rPr>
          <w:t xml:space="preserve">Lehdonvirta et al. 2024</w:t>
        </w:r>
      </w:hyperlink>
      <w:bookmarkEnd w:id="203"/>
      <w:r>
        <w:t xml:space="preserve">, </w:t>
      </w:r>
      <w:bookmarkStart w:id="248" w:name="Pilz2025txt"/>
      <w:hyperlink w:anchor="Pilz2025" w:history="1">
        <w:r>
          <w:rPr>
            <w:color w:val="1F3864"/>
            <w:u w:val="single"/>
          </w:rPr>
          <w:t xml:space="preserve">Pilz et al. 2025</w:t>
        </w:r>
      </w:hyperlink>
      <w:bookmarkEnd w:id="248"/>
      <w:r>
        <w:t xml:space="preserve">), but no formal trade model of compute has been developed. This paper offers the first such model and makes three contributions. First, it develops a capacity-constrained Ricardian model of compute trade with an iceberg trade cost for latency degradation and a bilateral sovereignty premium for geopolitical frictions. Second, it calibrates the model across 85 countries, correcting for energy subsidies that distort headline cost rankings. Third, it characterizes the resulting trade regimes and quantifies the welfare cost of sovereignty premia.</w:t>
      </w:r>
    </w:p>
    <w:p>
      <w:pPr>
        <w:spacing w:before="0" w:after="160" w:line="360" w:lineRule="auto"/>
        <w:ind w:firstLine="0"/>
        <w:jc w:val="both"/>
      </w:pPr>
      <w:r>
        <w:t xml:space="preserve">Cheap power and favorable cooling conditions are not sufficient to generate compute exports. Hardware amortization is about 90 percent of unit cost and priced globally, so the cross-country cost spread is only 12–20 percent, narrow enough for institutional frictions to overturn. Several developing countries rank among the cheapest producers under cost-recovery pricing. But once bilateral sovereignty frictions are added, trust deficits with OECD buyers eliminate nearly all of their exports. The cost of capital does the rest. A 10-percentage-point WACC gap between OECD hyperscalers (8 percent) and locally financed developing-country operators (18 percent) adds about $0.29/GPU-hour to unit cost. That is roughly four times the electricity-cost spread across the top twenty producers (</w:t>
      </w:r>
      <w:bookmarkStart w:id="204" w:name="Calcaterra2024txt"/>
      <w:hyperlink w:anchor="Calcaterra2024" w:history="1">
        <w:r>
          <w:rPr>
            <w:color w:val="1F3864"/>
            <w:u w:val="single"/>
          </w:rPr>
          <w:t xml:space="preserve">Calcaterra et al. 2024</w:t>
        </w:r>
      </w:hyperlink>
      <w:bookmarkEnd w:id="204"/>
      <w:r>
        <w:t xml:space="preserve">). Both frictions reflect the same underlying constraint: institutional credibility.</w:t>
      </w:r>
    </w:p>
    <w:p>
      <w:pPr>
        <w:pStyle w:val="Heading1"/>
      </w:pPr>
      <w:r>
        <w:rPr>
          <w:rFonts w:ascii="Times New Roman" w:hAnsi="Times New Roman"/>
          <w:b/>
          <w:color w:val="2F5496"/>
          <w:sz w:val="28"/>
        </w:rPr>
        <w:t>2. Related Literature</w:t>
      </w:r>
    </w:p>
    <w:p>
      <w:pPr>
        <w:spacing w:before="0" w:after="160" w:line="360" w:lineRule="auto"/>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data and human capital; our model shows that compute production depends instead on electricity costs and climate, so resource-rich countries could export compute without domestic AI industries. </w:t>
      </w:r>
      <w:bookmarkStart w:id="249" w:name="Korinek2021txt"/>
      <w:hyperlink w:anchor="Korinek2021" w:history="1">
        <w:r>
          <w:rPr>
            <w:color w:val="1F3864"/>
            <w:u w:val="single"/>
          </w:rPr>
          <w:t xml:space="preserve">Korinek and Stiglitz (2021)</w:t>
        </w:r>
      </w:hyperlink>
      <w:bookmarkEnd w:id="249"/>
      <w:r>
        <w:t xml:space="preserve"> warn that developing countries may be left behind in the AI revolution; FLOP exporting offers a route in. The concept relates to </w:t>
      </w:r>
      <w:bookmarkStart w:id="268" w:name="Hausmann2007txt"/>
      <w:hyperlink w:anchor="Hausmann2007" w:history="1">
        <w:r>
          <w:rPr>
            <w:color w:val="1F3864"/>
            <w:u w:val="single"/>
          </w:rPr>
          <w:t xml:space="preserve">Hausmann et al. (2007)</w:t>
        </w:r>
      </w:hyperlink>
      <w:bookmarkEnd w:id="268"/>
      <w:r>
        <w:t xml:space="preserve"> on export composition and growth, and to </w:t>
      </w:r>
      <w:bookmarkStart w:id="262" w:name="Limao2001txt"/>
      <w:hyperlink w:anchor="Limao2001" w:history="1">
        <w:r>
          <w:rPr>
            <w:color w:val="1F3864"/>
            <w:u w:val="single"/>
          </w:rPr>
          <w:t xml:space="preserve">Limão and Venables (2001)</w:t>
        </w:r>
      </w:hyperlink>
      <w:bookmarkEnd w:id="262"/>
      <w:r>
        <w:t xml:space="preserve"> on infrastructure as a determinant of trade costs. In our setting, network latency plays an analogous role.</w:t>
      </w:r>
    </w:p>
    <w:p>
      <w:pPr>
        <w:spacing w:before="0" w:after="160" w:line="360" w:lineRule="auto"/>
        <w:ind w:firstLine="0"/>
        <w:jc w:val="both"/>
      </w:pPr>
      <w:r>
        <w:t xml:space="preserve">The closest precedent to our model is IT services offshoring, which is labor-intensive and skill-biased (</w:t>
      </w:r>
      <w:bookmarkStart w:id="206" w:name="Blinder2006txt"/>
      <w:hyperlink w:anchor="Blinder2006" w:history="1">
        <w:r>
          <w:rPr>
            <w:color w:val="1F3864"/>
            <w:u w:val="single"/>
          </w:rPr>
          <w:t xml:space="preserve">Blinder 2006</w:t>
        </w:r>
      </w:hyperlink>
      <w:bookmarkEnd w:id="206"/>
      <w:r>
        <w:t xml:space="preserve">). FLOP exporting is capital- and energy-intensive, so the likely exporters are energy-rich rather than labor-abundant countries. A more important difference is structural. Because the key traded input (GPUs) is globally priced, cross-country cost variation comes entirely from energy and facilities, which together account for a small share of unit cost. Comparative advantage in compute is therefore narrower and more fragile than in services offshoring, where factor-price gaps are large.</w:t>
      </w:r>
    </w:p>
    <w:p>
      <w:pPr>
        <w:spacing w:before="0" w:after="160" w:line="360" w:lineRule="auto"/>
        <w:ind w:firstLine="0"/>
        <w:jc w:val="both"/>
      </w:pPr>
      <w:r>
        <w:t xml:space="preserve">Several studies examine where firms should build data centers.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bookmarkStart w:id="263" w:name="Liu2023txt"/>
      <w:hyperlink w:anchor="Liu2023" w:history="1">
        <w:r>
          <w:rPr>
            <w:color w:val="1F3864"/>
            <w:u w:val="single"/>
          </w:rPr>
          <w:t xml:space="preserve">Liu et al. (2023)</w:t>
        </w:r>
      </w:hyperlink>
      <w:bookmarkEnd w:id="263"/>
      <w:r>
        <w:t xml:space="preserve"> study data center placement under renewable energy constraints. In international trade theory, </w:t>
      </w:r>
      <w:bookmarkStart w:id="269" w:name="Brainard1997txt"/>
      <w:hyperlink w:anchor="Brainard1997" w:history="1">
        <w:r>
          <w:rPr>
            <w:color w:val="1F3864"/>
            <w:u w:val="single"/>
          </w:rPr>
          <w:t xml:space="preserve">Brainard (1997)</w:t>
        </w:r>
      </w:hyperlink>
      <w:bookmarkEnd w:id="269"/>
      <w:r>
        <w:t xml:space="preserve"> formalizes the proximity-concentration trade-off between serving a market locally and concentrating production abroad. </w:t>
      </w:r>
      <w:bookmarkStart w:id="250" w:name="HMY2004txt"/>
      <w:hyperlink w:anchor="HMY2004" w:history="1">
        <w:r>
          <w:rPr>
            <w:color w:val="1F3864"/>
            <w:u w:val="single"/>
          </w:rPr>
          <w:t xml:space="preserve">Helpman et al. (2004)</w:t>
        </w:r>
      </w:hyperlink>
      <w:bookmarkEnd w:id="250"/>
      <w:r>
        <w:t xml:space="preserve"> extend this to heterogeneous firms choosing between exporting and FDI.</w:t>
      </w:r>
    </w:p>
    <w:p>
      <w:pPr>
        <w:spacing w:before="0" w:after="160" w:line="360" w:lineRule="auto"/>
        <w:ind w:firstLine="0"/>
        <w:jc w:val="both"/>
      </w:pPr>
      <w:r>
        <w:t xml:space="preserve">On governance, </w:t>
      </w:r>
      <w:bookmarkStart w:id="251" w:name="Sastry2024txt"/>
      <w:hyperlink w:anchor="Sastry2024" w:history="1">
        <w:r>
          <w:rPr>
            <w:color w:val="1F3864"/>
            <w:u w:val="single"/>
          </w:rPr>
          <w:t xml:space="preserve">Sastry et al. (2024)</w:t>
        </w:r>
      </w:hyperlink>
      <w:bookmarkEnd w:id="251"/>
      <w:r>
        <w:t xml:space="preserve"> argue that compute is well-suited for regulation. </w:t>
      </w:r>
      <w:bookmarkStart w:id="208" w:name="Lehdonvirta2024txt"/>
      <w:hyperlink w:anchor="Lehdonvirta2024" w:history="1">
        <w:r>
          <w:rPr>
            <w:color w:val="1F3864"/>
            <w:u w:val="single"/>
          </w:rPr>
          <w:t xml:space="preserve">Lehdonvirta et al. (2024)</w:t>
        </w:r>
      </w:hyperlink>
      <w:bookmarkEnd w:id="208"/>
      <w:r>
        <w:t xml:space="preserve"> map a “Compute North” with training-capable hardware versus a “Compute South” limited to inference chips. </w:t>
      </w:r>
      <w:bookmarkStart w:id="264" w:name="Pilz2025txt"/>
      <w:hyperlink w:anchor="Pilz2025" w:history="1">
        <w:r>
          <w:rPr>
            <w:color w:val="1F3864"/>
            <w:u w:val="single"/>
          </w:rPr>
          <w:t xml:space="preserve">Pilz et al. (2025)</w:t>
        </w:r>
      </w:hyperlink>
      <w:bookmarkEnd w:id="264"/>
      <w:r>
        <w:t xml:space="preserve"> project that data center power demand could reach 327 GW by 2030. The </w:t>
      </w:r>
      <w:bookmarkStart w:id="270" w:name="WorldBank2025txt"/>
      <w:hyperlink w:anchor="WorldBank2025" w:history="1">
        <w:r>
          <w:rPr>
            <w:color w:val="1F3864"/>
            <w:u w:val="single"/>
          </w:rPr>
          <w:t xml:space="preserve">World Bank (2025)</w:t>
        </w:r>
      </w:hyperlink>
      <w:bookmarkEnd w:id="270"/>
      <w:r>
        <w:t xml:space="preserve"> documents the resulting divide (high-income countries hold 77 percent of colocation capacity), but does not offer a formal framework linking costs to trade patterns. </w:t>
      </w:r>
      <w:bookmarkStart w:id="252" w:name="Biglaiser2024txt"/>
      <w:hyperlink w:anchor="Biglaiser2024" w:history="1">
        <w:r>
          <w:rPr>
            <w:color w:val="1F3864"/>
            <w:u w:val="single"/>
          </w:rPr>
          <w:t xml:space="preserve">Biglaiser et al. (2024)</w:t>
        </w:r>
      </w:hyperlink>
      <w:bookmarkEnd w:id="252"/>
      <w:r>
        <w:t xml:space="preserve"> survey cloud market IO, and </w:t>
      </w:r>
      <w:bookmarkStart w:id="265" w:name="Stojkoski2024txt"/>
      <w:hyperlink w:anchor="Stojkoski2024" w:history="1">
        <w:r>
          <w:rPr>
            <w:color w:val="1F3864"/>
            <w:u w:val="single"/>
          </w:rPr>
          <w:t xml:space="preserve">Stojkoski et al. (2024)</w:t>
        </w:r>
      </w:hyperlink>
      <w:bookmarkEnd w:id="265"/>
      <w:r>
        <w:t xml:space="preserve"> estimate cloud export geography but treat services as homogeneous. Our model adds supply-side cost structure and a training–inference distinction.</w:t>
      </w:r>
    </w:p>
    <w:p>
      <w:pPr>
        <w:pStyle w:val="Heading1"/>
      </w:pPr>
      <w:r>
        <w:rPr>
          <w:rFonts w:ascii="Times New Roman" w:hAnsi="Times New Roman"/>
          <w:b/>
          <w:color w:val="2F5496"/>
          <w:sz w:val="28"/>
        </w:rPr>
        <w:t>3. Model of Compute Production and Trade</w:t>
      </w:r>
    </w:p>
    <w:p>
      <w:pPr>
        <w:pStyle w:val="Heading2"/>
      </w:pPr>
      <w:r>
        <w:rPr>
          <w:rFonts w:ascii="Times New Roman" w:hAnsi="Times New Roman"/>
          <w:b w:val="0"/>
          <w:i/>
          <w:color w:val="2F5496"/>
          <w:sz w:val="24"/>
        </w:rPr>
        <w:t>3.1 Production Technology and Cost Structure</w:t>
      </w:r>
    </w:p>
    <w:p>
      <w:pPr>
        <w:spacing w:before="0" w:after="160" w:line="360" w:lineRule="auto"/>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80" w:line="360" w:lineRule="auto"/>
        <w:ind w:firstLine="0"/>
        <w:jc w:val="both"/>
      </w:pPr>
      <w:r>
        <w:t xml:space="preserve">A data center consumes electricity for its Graphics Processing Units (GPUs),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720" w:type="dxa"/>
            <w:vAlign w:val="center"/>
          </w:tcPr>
          <w:p>
            <w:pPr>
              <w:jc w:val="right"/>
              <w:spacing w:before="60" w:after="60"/>
            </w:pPr>
            <w:bookmarkStart w:id="801" w:name="Eq1"/>
            <w:r>
              <w:t>(1)</w:t>
            </w:r>
            <w:bookmarkEnd w:id="801"/>
          </w:p>
        </w:tc>
      </w:tr>
    </w:tbl>
    <w:p>
      <w:pPr>
        <w:spacing w:before="80" w:after="40" w:line="360" w:lineRule="auto"/>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per-GPU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 per-watt cost × 700 W)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 The PUE function captures temperature-dependent cooling overhead:</w:t>
      </w:r>
    </w:p>
    <w:p>
      <w:pPr>
        <w:spacing w:before="0" w:after="160" w:line="360" w:lineRule="auto"/>
        <w:ind w:firstLine="0"/>
        <w:jc w:val="both"/>
      </w:pPr>
      <m:oMathPara>
        <m:oMath>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φ</m:t>
          </m:r>
          <m:r>
            <m:rPr>
              <m:sty m:val="p"/>
            </m:rPr>
            <w:rPr>
              <w:rFonts w:ascii="Cambria Math" w:hAnsi="Cambria Math"/>
            </w:rPr>
            <m:t xml:space="preserve"> + </m:t>
          </m:r>
          <m:r>
            <m:rPr>
              <m:sty m:val="i"/>
            </m:rPr>
            <w:rPr>
              <w:rFonts w:ascii="Cambria Math" w:hAnsi="Cambria Math"/>
            </w:rPr>
            <m:t xml:space="preserve">δ</m:t>
          </m:r>
          <m:r>
            <m:rPr>
              <m:sty m:val="p"/>
            </m:rPr>
            <w:rPr>
              <w:rFonts w:ascii="Cambria Math" w:hAnsi="Cambria Math"/>
            </w:rPr>
            <m:t xml:space="preserve"> · max(0, </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bar>
            <m:barPr>
              <m:pos m:val="top"/>
            </m:barPr>
            <m:e>
              <m:r>
                <m:rPr>
                  <m:sty m:val="i"/>
                </m:rPr>
                <w:rPr>
                  <w:rFonts w:ascii="Cambria Math" w:hAnsi="Cambria Math"/>
                </w:rPr>
                <m:t xml:space="preserve">θ</m:t>
              </m:r>
            </m:e>
          </m:bar>
          <m:r>
            <m:rPr>
              <m:sty m:val="p"/>
            </m:rPr>
            <w:rPr>
              <w:rFonts w:ascii="Cambria Math" w:hAnsi="Cambria Math"/>
            </w:rPr>
            <m:t xml:space="preserve">),</m:t>
          </m:r>
        </m:oMath>
      </m:oMathPara>
      <w:r>
        <w:t xml:space="preserve"> where </w:t>
      </w:r>
      <m:oMath>
        <m:r>
          <m:rPr>
            <m:sty m:val="i"/>
          </m:rPr>
          <w:rPr>
            <w:rFonts w:ascii="Cambria Math" w:hAnsi="Cambria Math"/>
          </w:rPr>
          <m:t xml:space="preserve">φ</m:t>
        </m:r>
      </m:oMath>
      <w:r>
        <w:t xml:space="preserve"> is the base PUE at or below the free-cooling threshold </w:t>
      </w:r>
      <m:oMath>
        <m:bar>
          <m:barPr>
            <m:pos m:val="top"/>
          </m:barPr>
          <m:e>
            <m:r>
              <m:rPr>
                <m:sty m:val="i"/>
              </m:rPr>
              <w:rPr>
                <w:rFonts w:ascii="Cambria Math" w:hAnsi="Cambria Math"/>
              </w:rPr>
              <m:t xml:space="preserve">θ</m:t>
            </m:r>
          </m:e>
        </m:bar>
      </m:oMath>
      <w:r>
        <w:t xml:space="preserve">, </w:t>
      </w:r>
      <m:oMath>
        <m:r>
          <m:rPr>
            <m:sty m:val="i"/>
          </m:rPr>
          <w:rPr>
            <w:rFonts w:ascii="Cambria Math" w:hAnsi="Cambria Math"/>
          </w:rPr>
          <m:t xml:space="preserve">δ</m:t>
        </m:r>
      </m:oMath>
      <w:r>
        <w:t xml:space="preserve"> is the marginal PUE penalty per °C above </w:t>
      </w:r>
      <m:oMath>
        <m:bar>
          <m:barPr>
            <m:pos m:val="top"/>
          </m:barPr>
          <m:e>
            <m:r>
              <m:rPr>
                <m:sty m:val="i"/>
              </m:rPr>
              <w:rPr>
                <w:rFonts w:ascii="Cambria Math" w:hAnsi="Cambria Math"/>
              </w:rPr>
              <m:t xml:space="preserve">θ</m:t>
            </m:r>
          </m:e>
        </m:bar>
      </m:oMath>
      <w:r>
        <w:t xml:space="preserve">, and </w:t>
      </w:r>
      <m:oMath>
        <m:sSub>
          <m:sSubPr/>
          <m:e>
            <m:r>
              <m:rPr>
                <m:sty m:val="i"/>
              </m:rPr>
              <w:rPr>
                <w:rFonts w:ascii="Cambria Math" w:hAnsi="Cambria Math"/>
              </w:rPr>
              <m:t xml:space="preserve">θ</m:t>
            </m:r>
          </m:e>
          <m:sub>
            <m:r>
              <m:rPr>
                <m:sty m:val="i"/>
              </m:rPr>
              <w:rPr>
                <w:rFonts w:ascii="Cambria Math" w:hAnsi="Cambria Math"/>
              </w:rPr>
              <m:t xml:space="preserve">j</m:t>
            </m:r>
          </m:sub>
        </m:sSub>
      </m:oMath>
      <w:r>
        <w:t xml:space="preserve"> is country j’s peak summer temperature.</w:t>
      </w:r>
    </w:p>
    <w:p>
      <w:pPr>
        <w:spacing w:before="0" w:after="160" w:line="360" w:lineRule="auto"/>
        <w:ind w:firstLine="0"/>
        <w:jc w:val="both"/>
      </w:pPr>
      <w:r>
        <w:t xml:space="preserve">The cost structure is Ricardian: countries differ in production costs because they differ in technology and input prices. The intuition for resource-rich comparative advantage, however, is closer to Heckscher–Ohlin with countries exporting goods intensive in their abundant factors (</w:t>
      </w:r>
      <w:bookmarkStart w:id="209" w:name="Heckscher1919txt"/>
      <w:hyperlink w:anchor="Heckscher1919" w:history="1">
        <w:r>
          <w:rPr>
            <w:color w:val="1F3864"/>
            <w:u w:val="single"/>
          </w:rPr>
          <w:t xml:space="preserve">Heckscher 1919</w:t>
        </w:r>
      </w:hyperlink>
      <w:bookmarkEnd w:id="209"/>
      <w:r>
        <w:t xml:space="preserve">, </w:t>
      </w:r>
      <w:bookmarkStart w:id="253" w:name="Ohlin1933txt"/>
      <w:hyperlink w:anchor="Ohlin1933" w:history="1">
        <w:r>
          <w:rPr>
            <w:color w:val="1F3864"/>
            <w:u w:val="single"/>
          </w:rPr>
          <w:t xml:space="preserve">Ohlin 1933</w:t>
        </w:r>
      </w:hyperlink>
      <w:bookmarkEnd w:id="253"/>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line="360" w:lineRule="auto"/>
        <w:ind w:firstLine="0"/>
        <w:jc w:val="both"/>
      </w:pPr>
      <w:r>
        <w:t xml:space="preserve">Countries produce and trade two types of compute services that differ in their offshoring costs. </w:t>
      </w:r>
      <w:r>
        <w:rPr>
          <w:i/>
        </w:rPr>
        <w:t>Training services</w:t>
      </w:r>
      <w:r>
        <w:t xml:space="preserve"> (denoted T) include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rPr>
          <w:i/>
        </w:rP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the seller country </w:t>
      </w:r>
      <m:oMath>
        <m:r>
          <m:rPr>
            <m:sty m:val="i"/>
          </m:rPr>
          <w:rPr>
            <w:rFonts w:ascii="Cambria Math" w:hAnsi="Cambria Math"/>
          </w:rPr>
          <m:t xml:space="preserve">j</m:t>
        </m:r>
      </m:oMath>
      <w:r>
        <w:t xml:space="preserve"> to buyer country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40" w:line="360" w:lineRule="auto"/>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country </w:t>
      </w:r>
      <m:oMath>
        <m:r>
          <m:rPr>
            <m:sty m:val="i"/>
          </m:rPr>
          <w:rPr>
            <w:rFonts w:ascii="Cambria Math" w:hAnsi="Cambria Math"/>
          </w:rPr>
          <m:t xml:space="preserve">i</m:t>
        </m:r>
      </m:oMath>
      <w:r>
        <w:t xml:space="preserve"> by buyer country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from the UN General Assembly ideal-point distance (</w:t>
      </w:r>
      <w:bookmarkStart w:id="210" w:name="BaileyEtAl2017txt"/>
      <w:hyperlink w:anchor="BaileyEtAl2017" w:history="1">
        <w:r>
          <w:rPr>
            <w:color w:val="1F3864"/>
            <w:u w:val="single"/>
          </w:rPr>
          <w:t xml:space="preserve">Bailey, Strezhnev, and Voeten 2017</w:t>
        </w:r>
      </w:hyperlink>
      <w:bookmarkEnd w:id="210"/>
      <w:r>
        <w:t xml:space="preserve">) and normalized so that </w:t>
      </w:r>
      <m:oMath>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[0, 1]</m:t>
        </m:r>
      </m:oMath>
      <w:r>
        <w:t xml:space="preserve">, with 0 denoting perfect alignment;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coded as 1 for country pairs covered by a mutual data adequacy agreement and 0 otherwise. Pairs under comprehensive trade sanctions (</w:t>
      </w:r>
      <m:oMath>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 = 1</m:t>
        </m:r>
      </m:oMath>
      <w:r>
        <w:t xml:space="preserve">) are treated separately as a corner case: trade is prohibited by assumption, so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For all other (non-sanctioned) pairs, the bilateral premium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r>
                <m:rPr>
                  <m:sty m:val="p"/>
                </m:rPr>
                <w:rPr>
                  <w:rFonts w:ascii="Cambria Math" w:hAnsi="Cambria Math"/>
                </w:rPr>
                <m:t xml:space="preserve">∞ if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 = 1; </m:t>
              </m:r>
              <m:sSub>
                <m:sSubPr/>
                <m:e>
                  <m:r>
                    <m:rPr>
                      <m:sty m:val="i"/>
                    </m:rPr>
                    <w:rPr>
                      <w:rFonts w:ascii="Cambria Math" w:hAnsi="Cambria Math"/>
                    </w:rPr>
                    <m:t xml:space="preserve">w</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w</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otherwise}.</m:t>
              </m:r>
            </m:oMath>
          </w:p>
        </w:tc>
        <w:tc>
          <w:tcPr>
            <w:tcW w:w="720" w:type="dxa"/>
            <w:vAlign w:val="center"/>
          </w:tcPr>
          <w:p>
            <w:pPr>
              <w:jc w:val="right"/>
              <w:spacing w:before="60" w:after="60"/>
            </w:pPr>
            <w:bookmarkStart w:id="802" w:name="Eq2"/>
            <w:r>
              <w:t>(2)</w:t>
            </w:r>
            <w:bookmarkEnd w:id="802"/>
          </w:p>
        </w:tc>
      </w:tr>
    </w:tbl>
    <w:p>
      <w:pPr>
        <w:spacing w:before="80" w:after="160" w:line="360" w:lineRule="auto"/>
        <w:ind w:firstLine="0"/>
        <w:jc w:val="both"/>
      </w:pPr>
      <w:r>
        <w:t xml:space="preserve">Two established bodies of literature motivate this functional form. The multiplicative wedge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xml:space="preserve"> on delivered cost is the standard representation of ad valorem bilateral trade frictions in the gravity literature (</w:t>
      </w:r>
      <w:bookmarkStart w:id="211" w:name="AndersonVanWincoop2003txt"/>
      <w:hyperlink w:anchor="AndersonVanWincoop2003" w:history="1">
        <w:r>
          <w:rPr>
            <w:color w:val="1F3864"/>
            <w:u w:val="single"/>
          </w:rPr>
          <w:t xml:space="preserve">Anderson and van Wincoop 2003</w:t>
        </w:r>
      </w:hyperlink>
      <w:bookmarkEnd w:id="211"/>
      <w:r>
        <w:t xml:space="preserve">), where pair-specific wedges capture border effects, policy barriers, and non-tariff measures that raise the price paid by buyer </w:t>
      </w:r>
      <m:oMath>
        <m:r>
          <m:rPr>
            <m:sty m:val="i"/>
          </m:rPr>
          <w:rPr>
            <w:rFonts w:ascii="Cambria Math" w:hAnsi="Cambria Math"/>
          </w:rPr>
          <m:t xml:space="preserve">j</m:t>
        </m:r>
      </m:oMath>
      <w:r>
        <w:t xml:space="preserve"> for seller </w:t>
      </w:r>
      <m:oMath>
        <m:r>
          <m:rPr>
            <m:sty m:val="i"/>
          </m:rPr>
          <w:rPr>
            <w:rFonts w:ascii="Cambria Math" w:hAnsi="Cambria Math"/>
          </w:rPr>
          <m:t xml:space="preserve">i</m:t>
        </m:r>
      </m:oMath>
      <w:r>
        <w:t xml:space="preserve">’s services above the seller’s own cost. The linear additive structure of the two components </w:t>
      </w:r>
      <m:oMath>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and </m:t>
        </m:r>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treats geopolitical, regulatory, and sanctions frictions as separable contributions to the wedge, consistent with the iceberg-equivalent decomposition of services trade costs in </w:t>
      </w:r>
      <w:bookmarkStart w:id="212" w:name="BenzJaax2020txt"/>
      <w:hyperlink w:anchor="BenzJaax2020" w:history="1">
        <w:r>
          <w:rPr>
            <w:color w:val="1F3864"/>
            <w:u w:val="single"/>
          </w:rPr>
          <w:t xml:space="preserve">Benz and Jaax (2020)</w:t>
        </w:r>
      </w:hyperlink>
      <w:bookmarkEnd w:id="212"/>
      <w:r>
        <w:t xml:space="preserve">.</w:t>
      </w:r>
    </w:p>
    <w:p>
      <w:pPr>
        <w:spacing w:before="0" w:after="80" w:line="360" w:lineRule="auto"/>
        <w:ind w:firstLine="0"/>
        <w:jc w:val="both"/>
      </w:pPr>
      <w:r>
        <w:t xml:space="preserve">The wedge dependence on bilateral institutional alignment follows from the incomplete-contracts theory (</w:t>
      </w:r>
      <w:bookmarkStart w:id="213" w:name="AndersonMarcouiller2002txt"/>
      <w:hyperlink w:anchor="AndersonMarcouiller2002" w:history="1">
        <w:r>
          <w:rPr>
            <w:color w:val="1F3864"/>
            <w:u w:val="single"/>
          </w:rPr>
          <w:t xml:space="preserve">Anderson and Marcouiller 2002</w:t>
        </w:r>
      </w:hyperlink>
      <w:bookmarkEnd w:id="213"/>
      <w:r>
        <w:t xml:space="preserve">, </w:t>
      </w:r>
      <w:bookmarkStart w:id="254" w:name="Antras2003txt"/>
      <w:hyperlink w:anchor="Antras2003" w:history="1">
        <w:r>
          <w:rPr>
            <w:color w:val="1F3864"/>
            <w:u w:val="single"/>
          </w:rPr>
          <w:t xml:space="preserve">Antràs 2003</w:t>
        </w:r>
      </w:hyperlink>
      <w:bookmarkEnd w:id="254"/>
      <w:r>
        <w:t xml:space="preserve">). Compute trade is contract-intensive: the buyer hands sensitive data to a remote seller and relies on the seller’s jurisdiction to enforce confidentiality, service-level obligations, and, in many applications, the buyer’s ability to retrieve or delete its data. In countries where these contracts are weakly enforceable, the buyer discounts the seller’s effective price, and the size of the discount varies with the pair-specific strength of the enforcement environment. 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proxies dispute-resolution willingness, mutual data adequacy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proxies enforceable contractual floors on data handling, and sanctions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proxy the extreme case where no enforcement is possible. Equation (2) is thus the natural implementation of the insecure-trade framework in a services-trade setting where the traded object is a compute service bundled with a data-handling contract. </w:t>
      </w: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803" w:name="Eq3"/>
            <w:r>
              <w:t>(3)</w:t>
            </w:r>
            <w:bookmarkEnd w:id="803"/>
          </w:p>
        </w:tc>
      </w:tr>
    </w:tbl>
    <w:p>
      <w:pPr>
        <w:spacing w:before="80" w:after="160" w:line="360" w:lineRule="auto"/>
        <w:ind w:firstLine="0"/>
        <w:jc w:val="both"/>
      </w:pPr>
      <w:r>
        <w:t xml:space="preserve">where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 unit cost of producing one GPU-hour in country </w:t>
      </w:r>
      <m:oMath>
        <m:r>
          <m:rPr>
            <m:sty m:val="i"/>
          </m:rPr>
          <w:rPr>
            <w:rFonts w:ascii="Cambria Math" w:hAnsi="Cambria Math"/>
          </w:rPr>
          <m:t xml:space="preserve">j</m:t>
        </m:r>
      </m:oMath>
      <w:r>
        <w:t xml:space="preserve">  (</w:t>
      </w:r>
      <w:bookmarkStart w:id="900" w:name="Eq1txt900"/>
      <w:hyperlink w:anchor="Eq1" w:history="1">
        <w:r>
          <w:rPr>
            <w:color w:val="1F3864"/>
            <w:u w:val="single"/>
          </w:rPr>
          <w:t xml:space="preserve">equation (1)</w:t>
        </w:r>
      </w:hyperlink>
      <w:bookmarkEnd w:id="900"/>
      <w:r>
        <w:t xml:space="preserve">). The bilateral premium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same object as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in </w:t>
      </w:r>
      <w:bookmarkStart w:id="901" w:name="Eq2txt901"/>
      <w:hyperlink w:anchor="Eq2" w:history="1">
        <w:r>
          <w:rPr>
            <w:color w:val="1F3864"/>
            <w:u w:val="single"/>
          </w:rPr>
          <w:t xml:space="preserve">equation (2)</w:t>
        </w:r>
      </w:hyperlink>
      <w:bookmarkEnd w:id="901"/>
      <w:r>
        <w:t xml:space="preserve">; we relabel the subscripts as </w:t>
      </w:r>
      <m:oMath>
        <m:r>
          <m:rPr>
            <m:sty m:val="i"/>
          </m:rPr>
          <w:rPr>
            <w:rFonts w:ascii="Cambria Math" w:hAnsi="Cambria Math"/>
          </w:rPr>
          <m:t xml:space="preserve">(j, k)</m:t>
        </m:r>
      </m:oMath>
      <w:r>
        <w:t xml:space="preserve"> whenever the premium is paired with a specific seller’s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Governance quality, grid reliability, and other institutional factors that affect the willingness of buyers to source compute from a particular country are captured by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rather than by a production cost adjustment.</w:t>
      </w:r>
    </w:p>
    <w:p>
      <w:pPr>
        <w:spacing w:before="0" w:after="160" w:line="360" w:lineRule="auto"/>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80" w:line="360" w:lineRule="auto"/>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720" w:type="dxa"/>
            <w:vAlign w:val="center"/>
          </w:tcPr>
          <w:p>
            <w:pPr>
              <w:jc w:val="right"/>
              <w:spacing w:before="60" w:after="60"/>
            </w:pPr>
            <w:bookmarkStart w:id="804" w:name="Eq4"/>
            <w:r>
              <w:t>(4)</w:t>
            </w:r>
            <w:bookmarkEnd w:id="804"/>
          </w:p>
        </w:tc>
      </w:tr>
    </w:tbl>
    <w:p>
      <w:pPr>
        <w:spacing w:before="80" w:after="160" w:line="360" w:lineRule="auto"/>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 xml:space="preserve">’s share of global demand, measured by its share of installed data center capacity </w:t>
      </w:r>
      <m:oMath>
        <m:sSub>
          <m:sSubPr/>
          <m:e>
            <m:r>
              <m:rPr>
                <m:sty m:val="i"/>
              </m:rPr>
              <w:rPr>
                <w:rFonts w:ascii="Cambria Math" w:hAnsi="Cambria Math"/>
              </w:rPr>
              <m:t xml:space="preserve">M</m:t>
            </m:r>
          </m:e>
          <m:sub>
            <m:r>
              <m:rPr>
                <m:sty m:val="i"/>
              </m:rPr>
              <w:rPr>
                <w:rFonts w:ascii="Cambria Math" w:hAnsi="Cambria Math"/>
              </w:rPr>
              <m:t xml:space="preserve">k</m:t>
            </m:r>
          </m:sub>
        </m:sSub>
      </m:oMath>
      <w:r>
        <w:t xml:space="preserve"> in MW.</w:t>
      </w:r>
      <w:r>
        <w:rPr>
          <w:rStyle w:val="FootnoteReference"/>
        </w:rPr>
        <w:footnoteReference w:id="20"/>
      </w:r>
    </w:p>
    <w:p>
      <w:pPr>
        <w:spacing w:before="0" w:after="160" w:line="360" w:lineRule="auto"/>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80" w:line="360" w:lineRule="auto"/>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720" w:type="dxa"/>
            <w:vAlign w:val="center"/>
          </w:tcPr>
          <w:p>
            <w:pPr>
              <w:jc w:val="right"/>
              <w:spacing w:before="60" w:after="60"/>
            </w:pPr>
            <w:bookmarkStart w:id="805" w:name="Eq5"/>
            <w:r>
              <w:t>(5)</w:t>
            </w:r>
            <w:bookmarkEnd w:id="805"/>
          </w:p>
        </w:tc>
      </w:tr>
    </w:tbl>
    <w:p>
      <w:pPr>
        <w:spacing w:before="80" w:after="160" w:line="360" w:lineRule="auto"/>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line="360" w:lineRule="auto"/>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the price of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producer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index of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line="360" w:lineRule="auto"/>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When a country allocates capacity across multiple uses,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equals the margin on the marginal activity — the least profitable use that still receives capacity. In the training-only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in the multi-market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because training, as the higher-margin activity, is served first.</w:t>
      </w:r>
    </w:p>
    <w:p>
      <w:pPr>
        <w:spacing w:before="0" w:after="80" w:line="360" w:lineRule="auto"/>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720" w:type="dxa"/>
            <w:vAlign w:val="center"/>
          </w:tcPr>
          <w:p>
            <w:pPr>
              <w:jc w:val="right"/>
              <w:spacing w:before="60" w:after="60"/>
            </w:pPr>
            <w:bookmarkStart w:id="806" w:name="Eq6"/>
            <w:r>
              <w:t>(6)</w:t>
            </w:r>
            <w:bookmarkEnd w:id="806"/>
          </w:p>
        </w:tc>
      </w:tr>
    </w:tbl>
    <w:p>
      <w:pPr>
        <w:spacing w:before="80" w:after="160" w:line="360" w:lineRule="auto"/>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line="360" w:lineRule="auto"/>
        <w:ind w:firstLine="0"/>
        <w:jc w:val="both"/>
      </w:pPr>
      <w:r>
        <w:t xml:space="preserve">The cost-based equilibrium identifies the set of countries that could profitably produce and export compute. Which countries in this set attract investment also depend on agglomeration economies, hyperscaler market structure, and network connectivity (</w:t>
      </w:r>
      <w:bookmarkStart w:id="214" w:name="Krugman1991txt"/>
      <w:hyperlink w:anchor="Krugman1991" w:history="1">
        <w:r>
          <w:rPr>
            <w:color w:val="1F3864"/>
            <w:u w:val="single"/>
          </w:rPr>
          <w:t xml:space="preserve">Krugman 1991</w:t>
        </w:r>
      </w:hyperlink>
      <w:bookmarkEnd w:id="214"/>
      <w:r>
        <w:t xml:space="preserve">). The cloud compute market is dominated by three firms (AWS, Azure, Google Cloud) whose location decisions reflect economies of scale and self-reinforcing colocation dynamics that the competitive framework abstracts away from. The capacity ceilings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line="360" w:lineRule="auto"/>
        <w:ind w:firstLine="0"/>
        <w:jc w:val="both"/>
      </w:pPr>
      <w:r>
        <w:t>This section derives the formal properties of the capacity-constrained equilibrium defined in Section 3. Full derivations are shown in Appendix B.</w:t>
      </w:r>
    </w:p>
    <w:p>
      <w:pPr>
        <w:spacing w:before="0" w:after="160" w:line="360" w:lineRule="auto"/>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and import), there are nine potential regime combinations. In equilibrium, only five are realized. Each regime is coded by two letters: the first for training status, the second for inference (E = export, D = domestic production, I = import).</w:t>
      </w:r>
    </w:p>
    <w:p>
      <w:pPr>
        <w:spacing w:before="0" w:after="160" w:line="360" w:lineRule="auto"/>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supply training globally and inference to nearby demand centers.</w:t>
      </w:r>
    </w:p>
    <w:p>
      <w:pPr>
        <w:spacing w:before="0" w:after="160" w:line="360" w:lineRule="auto"/>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below the latency threshold </w:t>
      </w:r>
      <m:oMath>
        <m:bar>
          <m:barPr>
            <m:pos m:val="top"/>
          </m:barPr>
          <m:e>
            <m:r>
              <m:rPr>
                <m:sty m:val="i"/>
              </m:rPr>
              <w:rPr>
                <w:rFonts w:ascii="Cambria Math" w:hAnsi="Cambria Math"/>
              </w:rPr>
              <m:t xml:space="preserve">l</m:t>
            </m:r>
          </m:e>
        </m:bar>
      </m:oMath>
      <w:r>
        <w:t>).</w:t>
      </w:r>
    </w:p>
    <w:p>
      <w:pPr>
        <w:spacing w:before="0" w:after="160" w:line="360" w:lineRule="auto"/>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line="360" w:lineRule="auto"/>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so the bilateral sovereignty premium is large enough to justify domestic production of both training and inference.</w:t>
      </w:r>
    </w:p>
    <w:p>
      <w:pPr>
        <w:spacing w:before="0" w:after="160" w:line="360" w:lineRule="auto"/>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import both training and inference from cheaper or closer suppliers.</w:t>
      </w:r>
    </w:p>
    <w:p>
      <w:pPr>
        <w:spacing w:before="0" w:after="160" w:line="360" w:lineRule="auto"/>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necessarily cheap enough to export inference to nearby buyers (Proposition 4). A country that produces training domestically cannot import inference, because the sovereignty premium that justifies domestic training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line="360" w:lineRule="auto"/>
        <w:ind w:firstLine="0"/>
        <w:jc w:val="both"/>
      </w:pPr>
      <w:r>
        <w:rPr>
          <w:b/>
          <w:i/>
        </w:rPr>
        <w:t xml:space="preserve">Proposition 2 (Capacity Constraints Reduce Concentration). </w:t>
      </w:r>
      <w:r>
        <w:t>Define the Herfindahl–Hirschman Index (HHI), a standard measure of market concentration that is equal to the sum of squared market shares, for training market concentration as:</w:t>
      </w:r>
    </w:p>
    <w:p>
      <w:pPr>
        <w:spacing w:before="0" w:after="160" w:line="360" w:lineRule="auto"/>
        <w:ind w:firstLine="0"/>
        <w:jc w:val="both"/>
      </w:pPr>
      <m:oMathPara>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d>
                    <m:dPr/>
                    <m:e>
                      <m:f>
                        <m:fPr/>
                        <m:num>
                          <m:sSub>
                            <m:sSubPr/>
                            <m:e>
                              <m:r>
                                <m:rPr>
                                  <m:sty m:val="i"/>
                                </m:rPr>
                                <w:rPr>
                                  <w:rFonts w:ascii="Cambria Math" w:hAnsi="Cambria Math"/>
                                </w:rPr>
                                <m:t xml:space="preserve">K</m:t>
                              </m:r>
                            </m:e>
                            <m:sub>
                              <m:r>
                                <m:rPr>
                                  <m:sty m:val="i"/>
                                </m:rPr>
                                <w:rPr>
                                  <w:rFonts w:ascii="Cambria Math" w:hAnsi="Cambria Math"/>
                                </w:rPr>
                                <m:t xml:space="preserve">T,j</m:t>
                              </m:r>
                            </m:sub>
                          </m:sSub>
                        </m:num>
                        <m:den>
                          <m:sSub>
                            <m:sSubPr/>
                            <m:e>
                              <m:r>
                                <m:rPr>
                                  <m:sty m:val="i"/>
                                </m:rPr>
                                <w:rPr>
                                  <w:rFonts w:ascii="Cambria Math" w:hAnsi="Cambria Math"/>
                                </w:rPr>
                                <m:t xml:space="preserve">Q</m:t>
                              </m:r>
                            </m:e>
                            <m:sub>
                              <m:r>
                                <m:rPr>
                                  <m:sty m:val="i"/>
                                </m:rPr>
                                <w:rPr>
                                  <w:rFonts w:ascii="Cambria Math" w:hAnsi="Cambria Math"/>
                                </w:rPr>
                                <m:t xml:space="preserve">T,X</m:t>
                              </m:r>
                            </m:sub>
                          </m:sSub>
                        </m:den>
                      </m:f>
                    </m:e>
                  </m:d>
                </m:e>
                <m:sup>
                  <m:r>
                    <m:rPr>
                      <m:sty m:val="p"/>
                    </m:rPr>
                    <w:rPr>
                      <w:rFonts w:ascii="Cambria Math" w:hAnsi="Cambria Math"/>
                    </w:rPr>
                    <m:t xml:space="preserve">2</m:t>
                  </m:r>
                </m:sup>
              </m:sSup>
            </m:e>
          </m:nary>
          <m:r>
            <m:rPr>
              <m:sty m:val="p"/>
            </m:rPr>
            <w:rPr>
              <w:rFonts w:ascii="Cambria Math" w:hAnsi="Cambria Math"/>
            </w:rPr>
            <m:t xml:space="preserve">, </m:t>
          </m:r>
        </m:oMath>
      </m:oMathPara>
      <w:r>
        <w:t xml:space="preserve">where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m:t>
        </m:r>
        <m:nary>
          <m:naryPr>
            <m:chr m:val="∑"/>
            <m:supHide m:val="1"/>
          </m:naryPr>
          <m:sub>
            <m:r>
              <m:rPr>
                <m:sty m:val="i"/>
              </m:rPr>
              <w:rPr>
                <w:rFonts w:ascii="Cambria Math" w:hAnsi="Cambria Math"/>
              </w:rPr>
              <m:t xml:space="preserve">k</m:t>
            </m:r>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denote total training export demand, the sum of training demand across all importing countries, and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is country j’s training export allocation (GPU-hours), bounded by the capacity ceiling </w:t>
      </w:r>
      <m:oMath>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When low-cost producers reach capacity limits, residual demand shifts to higher-cost suppliers, reducing market concentration.</w:t>
      </w:r>
    </w:p>
    <w:p>
      <w:pPr>
        <w:spacing w:before="0" w:after="160" w:line="360" w:lineRule="auto"/>
        <w:ind w:firstLine="0"/>
        <w:jc w:val="both"/>
      </w:pPr>
      <w:r>
        <w:rPr>
          <w:b/>
          <w:i/>
        </w:rPr>
        <w:t xml:space="preserve">Proposition 3 (Sovereignty Switching Threshold). </w:t>
      </w:r>
      <w:r>
        <w:t xml:space="preserve">A country produces AI training domestically only when the sovereignty premium is large enough to offset the higher domestic cost.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line="360" w:lineRule="auto"/>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line="360" w:lineRule="auto"/>
        <w:ind w:firstLine="0"/>
        <w:jc w:val="both"/>
      </w:pPr>
      <w:r>
        <w:rPr>
          <w:b/>
          <w:i/>
        </w:rPr>
        <w:t xml:space="preserve">Proposition 4 (Training Exporters Nest Within Inference Exporters). </w:t>
      </w:r>
      <w:r>
        <w:t>If a country is cheap enough to export training (which can be done from anywhere), it is also cheap enough to export inference to nearby demand centers.</w:t>
      </w:r>
      <w:r>
        <w:rPr>
          <w:rStyle w:val="FootnoteReference"/>
        </w:rPr>
        <w:footnoteReference w:id="23"/>
      </w:r>
      <w:r>
        <w:t xml:space="preserve"> Training exporters therefore also export inference to nearby demand centers, provided that latency remains below the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line="360" w:lineRule="auto"/>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and sanctions). </w:t>
      </w:r>
    </w:p>
    <w:p>
      <w:pPr>
        <w:spacing w:before="0" w:after="160" w:line="360" w:lineRule="auto"/>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5" w:name="Eurostat2025txt"/>
      <w:hyperlink w:anchor="Eurostat2025" w:history="1">
        <w:r>
          <w:rPr>
            <w:color w:val="1F3864"/>
            <w:u w:val="single"/>
          </w:rPr>
          <w:t xml:space="preserve">Eurostat 2025</w:t>
        </w:r>
      </w:hyperlink>
      <w:bookmarkEnd w:id="215"/>
      <w:r>
        <w:t xml:space="preserve">). For non-European countries, the prices are obtained from national regulator tariff sheets and secondary sources, including the U.S. Energy Information Administration (</w:t>
      </w:r>
      <w:bookmarkStart w:id="255" w:name="EIA2025txt"/>
      <w:hyperlink w:anchor="EIA2025" w:history="1">
        <w:r>
          <w:rPr>
            <w:color w:val="1F3864"/>
            <w:u w:val="single"/>
          </w:rPr>
          <w:t xml:space="preserve">EIA 2025</w:t>
        </w:r>
      </w:hyperlink>
      <w:bookmarkEnd w:id="255"/>
      <w:r>
        <w:t xml:space="preserve">) for the United States, KEPCO for South Korea,</w:t>
      </w:r>
      <w:r>
        <w:rPr>
          <w:rStyle w:val="FootnoteReference"/>
        </w:rPr>
        <w:footnoteReference w:id="24"/>
      </w:r>
      <w:r>
        <w:t xml:space="preserve"> national utility tariffs for Central Asian countries, and </w:t>
      </w:r>
      <w:bookmarkStart w:id="216" w:name="GlobalPetrolPrices2025txt"/>
      <w:hyperlink w:anchor="GlobalPetrolPrices2025" w:history="1">
        <w:r>
          <w:rPr>
            <w:color w:val="1F3864"/>
            <w:u w:val="single"/>
          </w:rPr>
          <w:t xml:space="preserve">GlobalPetrolPrices (2025)</w:t>
        </w:r>
      </w:hyperlink>
      <w:bookmarkEnd w:id="216"/>
      <w:r>
        <w:t xml:space="preserve"> for the remaining countries. All prices are converted to $/kWh at 2024 exchange rates.</w:t>
      </w:r>
    </w:p>
    <w:p>
      <w:pPr>
        <w:spacing w:before="0" w:after="160" w:line="360" w:lineRule="auto"/>
        <w:ind w:firstLine="0"/>
        <w:jc w:val="both"/>
      </w:pPr>
      <w:r>
        <w:rPr>
          <w:rFonts w:ascii="Times New Roman" w:hAnsi="Times New Roman"/>
          <w:b w:val="0"/>
          <w:i/>
          <w:sz w:val="24"/>
        </w:rPr>
        <w:t xml:space="preserve">Temperature and construction. </w:t>
      </w:r>
      <w:r>
        <w:t xml:space="preserve">Peak summer temperature is derived from ERA5 data (</w:t>
      </w:r>
      <w:bookmarkStart w:id="217" w:name="Hersbach2020txt"/>
      <w:hyperlink w:anchor="Hersbach2020" w:history="1">
        <w:r>
          <w:rPr>
            <w:color w:val="1F3864"/>
            <w:u w:val="single"/>
          </w:rPr>
          <w:t xml:space="preserve">Hersbach et al. 2020</w:t>
        </w:r>
      </w:hyperlink>
      <w:bookmarkEnd w:id="217"/>
      <w:r>
        <w:t xml:space="preserve">) as the average monthly maximum in the three warmest months, aggregated across populated grid cells. </w:t>
      </w:r>
      <w:r>
        <w:t xml:space="preserve">Construction costs per watt of IT capacity are from the Turner &amp; Townsend Data Center Construction Cost Index 2025 (</w:t>
      </w:r>
      <w:bookmarkStart w:id="218" w:name="TurnerTownsend2025txt"/>
      <w:hyperlink w:anchor="TurnerTownsend2025" w:history="1">
        <w:r>
          <w:rPr>
            <w:color w:val="1F3864"/>
            <w:u w:val="single"/>
          </w:rPr>
          <w:t xml:space="preserve">Turner &amp; Townsend 2025</w:t>
        </w:r>
      </w:hyperlink>
      <w:bookmarkEnd w:id="218"/>
      <w:r>
        <w:t xml:space="preserve">), for 37 countries. For the remaining countries, costs are predicted (Appendix E). Since construction is only 3–6 percent of total per-GPU-hour costs, imputation error has a limited impact on cost rankings.</w:t>
      </w:r>
    </w:p>
    <w:p>
      <w:pPr>
        <w:spacing w:before="0" w:after="160" w:line="360" w:lineRule="auto"/>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9" w:name="WonderNetwork2024txt"/>
      <w:hyperlink w:anchor="WonderNetwork2024" w:history="1">
        <w:r>
          <w:rPr>
            <w:color w:val="1F3864"/>
            <w:u w:val="single"/>
          </w:rPr>
          <w:t xml:space="preserve">WonderNetwork 2024</w:t>
        </w:r>
      </w:hyperlink>
      <w:bookmarkEnd w:id="219"/>
      <w:r>
        <w:t xml:space="preserve">). For each country pair, the median round-trip time (RTT) in milliseconds is used. Domestic latency defaults to 5 ms where no intra-country measurement is available.</w:t>
      </w:r>
    </w:p>
    <w:p>
      <w:pPr>
        <w:spacing w:before="0" w:after="160" w:line="360" w:lineRule="auto"/>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w:t>
      </w:r>
      <w:bookmarkStart w:id="902" w:name="Eq4txt902"/>
      <w:hyperlink w:anchor="Eq4" w:history="1">
        <w:r>
          <w:rPr>
            <w:color w:val="1F3864"/>
            <w:u w:val="single"/>
          </w:rPr>
          <w:t xml:space="preserve">equation (4)</w:t>
        </w:r>
      </w:hyperlink>
      <w:bookmarkEnd w:id="902"/>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20" w:name="Cloudscene2025txt"/>
      <w:hyperlink w:anchor="Cloudscene2025" w:history="1">
        <w:r>
          <w:rPr>
            <w:color w:val="1F3864"/>
            <w:u w:val="single"/>
          </w:rPr>
          <w:t xml:space="preserve">Cloudscene 2025</w:t>
        </w:r>
      </w:hyperlink>
      <w:bookmarkEnd w:id="220"/>
      <w:r>
        <w:t xml:space="preserve">) and regional averages.</w:t>
      </w:r>
    </w:p>
    <w:p>
      <w:pPr>
        <w:spacing w:before="0" w:after="160" w:line="360" w:lineRule="auto"/>
        <w:ind w:firstLine="0"/>
        <w:jc w:val="both"/>
      </w:pPr>
      <w:r>
        <w:t>Because the compute export market is still emerging and bilateral trade-flow data do not yet exist, the paper calibrates the model using hardware prices, electricity tariffs, and facility cost coefficients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line="360" w:lineRule="auto"/>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21" w:name="Google2024txt"/>
      <w:hyperlink w:anchor="Google2024" w:history="1">
        <w:r>
          <w:rPr>
            <w:color w:val="1F3864"/>
            <w:u w:val="single"/>
          </w:rPr>
          <w:t xml:space="preserve">Google 2024</w:t>
        </w:r>
      </w:hyperlink>
      <w:bookmarkEnd w:id="221"/>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22" w:name="Liu2023txt"/>
      <w:hyperlink w:anchor="Liu2023" w:history="1">
        <w:r>
          <w:rPr>
            <w:color w:val="1F3864"/>
            <w:u w:val="single"/>
          </w:rPr>
          <w:t xml:space="preserve">Liu et al. 2023</w:t>
        </w:r>
      </w:hyperlink>
      <w:bookmarkEnd w:id="222"/>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23" w:name="UptimeInstitute2024txt"/>
      <w:hyperlink w:anchor="UptimeInstitute2024" w:history="1">
        <w:r>
          <w:rPr>
            <w:color w:val="1F3864"/>
            <w:u w:val="single"/>
          </w:rPr>
          <w:t xml:space="preserve">Uptime Institute 2024</w:t>
        </w:r>
      </w:hyperlink>
      <w:bookmarkEnd w:id="223"/>
      <w:r>
        <w:t xml:space="preserve">).</w:t>
      </w:r>
      <w:r>
        <w:rPr>
          <w:rStyle w:val="FootnoteReference"/>
        </w:rPr>
        <w:footnoteReference w:id="13"/>
      </w:r>
    </w:p>
    <w:p>
      <w:pPr>
        <w:spacing w:before="0" w:after="160" w:line="360" w:lineRule="auto"/>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of 70 percent (</w:t>
      </w:r>
      <w:bookmarkStart w:id="224" w:name="Barroso2018txt"/>
      <w:hyperlink w:anchor="Barroso2018" w:history="1">
        <w:r>
          <w:rPr>
            <w:color w:val="1F3864"/>
            <w:u w:val="single"/>
          </w:rPr>
          <w:t xml:space="preserve">Barroso et al. 2018</w:t>
        </w:r>
      </w:hyperlink>
      <w:bookmarkEnd w:id="224"/>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This amortization is straight-line and includes no cost of capital. Columns (1)–(3) of Table 3 therefore hold financing costs at zero, so the cross-country spread reflects only electricity, climate, and construction; column (4) adds country-specific financing through the WACC adjustment of Section 7.2.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5" w:name="Barroso2018txt"/>
      <w:hyperlink w:anchor="Barroso2018" w:history="1">
        <w:r>
          <w:rPr>
            <w:color w:val="1F3864"/>
            <w:u w:val="single"/>
          </w:rPr>
          <w:t xml:space="preserve">Barroso et al. 2018</w:t>
        </w:r>
      </w:hyperlink>
      <w:bookmarkEnd w:id="225"/>
      <w:r>
        <w:t xml:space="preserve">). GPU and networking equipment prices are assumed to be uniform across countries.</w:t>
      </w:r>
    </w:p>
    <w:p>
      <w:pPr>
        <w:spacing w:before="0" w:after="160" w:line="360" w:lineRule="auto"/>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percent, consistent with the finding in </w:t>
      </w:r>
      <w:bookmarkStart w:id="226" w:name="Deloitte2020txt"/>
      <w:hyperlink w:anchor="Deloitte2020" w:history="1">
        <w:r>
          <w:rPr>
            <w:color w:val="1F3864"/>
            <w:u w:val="single"/>
          </w:rPr>
          <w:t xml:space="preserve">Deloitte and Google (2020)</w:t>
        </w:r>
      </w:hyperlink>
      <w:bookmarkEnd w:id="226"/>
      <w:r>
        <w:t xml:space="preserve"> for e-commerce. </w:t>
      </w:r>
    </w:p>
    <w:p>
      <w:pPr>
        <w:spacing w:before="0" w:after="160" w:line="360" w:lineRule="auto"/>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and regulatory compatibility (</w:t>
      </w:r>
      <w:bookmarkStart w:id="903" w:name="Eq2txt903"/>
      <w:hyperlink w:anchor="Eq2" w:history="1">
        <w:r>
          <w:rPr>
            <w:color w:val="1F3864"/>
            <w:u w:val="single"/>
          </w:rPr>
          <w:t xml:space="preserve">eq. (2)</w:t>
        </w:r>
      </w:hyperlink>
      <w:bookmarkEnd w:id="903"/>
      <w:r>
        <w:t xml:space="preserve">), with coefficient weights </w:t>
      </w:r>
      <m:oMath>
        <m:sSub>
          <m:sSubPr/>
          <m:e>
            <m:r>
              <m:rPr>
                <m:sty m:val="i"/>
              </m:rPr>
              <w:rPr>
                <w:rFonts w:ascii="Cambria Math" w:hAnsi="Cambria Math"/>
              </w:rPr>
              <m:t xml:space="preserve">w</m:t>
            </m:r>
          </m:e>
          <m:sub>
            <m:r>
              <m:rPr>
                <m:sty m:val="i"/>
              </m:rPr>
              <w:rPr>
                <w:rFonts w:ascii="Cambria Math" w:hAnsi="Cambria Math"/>
              </w:rPr>
              <m:t xml:space="preserve">1</m:t>
            </m:r>
          </m:sub>
        </m:sSub>
        <m:r>
          <m:rPr>
            <m:sty m:val="p"/>
          </m:rPr>
          <w:rPr>
            <w:rFonts w:ascii="Cambria Math" w:hAnsi="Cambria Math"/>
          </w:rPr>
          <m:t xml:space="preserve"> = 0.05</m:t>
        </m:r>
      </m:oMath>
      <w:r>
        <w:t xml:space="preserve"> (geopolitical distance) and </w:t>
      </w:r>
      <m:oMath>
        <m:sSub>
          <m:sSubPr/>
          <m:e>
            <m:r>
              <m:rPr>
                <m:sty m:val="i"/>
              </m:rPr>
              <w:rPr>
                <w:rFonts w:ascii="Cambria Math" w:hAnsi="Cambria Math"/>
              </w:rPr>
              <m:t xml:space="preserve">w</m:t>
            </m:r>
          </m:e>
          <m:sub>
            <m:r>
              <m:rPr>
                <m:sty m:val="i"/>
              </m:rPr>
              <w:rPr>
                <w:rFonts w:ascii="Cambria Math" w:hAnsi="Cambria Math"/>
              </w:rPr>
              <m:t xml:space="preserve">2</m:t>
            </m:r>
          </m:sub>
        </m:sSub>
        <m:r>
          <m:rPr>
            <m:sty m:val="p"/>
          </m:rPr>
          <w:rPr>
            <w:rFonts w:ascii="Cambria Math" w:hAnsi="Cambria Math"/>
          </w:rPr>
          <m:t xml:space="preserve"> = 0.025</m:t>
        </m:r>
      </m:oMath>
      <w:r>
        <w:t xml:space="preserve"> (regulatory incompatibility). Sanctioned pairs are excluded by assumption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rather than being assigned a finite weight. The continuous weights are calibrated so that an intra-bloc pair with data adequacy (for example, two EU member states) faces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and a typical cross-bloc pair without a regulatory agreement faces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0.04–0.07</m:t>
        </m:r>
      </m:oMath>
      <w:r>
        <w:t xml:space="preserve">. The implied premium on non-adversarial services trade stays below the 16 percent upper bound for regulatory barriers to communication services estimated by </w:t>
      </w:r>
      <w:bookmarkStart w:id="227" w:name="BenzJaax2020txt"/>
      <w:hyperlink w:anchor="BenzJaax2020" w:history="1">
        <w:r>
          <w:rPr>
            <w:color w:val="1F3864"/>
            <w:u w:val="single"/>
          </w:rPr>
          <w:t xml:space="preserve">Benz and Jaax (2020)</w:t>
        </w:r>
      </w:hyperlink>
      <w:bookmarkEnd w:id="227"/>
      <w:r>
        <w:t xml:space="preserve">, and the headline results are reported alongside a uniform-premium robustness check in Table 3 to make the sensitivity to these weights transparent.</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 percent</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8" w:name="Deloitte2025txt"/>
      <w:hyperlink w:anchor="Deloitte2025" w:history="1">
        <w:r>
          <w:rPr>
            <w:color w:val="1F3864"/>
            <w:u w:val="single"/>
          </w:rPr>
          <w:t xml:space="preserve">Deloitte 2025</w:t>
        </w:r>
      </w:hyperlink>
      <w:bookmarkEnd w:id="228"/>
      <w:r>
        <w:t xml:space="preserve">). Construction costs are amortized over 15 years.</w:t>
      </w:r>
    </w:p>
    <w:p>
      <w:pPr>
        <w:spacing w:before="0" w:after="160" w:line="360" w:lineRule="auto"/>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line="360" w:lineRule="auto"/>
        <w:ind w:firstLine="0"/>
        <w:jc w:val="both"/>
      </w:pPr>
      <w:bookmarkStart w:id="150" w:name="Figure1calstxt"/>
      <w:hyperlink w:anchor="Figure1cals" w:history="1">
        <w:r>
          <w:rPr>
            <w:color w:val="1F3864"/>
            <w:u w:val="single"/>
          </w:rPr>
          <w:t xml:space="preserve">Figure 1</w:t>
        </w:r>
      </w:hyperlink>
      <w:bookmarkEnd w:id="150"/>
      <w:r>
        <w:t xml:space="preserve"> summarizes the model structure, from country endowments through production costs and prices to equilibrium regimes. The analysis proceeds by adjusting production costs and applying bilateral trade frictions.</w:t>
      </w:r>
    </w:p>
    <w:p>
      <w:pPr>
        <w:spacing w:before="0" w:after="160" w:line="360" w:lineRule="auto"/>
        <w:ind w:firstLine="0"/>
        <w:jc w:val="both"/>
      </w:pPr>
      <w:r>
        <w:t xml:space="preserve">Under observed electricity tariffs, the cheapest producer in our sample of 85 countries is Iran, followed by Turkmenistan and Ethiopia (Column (1) of </w:t>
      </w:r>
      <w:bookmarkStart w:id="112" w:name="Table3txt"/>
      <w:hyperlink w:anchor="Table3" w:history="1">
        <w:r>
          <w:rPr>
            <w:color w:val="1F3864"/>
            <w:u w:val="single"/>
          </w:rPr>
          <w:t xml:space="preserve">Table 3</w:t>
        </w:r>
      </w:hyperlink>
      <w:bookmarkEnd w:id="112"/>
      <w:r>
        <w:t xml:space="preserve">). But this ranking is misleading. Iran’s headline electricity cost reflects one of the world’s largest fossil fuel subsidies. Turkmenistan, Algeria, Qatar, and several other low-cost producers face similar distortions. </w:t>
      </w:r>
    </w:p>
    <w:p>
      <w:pPr>
        <w:spacing w:before="0" w:after="160" w:line="360" w:lineRule="auto"/>
        <w:ind w:firstLine="0"/>
        <w:jc w:val="both"/>
      </w:pPr>
      <w:r>
        <w:t xml:space="preserve">We replace subsidized tariffs with cost-recovery prices to distinguish real comparative advantage from subsidy-driven advantage. The cost-recovery prices are defined as the long-run marginal cost (LRMC) of the dominant generation technology at opportunity-cost fuel prices (</w:t>
      </w:r>
      <w:bookmarkStart w:id="256" w:name="IMF2025txt"/>
      <w:hyperlink w:anchor="IMF2025" w:history="1">
        <w:r>
          <w:rPr>
            <w:color w:val="1F3864"/>
            <w:u w:val="single"/>
          </w:rPr>
          <w:t xml:space="preserve">IMF 2025</w:t>
        </w:r>
      </w:hyperlink>
      <w:bookmarkEnd w:id="256"/>
      <w:r>
        <w:t xml:space="preserve">, </w:t>
      </w:r>
      <w:bookmarkStart w:id="229" w:name="Lazard2025txt"/>
      <w:hyperlink w:anchor="Lazard2025" w:history="1">
        <w:r>
          <w:rPr>
            <w:color w:val="1F3864"/>
            <w:u w:val="single"/>
          </w:rPr>
          <w:t xml:space="preserve">Lazard 2025</w:t>
        </w:r>
      </w:hyperlink>
      <w:bookmarkEnd w:id="229"/>
      <w:r>
        <w:t xml:space="preserve">). We apply this adjustment to 56 countries whose retail electricity prices fall below the estimated LRMC.</w:t>
      </w:r>
      <w:r>
        <w:rPr>
          <w:rStyle w:val="FootnoteReference"/>
        </w:rPr>
        <w:footnoteReference w:id="16"/>
      </w:r>
      <w:r>
        <w:t xml:space="preserve"> The subsidy gap ranges from $0.000 to $0.080/kWh. For Iran, a 100 MW IT-load data center would receive $93 million in implicit transfers per year. At hyperscale, such subsidies are fiscally unsustainable. The resulting cost-recovery ranking (column (2) of </w:t>
      </w:r>
      <w:hyperlink w:anchor="Table3" w:history="1">
        <w:r>
          <w:rPr>
            <w:color w:val="1F3864"/>
            <w:u w:val="single"/>
          </w:rPr>
          <w:t xml:space="preserve">Table 3</w:t>
        </w:r>
      </w:hyperlink>
      <w:r>
        <w:t xml:space="preserve">) shifts the top of the ranking toward hydropower-rich countries: Kyrgyzstan, Ethiopia, Kosovo, Canada, and Tajikistan. Iran drops from first to 24th, and Turkmenistan falls 16 places. 35 countries change their trade regimes, but </w:t>
      </w:r>
      <w:r>
        <w:t>the remaining cross-country variation is narrow (</w:t>
      </w:r>
      <w:bookmarkStart w:id="141" w:name="TableA2txt"/>
      <w:hyperlink w:anchor="TableA2" w:history="1">
        <w:r>
          <w:rPr>
            <w:color w:val="1F3864"/>
            <w:u w:val="single"/>
          </w:rPr>
          <w:t xml:space="preserve">Table A2</w:t>
        </w:r>
      </w:hyperlink>
      <w:bookmarkEnd w:id="141"/>
      <w:r>
        <w:t xml:space="preserve"> extends the ranking to all countries).</w:t>
      </w:r>
    </w:p>
    <w:p>
      <w:pPr>
        <w:spacing w:before="0" w:after="160" w:line="360" w:lineRule="auto"/>
        <w:ind w:firstLine="0"/>
        <w:jc w:val="both"/>
      </w:pPr>
      <w:r>
        <w:t>The cost ranking diverges sharply from observed investment patterns. Eight of the twenty cheapest producers have under 100 MW of installed capacity (e.g., Kyrgyzstan: rank 1, 5 MW), while countries outside the top twenty host large clusters (Netherlands: rank 67, 1,800 MW; Ireland: rank 83, 1,260 MW). The cost ranking identifies the feasible set of exporters, not realized investment.</w:t>
      </w:r>
    </w:p>
    <w:p>
      <w:pPr>
        <w:spacing w:before="0" w:after="160" w:line="360" w:lineRule="auto"/>
        <w:ind w:firstLine="0"/>
        <w:jc w:val="both"/>
      </w:pPr>
      <w:r>
        <w:t xml:space="preserve">Recent FDI data confirm this pattern. Among EMDEs, the largest recipients of data-center investment are Malaysia, India, and Brazil, countries with moderate electricity costs but strong regulatory frameworks and credible grid infrastructure. In contrast, the cheapest producers (Kyrgyzstan, Tajikistan, Ethiopia) received virtually no data-center FDI (</w:t>
      </w:r>
      <w:bookmarkStart w:id="266" w:name="AykutEtAl2026txt"/>
      <w:hyperlink w:anchor="AykutEtAl2026" w:history="1">
        <w:r>
          <w:rPr>
            <w:color w:val="1F3864"/>
            <w:u w:val="single"/>
          </w:rPr>
          <w:t xml:space="preserve">Aykut et al. 2026</w:t>
        </w:r>
      </w:hyperlink>
      <w:bookmarkEnd w:id="266"/>
      <w:r>
        <w:t xml:space="preserve">). Most investment flows between geopolitical allies, consistent with the bilateral sovereignty premium, rather than cost alone driving where capacity is built (</w:t>
      </w:r>
      <w:bookmarkStart w:id="257" w:name="StraubEtAl2026txt"/>
      <w:hyperlink w:anchor="StraubEtAl2026" w:history="1">
        <w:r>
          <w:rPr>
            <w:color w:val="1F3864"/>
            <w:u w:val="single"/>
          </w:rPr>
          <w:t xml:space="preserve">Straub et al. 2026</w:t>
        </w:r>
      </w:hyperlink>
      <w:bookmarkEnd w:id="257"/>
      <w:r>
        <w:t xml:space="preserve">). Econometric evidence confirms that electricity costs are not a robust predictor of data center location once market size and regulatory environment are controlled for (</w:t>
      </w:r>
      <w:bookmarkStart w:id="230" w:name="CaouiSteck2025txt"/>
      <w:hyperlink w:anchor="CaouiSteck2025" w:history="1">
        <w:r>
          <w:rPr>
            <w:color w:val="1F3864"/>
            <w:u w:val="single"/>
          </w:rPr>
          <w:t xml:space="preserve">Caoui and Steck 2025</w:t>
        </w:r>
      </w:hyperlink>
      <w:bookmarkEnd w:id="230"/>
      <w:r>
        <w:t xml:space="preserve">).</w:t>
      </w:r>
    </w:p>
    <w:p>
      <w:pPr>
        <w:spacing w:before="0" w:after="160" w:line="360" w:lineRule="auto"/>
        <w:ind w:firstLine="0"/>
        <w:jc w:val="both"/>
      </w:pPr>
      <w:r>
        <w:t xml:space="preserve">Cross-country evidence on policy readiness corroborates this pattern. Economies with advanced AI and cloud strategies—such as Singapore, Australia, Japan, and South Korea—record estimated economic impacts from AI and cloud investment of 3–4 percent of GDP, compared with less than 1 percent in Indonesia and Viet Nam (</w:t>
      </w:r>
      <w:bookmarkStart w:id="258" w:name="KatzEtAl2025txt"/>
      <w:hyperlink w:anchor="KatzEtAl2025" w:history="1">
        <w:r>
          <w:rPr>
            <w:color w:val="1F3864"/>
            <w:u w:val="single"/>
          </w:rPr>
          <w:t xml:space="preserve">Katz et al. 2025</w:t>
        </w:r>
      </w:hyperlink>
      <w:bookmarkEnd w:id="258"/>
      <w:r>
        <w:t xml:space="preserve">). In the model, institutional quality stands in for the complementary investments that separate these groups: digital skills, regulatory predictability, and grid modernization. Countries that align digital ambitions with energy-sector planning—Malaysia through its National Energy Transition Roadmap, Brazil with an electricity mix over 80 percent renewable, the UAE with nuclear- and solar-powered AI hubs—are emerging as preferred destinations for hyperscalers, exactly as the model predicts for countries combining moderate costs with high institutional quality (</w:t>
      </w:r>
      <w:bookmarkStart w:id="231" w:name="AykutEtAl2026txt"/>
      <w:hyperlink w:anchor="AykutEtAl2026" w:history="1">
        <w:r>
          <w:rPr>
            <w:color w:val="1F3864"/>
            <w:u w:val="single"/>
          </w:rPr>
          <w:t xml:space="preserve">Aykut et al. 2026</w:t>
        </w:r>
      </w:hyperlink>
      <w:bookmarkEnd w:id="231"/>
      <w:r>
        <w:t xml:space="preserve">).</w:t>
      </w:r>
    </w:p>
    <w:p>
      <w:pPr>
        <w:spacing w:before="0" w:after="160" w:line="360" w:lineRule="auto"/>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(3) of </w:t>
      </w:r>
      <w:hyperlink w:anchor="Table3" w:history="1">
        <w:r>
          <w:rPr>
            <w:color w:val="1F3864"/>
            <w:u w:val="single"/>
          </w:rPr>
          <w:t xml:space="preserve">Table 3</w:t>
        </w:r>
      </w:hyperlink>
      <w:r>
        <w:t xml:space="preserve"> reports the bilateral specification. The bilateral sovereignty premium matters especially for inference. Within Europe, latency adds only 1–3 percent to costs, so even a small domestic preference can shift sourcing away from imports.</w:t>
      </w:r>
    </w:p>
    <w:p>
      <w:pPr>
        <w:spacing w:before="0" w:after="160" w:line="360" w:lineRule="auto"/>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4" w:name="Eq4txt904"/>
      <w:hyperlink w:anchor="Eq4" w:history="1">
        <w:r>
          <w:rPr>
            <w:color w:val="1F3864"/>
            <w:u w:val="single"/>
          </w:rPr>
          <w:t xml:space="preserve">equation (4)</w:t>
        </w:r>
      </w:hyperlink>
      <w:bookmarkEnd w:id="904"/>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$1.60</m:t>
        </m:r>
      </m:oMath>
      <w:r>
        <w:t xml:space="preserve">/hr, set by the marginal exporter’s cost. Training demand is served by a dominant exporter (HHI = 0.984, with 3 other producers at the margin), leaving the training market close to the unconstrained benchmark of Proposition 2. </w:t>
      </w:r>
      <w:r>
        <w:t xml:space="preserve">The largest shadow values of grid capacity are in Kyrgyzstan ($0.019/hr), Ethiopia ($0.003/hr), and Kosovo ($0.001/hr), indicating modest returns to capacity expansion. </w:t>
      </w:r>
      <w:r>
        <w:t>Under the bilateral sovereignty premium, most training demand shifts to domestic production, and the residual export market is served by a single exporter at $1.58/hr.</w:t>
      </w:r>
    </w:p>
    <w:p>
      <w:pPr>
        <w:spacing w:before="0" w:after="160" w:line="360" w:lineRule="auto"/>
        <w:ind w:firstLine="0"/>
        <w:jc w:val="both"/>
      </w:pPr>
      <w:r>
        <w:t xml:space="preserve">Inference exports are more dispersed, with the top five exporters being Canada (43 percent), Kyrgyzstan (26 percent), Kosovo (10 percent), Indonesia (0.9 percent), and Ukraine (0.5 percent), collectively accounting for 80 percent of cross-border inference demand (HHI = 0.265). </w:t>
      </w:r>
    </w:p>
    <w:p>
      <w:pPr>
        <w:spacing w:before="0" w:after="160" w:line="360" w:lineRule="auto"/>
        <w:ind w:firstLine="0"/>
        <w:jc w:val="both"/>
      </w:pPr>
      <w:r>
        <w:t xml:space="preserve">Among developing countries, Kyrgyzstan captures 26 percent of global inference demand by serving China, Kazakhstan, and Uzbekistan, a large share for a country with a GDP of under $15 billion. </w:t>
      </w:r>
      <w:r>
        <w:t xml:space="preserve">Kosovo serves as an inference hub for 21 countries, accounting for 10 percent of global inference demand. </w:t>
      </w:r>
    </w:p>
    <w:p>
      <w:pPr>
        <w:spacing w:before="0" w:after="160" w:line="360" w:lineRule="auto"/>
        <w:ind w:firstLine="0"/>
        <w:jc w:val="both"/>
      </w:pPr>
      <w:r>
        <w:rPr>
          <w:rFonts w:ascii="Times New Roman" w:hAnsi="Times New Roman"/>
          <w:b w:val="0"/>
          <w:i/>
          <w:sz w:val="24"/>
        </w:rPr>
        <w:t xml:space="preserve">Major demand centers. </w:t>
      </w:r>
      <w:r>
        <w:t xml:space="preserve">The model’s predictions vary across major AI demand centers because each faces a different latency geography. For the United States, the cost-recovery optimum sources training from the cheapest available producer, and inference from Canada. </w:t>
      </w:r>
      <w:r>
        <w:t xml:space="preserve">For Germany, France, and the United Kingdom, inference is sourced from Kosovo. </w:t>
      </w:r>
      <w:r>
        <w:t>For China, the cheapest foreign source of inference is Kyrgyzstan. Inference supply thus concentrates around latency-bounded regional hubs, each major market sourcing from a distinct nearby producer.</w:t>
      </w:r>
    </w:p>
    <w:p>
      <w:pPr>
        <w:spacing w:before="0" w:after="160" w:line="360" w:lineRule="auto"/>
        <w:ind w:firstLine="0"/>
        <w:jc w:val="both"/>
      </w:pPr>
      <w:r>
        <w:t xml:space="preserve">Among these demand centers, China illustrates the DD regime. Despite hosting one of the world’s largest data-center markets, virtually all capacity is built and financed by domestic technology firms and state-owned operators such as Alibaba Cloud, Tencent, Baidu, and China Telecom, with negligible foreign FDI (</w:t>
      </w:r>
      <w:bookmarkStart w:id="232" w:name="AykutEtAl2026txt"/>
      <w:hyperlink w:anchor="AykutEtAl2026" w:history="1">
        <w:r>
          <w:rPr>
            <w:color w:val="1F3864"/>
            <w:u w:val="single"/>
          </w:rPr>
          <w:t xml:space="preserve">Aykut et al. 2026</w:t>
        </w:r>
      </w:hyperlink>
      <w:bookmarkEnd w:id="232"/>
      <w:r>
        <w:t xml:space="preserve">). The model is consistent with this outcome: China’s sovereignty premium is effectively infinite for most Western buyers, yet its large domestic demand and moderate production costs make domestic production of both training and inference the equilibrium strategy. Government initiatives such as the Eastern Data, Western Computing project further reinforce domestic sourcing by shifting energy-intensive computing to western provinces with cheaper power.</w:t>
      </w:r>
    </w:p>
    <w:p>
      <w:pPr>
        <w:spacing w:before="0" w:after="160" w:line="360" w:lineRule="auto"/>
        <w:ind w:firstLine="0"/>
        <w:jc w:val="both"/>
      </w:pPr>
      <w:r>
        <w:t>Raising the uniform premium to 20 percent shifts five additional countries (including Croatia, Cyprus, and Germany) to domestic training, reducing the share of global training demand available to foreign producers from 3 percent to 0 percent. Inference exports are more resilient to sovereignty premia because the latency advantage of proximity partially insulates regional hubs.</w:t>
      </w:r>
    </w:p>
    <w:p>
      <w:pPr>
        <w:spacing w:before="0" w:after="160" w:line="360" w:lineRule="auto"/>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1.6 percent of total compute spending, in the range of the welfare gains from trade in goods estimated in the quantitative trade literature, which range from roughly 0.2 percent to 10 percent depending on country size and specification (</w:t>
      </w:r>
      <w:bookmarkStart w:id="233" w:name="EatonKortum2002txt"/>
      <w:hyperlink w:anchor="EatonKortum2002" w:history="1">
        <w:r>
          <w:rPr>
            <w:color w:val="1F3864"/>
            <w:u w:val="single"/>
          </w:rPr>
          <w:t xml:space="preserve">Eaton and Kortum 2002</w:t>
        </w:r>
      </w:hyperlink>
      <w:bookmarkEnd w:id="233"/>
      <w:r>
        <w:t xml:space="preserve">, </w:t>
      </w:r>
      <w:bookmarkStart w:id="259" w:name="ACR2012txt"/>
      <w:hyperlink w:anchor="ACR2012" w:history="1">
        <w:r>
          <w:rPr>
            <w:color w:val="1F3864"/>
            <w:u w:val="single"/>
          </w:rPr>
          <w:t xml:space="preserve">Arkolakis et al. 2012</w:t>
        </w:r>
      </w:hyperlink>
      <w:bookmarkEnd w:id="259"/>
      <w:r>
        <w:t xml:space="preserve">). At current demand levels (approximately 6 × 10¹⁰ GPU-hours at $1.50/hr), this amounts to roughly $1.44 billion per year. This cost is small enough that governments with legitimate data-sovereignty objectives, such as military applications, health records, and national statistical systems, may prefer domestic production even at the cost of efficiency.</w:t>
      </w:r>
    </w:p>
    <w:p>
      <w:pPr>
        <w:spacing w:before="0" w:after="160" w:line="360" w:lineRule="auto"/>
        <w:ind w:firstLine="0"/>
        <w:jc w:val="both"/>
      </w:pPr>
      <w:r>
        <w:t xml:space="preserve">The welfare implications depend on whether the sovereignty premium reflects real security concerns or overly broad regulatory restrictions. Some domestic processing preference is justified for confidential data, but much of the current policy push extends the sovereignty logic to routine commercial computation. The welfare cost is high in aggregate dollars but modest as a share of compute spending. The bilateral premium shifts most countries toward domestic production, forgoing the cost savings from specialization. The premium is also partly endogenous to the absence of credible international data governance: where enforceable data-protection agreements exist (as within the EU), the premium falls; where they do not, even commercially motivated buyers face rational reasons to prefer domestic processing. Sovereignty preferences are not limited to developing countries: France’s SecNumCloud certification mandates EU-only data hosting and staffing, effectively excluding U.S. hyperscalers from sovereign workloads. Developing countries that adopt broad data localization requirements risk foreclosing both import savings and regional export opportunities, the specialization gains that the model predicts. The </w:t>
      </w:r>
      <w:bookmarkStart w:id="234" w:name="WorldBank2025txt"/>
      <w:hyperlink w:anchor="WorldBank2025" w:history="1">
        <w:r>
          <w:rPr>
            <w:color w:val="1F3864"/>
            <w:u w:val="single"/>
          </w:rPr>
          <w:t xml:space="preserve">World Bank (2025)</w:t>
        </w:r>
      </w:hyperlink>
      <w:bookmarkEnd w:id="234"/>
      <w:r>
        <w:t xml:space="preserve"> frames this as a core policy trade-off: building domestic capacity versus securing affordable access to international cloud services.</w:t>
      </w:r>
    </w:p>
    <w:p>
      <w:pPr>
        <w:pStyle w:val="Heading1"/>
      </w:pPr>
      <w:r>
        <w:rPr>
          <w:rFonts w:ascii="Times New Roman" w:hAnsi="Times New Roman"/>
          <w:b/>
          <w:color w:val="2F5496"/>
          <w:sz w:val="28"/>
        </w:rPr>
        <w:t>7. Robustness, Caveats, and Extensions</w:t>
      </w:r>
    </w:p>
    <w:p>
      <w:pPr>
        <w:pStyle w:val="Heading2"/>
      </w:pPr>
      <w:r>
        <w:rPr>
          <w:rFonts w:ascii="Times New Roman" w:hAnsi="Times New Roman"/>
          <w:b w:val="0"/>
          <w:i/>
          <w:color w:val="2F5496"/>
          <w:sz w:val="24"/>
        </w:rPr>
        <w:t>7.1 Robustness to parameter variation</w:t>
      </w:r>
    </w:p>
    <w:p>
      <w:pPr>
        <w:spacing w:before="0" w:after="160" w:line="360" w:lineRule="auto"/>
        <w:ind w:firstLine="0"/>
        <w:jc w:val="both"/>
      </w:pPr>
      <w:r>
        <w:rPr>
          <w:rFonts w:ascii="Times New Roman" w:hAnsi="Times New Roman"/>
          <w:b w:val="0"/>
          <w:i/>
          <w:sz w:val="24"/>
        </w:rPr>
        <w:t xml:space="preserve">Sensitivity analysis. </w:t>
      </w:r>
      <w:r>
        <w:t xml:space="preserve">Cost rankings are robust to substantial variations in parameters. </w:t>
      </w:r>
      <w:bookmarkStart w:id="143" w:name="TableA3txt"/>
      <w:hyperlink w:anchor="TableA3" w:history="1">
        <w:r>
          <w:rPr>
            <w:color w:val="1F3864"/>
            <w:u w:val="single"/>
          </w:rPr>
          <w:t xml:space="preserve">Table A3</w:t>
        </w:r>
      </w:hyperlink>
      <w:bookmarkEnd w:id="143"/>
      <w:r>
        <w:t xml:space="preserve"> reports results across three robustness specifications that vary the share of hardware costs. The sensitivity results can be read as comparative statics. A rise in global hardware costs increases the globally priced cost share, compressing the locally penalized component and muting governance penalties for developing-country exporters. On the other hand,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w:t>
      </w:r>
    </w:p>
    <w:p>
      <w:pPr>
        <w:spacing w:before="0" w:after="160" w:line="360" w:lineRule="auto"/>
        <w:ind w:firstLine="0"/>
        <w:jc w:val="both"/>
      </w:pPr>
      <w:r>
        <w:rPr>
          <w:rFonts w:ascii="Times New Roman" w:hAnsi="Times New Roman"/>
          <w:b w:val="0"/>
          <w:i/>
          <w:sz w:val="24"/>
        </w:rPr>
        <w:t xml:space="preserve">Hardware cost share. </w:t>
      </w:r>
      <w:r>
        <w:t xml:space="preserve">Varying </w:t>
      </w:r>
      <m:oMath>
        <m:r>
          <m:rPr>
            <m:sty m:val="i"/>
          </m:rPr>
          <w:rPr>
            <w:rFonts w:ascii="Cambria Math" w:hAnsi="Cambria Math"/>
          </w:rPr>
          <m:t xml:space="preserve">ρ</m:t>
        </m:r>
      </m:oMath>
      <w:r>
        <w:t xml:space="preserve"> by ±4 percent shifts the composition of the top fifteen countries, but the qualitative result is stable across all specifications. Because hardware is globally priced and dominates unit cost, a higher </w:t>
      </w:r>
      <m:oMath>
        <m:r>
          <m:rPr>
            <m:sty m:val="i"/>
          </m:rPr>
          <w:rPr>
            <w:rFonts w:ascii="Cambria Math" w:hAnsi="Cambria Math"/>
          </w:rPr>
          <m:t xml:space="preserve">ρ</m:t>
        </m:r>
      </m:oMath>
      <w:r>
        <w:t xml:space="preserve"> compresses the cross-country cost spread, making electricity price differences less decisive and facilitating entry by developing countries. Countries that combine cheap energy with adequate governance retain their cost advantage regardless of the chosen parameter.</w:t>
      </w:r>
    </w:p>
    <w:p>
      <w:pPr>
        <w:spacing w:before="0" w:after="160" w:line="360" w:lineRule="auto"/>
        <w:ind w:firstLine="0"/>
        <w:jc w:val="both"/>
      </w:pPr>
      <w:r>
        <w:rPr>
          <w:rFonts w:ascii="Times New Roman" w:hAnsi="Times New Roman"/>
          <w:b w:val="0"/>
          <w:i/>
          <w:sz w:val="24"/>
        </w:rPr>
        <w:t xml:space="preserve">Uniform sovereignty premium. </w:t>
      </w:r>
      <w:r>
        <w:t xml:space="preserve">As a robustness check, we compute the equilibrium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line="360" w:lineRule="auto"/>
        <w:ind w:firstLine="0"/>
        <w:jc w:val="both"/>
      </w:pPr>
      <w:r>
        <w:rPr>
          <w:rFonts w:ascii="Times New Roman" w:hAnsi="Times New Roman"/>
          <w:b w:val="0"/>
          <w:i/>
          <w:sz w:val="24"/>
        </w:rPr>
        <w:t xml:space="preserve">Sovereignty tiers. </w:t>
      </w:r>
      <w:r>
        <w:t xml:space="preserve">The model segments each country’s demand into three tiers: sovereign workloads (10 percent, domestic only), regulated workloads (20 percent, higher regulatory compatibility weight), and commercial workloads (70 percent, geopolitical alignment only). Under calibrated parameters, tiering leaves regime assignments unchanged for all countries, so </w:t>
      </w:r>
      <w:hyperlink w:anchor="Table3" w:history="1">
        <w:r>
          <w:rPr>
            <w:color w:val="1F3864"/>
            <w:u w:val="single"/>
          </w:rPr>
          <w:t xml:space="preserve">Table 3</w:t>
        </w:r>
      </w:hyperlink>
      <w:r>
        <w:t xml:space="preserve"> omits a separate tiered column. The main impact of tiering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Caveats and omitted frictions</w:t>
      </w:r>
    </w:p>
    <w:p>
      <w:pPr>
        <w:spacing w:before="0" w:after="160" w:line="360" w:lineRule="auto"/>
        <w:ind w:firstLine="0"/>
        <w:jc w:val="both"/>
      </w:pPr>
      <w:r>
        <w:t>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hyperscale data centers can consume billions of liters of water annually, and next-generation high-density GPU clusters increasingly rely on liquid-cooling technologies, intensifying this pressure in water-stressed economies. Regulated tariffs in many developing countries cover operating expenses but not the full capital cost, raising concerns about financial sustainability. Exporting compute at scale while the domestic energy sector cannot maintain its capital stock may prove politically unsustainable. Finally, logistics costs and local distribution markups can raise effective GPU prices by 5–15 percent in developing countries that are not subject to export bans, eroding the thin cost advantages. These omitted constraints all work against developing-country competitiveness. The calibration results should therefore be read as upper bounds.</w:t>
      </w:r>
    </w:p>
    <w:p>
      <w:pPr>
        <w:spacing w:before="0" w:after="160" w:line="360" w:lineRule="auto"/>
        <w:ind w:firstLine="0"/>
        <w:jc w:val="both"/>
      </w:pPr>
      <w:r>
        <w:rPr>
          <w:rFonts w:ascii="Times New Roman" w:hAnsi="Times New Roman"/>
          <w:b w:val="0"/>
          <w:i/>
          <w:sz w:val="24"/>
        </w:rPr>
        <w:t xml:space="preserve">Endogenous electricity prices. </w:t>
      </w:r>
      <w:r>
        <w:t xml:space="preserve">The model treats electricity prices as fixed. In small countries with low-cost power, a hyperscale facility can be large relative to the host grid — a 100 MW data center would consume roughly 3 percent of Kyrgyzstan’s 3,800 MW national output. At the multi-facility scale, data centers would compete with residential and industrial electricity demand, making regulatory intervention likely.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implies that the cost advantages in </w:t>
      </w:r>
      <w:hyperlink w:anchor="TableA1" w:history="1">
        <w:r>
          <w:rPr>
            <w:color w:val="1F3864"/>
            <w:u w:val="single"/>
          </w:rPr>
          <w:t xml:space="preserve">Table A1</w:t>
        </w:r>
      </w:hyperlink>
      <w:r>
        <w:t xml:space="preserve"> are upper bounds. Allowing electricity supply curves to slope upward would narrow these apparent advantages. Evidence from the US suggests the AI workloads, combined with broader electrification, could raise wholesale electricity prices by roughly 19 percent between 2025 and 2028 (</w:t>
      </w:r>
      <w:bookmarkStart w:id="235" w:name="Chandramowli2024txt"/>
      <w:hyperlink w:anchor="Chandramowli2024" w:history="1">
        <w:r>
          <w:rPr>
            <w:color w:val="1F3864"/>
            <w:u w:val="single"/>
          </w:rPr>
          <w:t xml:space="preserve">Chandramowli et al. 2024</w:t>
        </w:r>
      </w:hyperlink>
      <w:bookmarkEnd w:id="235"/>
      <w:r>
        <w:t xml:space="preserve">), and AI data-center expansion alone could increase retail prices by 8–9 percent by 2030 (</w:t>
      </w:r>
      <w:bookmarkStart w:id="267" w:name="IMF2025txt"/>
      <w:hyperlink w:anchor="IMF2025" w:history="1">
        <w:r>
          <w:rPr>
            <w:color w:val="1F3864"/>
            <w:u w:val="single"/>
          </w:rPr>
          <w:t xml:space="preserve">IMF 2025</w:t>
        </w:r>
      </w:hyperlink>
      <w:bookmarkEnd w:id="267"/>
      <w:r>
        <w:t xml:space="preserve">). </w:t>
      </w:r>
      <w:bookmarkStart w:id="260" w:name="AlvarezEtAl2026txt"/>
      <w:hyperlink w:anchor="AlvarezEtAl2026" w:history="1">
        <w:r>
          <w:rPr>
            <w:color w:val="1F3864"/>
            <w:u w:val="single"/>
          </w:rPr>
          <w:t xml:space="preserve">Alvarez et al. (2026)</w:t>
        </w:r>
      </w:hyperlink>
      <w:bookmarkEnd w:id="260"/>
      <w:r>
        <w:t xml:space="preserve"> find that in the US, a one-unit increase in log cumulative data-center revenue raises local electricity prices by roughly 0.9 percent. Counties that have ever hosted a data center have retail prices about 3.9 percent higher. For small grids such as Kyrgyzstan’s, the proportional impact is likely to be larger, further eroding the cost advantages documented above.</w:t>
      </w:r>
    </w:p>
    <w:p>
      <w:pPr>
        <w:spacing w:before="0" w:after="160" w:line="360" w:lineRule="auto"/>
        <w:ind w:firstLine="0"/>
        <w:jc w:val="both"/>
      </w:pPr>
      <w:r>
        <w:t>Newer GPUs, such as NVIDIA’s B200, increase training throughput substantially but also raise power draw to roughly 1 kW. Higher power draw makes electricity prices more important, which modestly strengthens the advantage of low-cost power producers. Because higher capital costs lead developing economies to refresh GPUs less frequently, they are more likely to operate older, less efficient hardware, raising their cost per effective FLOP and partly offsetting their electricity-cost advantage. The qualitative ranking is not driven by the choice of GPU generation.</w:t>
      </w:r>
    </w:p>
    <w:p>
      <w:pPr>
        <w:spacing w:before="0" w:after="160" w:line="360" w:lineRule="auto"/>
        <w:ind w:firstLine="0"/>
        <w:jc w:val="both"/>
      </w:pPr>
      <w:r>
        <w:rPr>
          <w:rFonts w:ascii="Times New Roman" w:hAnsi="Times New Roman"/>
          <w:b w:val="0"/>
          <w:i/>
          <w:sz w:val="24"/>
        </w:rPr>
        <w:t xml:space="preserve">Form of the sovereignty wedge.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modeled as an ad valorem markup on the cost of compute. This is standard in services trade, but it simplifies how sovereignty frictions operate. Many sovereignty frictions are closer to fixed entry costs than variable markups. Cloud-security certifications, sanctions screening, export-control compliance, and bilateral digital-services agreements all raise the cost of entering a market. Our model also treats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as fixed, but in practice, sanctions, export-control revisions, and regulatory reversals arrive as exogenous shocks. The impact of these two assumptions on the stability of our results could be assessed through a Monte Carlo simulation using stochastic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and fixed costs. Both changes would likely make entry harder for developing-country exporters, so they should strengthen rather than weaken the main result.</w:t>
      </w:r>
    </w:p>
    <w:p>
      <w:pPr>
        <w:spacing w:before="0" w:after="160" w:line="360" w:lineRule="auto"/>
        <w:ind w:firstLine="0"/>
        <w:jc w:val="both"/>
      </w:pPr>
      <w:r>
        <w:rPr>
          <w:rFonts w:ascii="Times New Roman" w:hAnsi="Times New Roman"/>
          <w:b w:val="0"/>
          <w:i/>
          <w:sz w:val="24"/>
        </w:rPr>
        <w:t xml:space="preserve">Cost of capital. </w:t>
      </w:r>
      <w:r>
        <w:t xml:space="preserve">Because hardware dominates the cost stack, financing terms can determine the ranking. At an 8 percent WACC, an OECD hyperscaler pays about $1.58 per GPU-hour in hardware costs. At an 18 percent WACC, a locally financed developing-country operator pays $1.87, a $0.29 gap on hardware alone (</w:t>
      </w:r>
      <w:bookmarkStart w:id="236" w:name="Calcaterra2024txt"/>
      <w:hyperlink w:anchor="Calcaterra2024" w:history="1">
        <w:r>
          <w:rPr>
            <w:color w:val="1F3864"/>
            <w:u w:val="single"/>
          </w:rPr>
          <w:t xml:space="preserve">Calcaterra et al. 2024</w:t>
        </w:r>
      </w:hyperlink>
      <w:bookmarkEnd w:id="236"/>
      <w:r>
        <w:t xml:space="preserve">). Column (4) of </w:t>
      </w:r>
      <w:hyperlink w:anchor="Table3" w:history="1">
        <w:r>
          <w:rPr>
            <w:color w:val="1F3864"/>
            <w:u w:val="single"/>
          </w:rPr>
          <w:t xml:space="preserve">Table 3</w:t>
        </w:r>
      </w:hyperlink>
      <w:r>
        <w:t xml:space="preserve"> reports the cost-recovery ranking with hardware amortized at each country’s income-group WACC, using 8 percent for HICs, 12 percent for UMICs, 15 percent for LMICs, and 18 percent for LICs. Once financing costs enter, cheap electricity explains less of the ranking, and several regime classifications shift.</w:t>
      </w:r>
    </w:p>
    <w:p>
      <w:pPr>
        <w:spacing w:before="0" w:after="160" w:line="360" w:lineRule="auto"/>
        <w:ind w:firstLine="0"/>
        <w:jc w:val="both"/>
      </w:pPr>
      <w:r>
        <w:t xml:space="preserve">This mechanism links the cost-recovery and bilateral sovereignty specifications: institutional credibility matters for compute trade through two channels, the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and the cost of capital facing any locally financed operator. Hyperscaler-led foreign direct investment partially bypasses the channel. If a multinational owns, finances, and operates the facility outright, it may fund at its home WACC — but partial ownership, local debt, sovereign guarantees, and the pass-through of country risk to operating agreements reintroduce the channel in proportion to the host country’s financial exposure. A fully hyperscaler-financed project is therefore best treated as a limiting case rather than the baseline. Column (4) is therefore the more realistic benchmark for assessing whether developing countries can capture compute-export rents with domestic capital.</w:t>
      </w:r>
    </w:p>
    <w:p>
      <w:pPr>
        <w:pStyle w:val="Heading2"/>
      </w:pPr>
      <w:r>
        <w:rPr>
          <w:rFonts w:ascii="Times New Roman" w:hAnsi="Times New Roman"/>
          <w:b w:val="0"/>
          <w:i/>
          <w:color w:val="2F5496"/>
          <w:sz w:val="24"/>
        </w:rPr>
        <w:t>7.3 Extensions</w:t>
      </w:r>
    </w:p>
    <w:p>
      <w:pPr>
        <w:spacing w:before="0" w:after="160" w:line="360" w:lineRule="auto"/>
        <w:ind w:firstLine="0"/>
        <w:jc w:val="both"/>
      </w:pPr>
      <w:r>
        <w:rPr>
          <w:rFonts w:ascii="Times New Roman" w:hAnsi="Times New Roman"/>
          <w:b w:val="0"/>
          <w:i/>
          <w:sz w:val="24"/>
        </w:rPr>
        <w:t xml:space="preserve">Edge computing. </w:t>
      </w:r>
      <w:r>
        <w:t xml:space="preserve">Edge computing could weaken one of the model’s central constraints. As more AI demand comes from real-time inference on lightweight models deployed on local devices, the capacity constraint for inference becomes less binding: inference need not be concentrated in large data centers but can be distributed across many small nodes connected via existing mobile networks. If this trend accelerates, inference exports would become less concentrated, and more countries could serve regional demand. For EMDEs with weak grid infrastructure but adequate mobile connectivity, edge computing may offer a leapfrogging path that bypasses the grid bottlenecks central to the model (</w:t>
      </w:r>
      <w:bookmarkStart w:id="237" w:name="AykutEtAl2026txt"/>
      <w:hyperlink w:anchor="AykutEtAl2026" w:history="1">
        <w:r>
          <w:rPr>
            <w:color w:val="1F3864"/>
            <w:u w:val="single"/>
          </w:rPr>
          <w:t xml:space="preserve">Aykut et al. 2026</w:t>
        </w:r>
      </w:hyperlink>
      <w:bookmarkEnd w:id="237"/>
      <w:r>
        <w:t xml:space="preserve">). A fuller trade model would distinguish centralized GPU clusters for training from distributed edge nodes for inference.</w:t>
      </w:r>
    </w:p>
    <w:p>
      <w:pPr>
        <w:pStyle w:val="Heading1"/>
      </w:pPr>
      <w:r>
        <w:rPr>
          <w:rFonts w:ascii="Times New Roman" w:hAnsi="Times New Roman"/>
          <w:b/>
          <w:color w:val="2F5496"/>
          <w:sz w:val="28"/>
        </w:rPr>
        <w:t>8. Conclusion</w:t>
      </w:r>
    </w:p>
    <w:p>
      <w:pPr>
        <w:spacing w:before="0" w:after="160" w:line="360" w:lineRule="auto"/>
        <w:ind w:firstLine="0"/>
        <w:jc w:val="both"/>
      </w:pPr>
      <w:r>
        <w:t>Energy-rich developing countries can produce compute at low cost, but low cost alone does not make them exporters. The model explains why. Training can be traded globally, inference is constrained by latency, and both are affected by bilateral sovereignty frictions. Because hardware is globally priced, electricity and cooling create only a thin cost advantage, while the institutional frictions facing developing-country suppliers are often wider than that advantage.</w:t>
      </w:r>
    </w:p>
    <w:p>
      <w:pPr>
        <w:spacing w:before="0" w:after="160" w:line="360" w:lineRule="auto"/>
        <w:ind w:firstLine="0"/>
        <w:jc w:val="both"/>
      </w:pPr>
      <w:r>
        <w:t>The 85-country calibration shows that hardware dominance compresses cross-country production-cost differences. Cheap electricity and favorable cooling can make countries cost-competitive quickly, but modest frictions, including a sovereignty premium, weak governance, or a higher cost of capital, can erase that advantage. Compute may therefore be unusually accessible on engineering grounds, yet unusually exposed to policy and financing frictions because the production-cost spread is narrow.</w:t>
      </w:r>
    </w:p>
    <w:p>
      <w:pPr>
        <w:spacing w:before="0" w:after="160" w:line="360" w:lineRule="auto"/>
        <w:ind w:firstLine="0"/>
        <w:jc w:val="both"/>
      </w:pPr>
      <w:r>
        <w:t xml:space="preserve">Under the bilateral sovereignty specification, weak institutional credibility eliminates much of the cost advantage that developing countries hold under pure cost-recovery pricing. The binding constraint is often not the electricity price itself but rather non-sanctioned status, credible long-term power contracts, stable network connectivity, enforceable data governance rules, and a regulatory environment that supports capital-intensive investment. Where those conditions are absent, buyers shift toward domestic production despite higher production costs. The resulting welfare loss is large in dollars but modest relative to total compute spending, at about 1.6 percent, so governments with legitimate data-sovereignty objectives may rationally choose domestic supply. </w:t>
      </w:r>
    </w:p>
    <w:p>
      <w:pPr>
        <w:spacing w:before="0" w:after="160" w:line="360" w:lineRule="auto"/>
        <w:ind w:firstLine="0"/>
        <w:jc w:val="both"/>
      </w:pPr>
      <w:r>
        <w:t>For a developing country pursuing compute exports, the binding policy levers are mostly outside the power tariff. Financing is the first constraint. Hardware dominates the cost stack, and the WACC gap exceeds the energy advantage several times over. Sovereign guarantees, blended finance, multilateral risk insurance, and hyperscaler co-investment can all narrow that gap more than any feasible reduction in electricity tariffs. Regulatory credibility is the second lever. Data-adequacy status, mutual-recognition agreements, and recognized cloud-security certifications lower the trust premium foreign buyers apply, while broad data-localization mandates raise it and can foreclose export opportunities.</w:t>
      </w:r>
    </w:p>
    <w:p>
      <w:pPr>
        <w:spacing w:before="0" w:after="160" w:line="360" w:lineRule="auto"/>
        <w:ind w:firstLine="0"/>
        <w:jc w:val="both"/>
      </w:pPr>
      <w:r>
        <w:t>The final policy question is surplus capture. The Kyrgyzstan facility in Appendix D is NPV-positive, but under outright foreign-hyperscaler ownership, the host country retains little beyond electricity payments and construction-phase jobs. Taxation, equity participation, and royalty terms determine how much operating surplus stays onshore. Cheap energy can place a country in the cost-competitive set, but rent capture depends on financing, governance, and ownership.</w:t>
      </w:r>
    </w:p>
    <w:p>
      <w:pPr>
        <w:spacing w:before="0" w:after="160" w:line="360" w:lineRule="auto"/>
        <w:ind w:firstLine="0"/>
        <w:jc w:val="both"/>
      </w:pPr>
      <w:r>
        <w:t>The policy implications differ for training and inference. Restricting training imports raises costs without improving service quality, because training has no meaningful proximity advantage. Domestic inference production is easier to justify, since low latency can provide a genuine quality-of-service benefit, although that rationale weakens for countries located near low-cost regional hubs.</w:t>
      </w:r>
    </w:p>
    <w:p>
      <w:pPr>
        <w:spacing w:before="0" w:after="160" w:line="360" w:lineRule="auto"/>
        <w:ind w:firstLine="0"/>
        <w:jc w:val="both"/>
      </w:pPr>
      <w:r>
        <w:t>FLOP exporting is best understood as capital-intensive resource processing, in which imported equipment converts local energy into an exportable digital service with limited domestic labor input. Unlike extractive commodities, however, the input energy can be renewable, and demand for compute is growing faster than demand for most physical commodities. The resource-curse literature still matters because concentrated export revenues can generate exchange-rate pressure, institutional risks, and exposure to demand cycles. Whether compute-exporting countries face those risks will depend on the ownership and fiscal structures they adopt. As bilateral compute-trade data become available, this framework can be estimated directly using gravity-style methods.</w:t>
      </w:r>
    </w:p>
    <w:p>
      <w:pPr>
        <w:pStyle w:val="Heading1"/>
        <w:pageBreakBefore/>
      </w:pPr>
      <w:r>
        <w:rPr>
          <w:rFonts w:ascii="Times New Roman" w:hAnsi="Times New Roman"/>
          <w:b/>
          <w:color w:val="2F5496"/>
          <w:sz w:val="28"/>
        </w:rPr>
        <w:t>References</w:t>
      </w:r>
    </w:p>
    <w:p>
      <w:pPr>
        <w:spacing w:before="0" w:after="80" w:line="240" w:lineRule="exact"/>
        <w:ind w:hanging="720" w:left="720"/>
        <w:jc w:val="both"/>
      </w:pPr>
      <w:bookmarkStart w:id="500" w:name="AlvarezEtAl2026"/>
      <w:hyperlink w:anchor="AlvarezEtAl2026txt" w:history="1">
        <w:r>
          <w:rPr>
            <w:color w:val="1F3864"/>
            <w:u w:val="single"/>
          </w:rPr>
          <w:t xml:space="preserve">Alvarez, F., Argente, D., Chow, J., and D. Van Patten. (2026). </w:t>
        </w:r>
      </w:hyperlink>
      <w:r>
        <w:t xml:space="preserve">“Data Centers and Local Economies in the Age of AI: A Shift-Share Approach.” </w:t>
      </w:r>
      <w:r>
        <w:rPr>
          <w:i/>
        </w:rPr>
        <w:t>NBER Working Paper</w:t>
      </w:r>
      <w:r>
        <w:t xml:space="preserve"> No. 35194.</w:t>
      </w:r>
      <w:bookmarkEnd w:id="500"/>
    </w:p>
    <w:p>
      <w:pPr>
        <w:spacing w:before="0" w:after="80" w:line="240" w:lineRule="exact"/>
        <w:ind w:hanging="720" w:left="720"/>
        <w:jc w:val="both"/>
      </w:pPr>
      <w:bookmarkStart w:id="501" w:name="AndersonMarcouiller2002"/>
      <w:hyperlink w:anchor="AndersonMarcouiller2002txt" w:history="1">
        <w:r>
          <w:rPr>
            <w:color w:val="1F3864"/>
            <w:u w:val="single"/>
          </w:rPr>
          <w:t xml:space="preserve">Anderson, J. and D. Marcouiller. (2002). </w:t>
        </w:r>
      </w:hyperlink>
      <w:r>
        <w:t xml:space="preserve">“Insecure Trade: Reduced-Form Evidence.” </w:t>
      </w:r>
      <w:r>
        <w:rPr>
          <w:i/>
        </w:rPr>
        <w:t>Review of Economics and Statistics</w:t>
      </w:r>
      <w:r>
        <w:t>, 84(2): 342–352.</w:t>
      </w:r>
      <w:bookmarkEnd w:id="501"/>
    </w:p>
    <w:p>
      <w:pPr>
        <w:spacing w:before="0" w:after="80" w:line="240" w:lineRule="exact"/>
        <w:ind w:hanging="720" w:left="720"/>
        <w:jc w:val="both"/>
      </w:pPr>
      <w:bookmarkStart w:id="502" w:name="AndersonVanWincoop2003"/>
      <w:hyperlink w:anchor="AndersonVanWincoop2003txt" w:history="1">
        <w:r>
          <w:rPr>
            <w:color w:val="1F3864"/>
            <w:u w:val="single"/>
          </w:rPr>
          <w:t xml:space="preserve">Anderson, J. and E. van Wincoop. (2003). </w:t>
        </w:r>
      </w:hyperlink>
      <w:r>
        <w:t xml:space="preserve">“Gravity with Gravitas: A Solution to the Border Puzzle.” </w:t>
      </w:r>
      <w:r>
        <w:rPr>
          <w:i/>
        </w:rPr>
        <w:t>American Economic Review</w:t>
      </w:r>
      <w:r>
        <w:t>, 93(1): 170–192.</w:t>
      </w:r>
      <w:bookmarkEnd w:id="502"/>
    </w:p>
    <w:p>
      <w:pPr>
        <w:spacing w:before="0" w:after="80" w:line="240" w:lineRule="exact"/>
        <w:ind w:hanging="720" w:left="720"/>
        <w:jc w:val="both"/>
      </w:pPr>
      <w:bookmarkStart w:id="503" w:name="Antras2003"/>
      <w:hyperlink w:anchor="Antras2003txt" w:history="1">
        <w:r>
          <w:rPr>
            <w:color w:val="1F3864"/>
            <w:u w:val="single"/>
          </w:rPr>
          <w:t xml:space="preserve">Antràs, P. (2003). </w:t>
        </w:r>
      </w:hyperlink>
      <w:r>
        <w:t xml:space="preserve">“Firms, Contracts, and Trade Structure.” </w:t>
      </w:r>
      <w:r>
        <w:rPr>
          <w:i/>
        </w:rPr>
        <w:t>Quarterly Journal of Economics</w:t>
      </w:r>
      <w:r>
        <w:t>, 118(4): 1375–1418.</w:t>
      </w:r>
      <w:bookmarkEnd w:id="503"/>
    </w:p>
    <w:p>
      <w:pPr>
        <w:spacing w:before="0" w:after="80" w:line="240" w:lineRule="exact"/>
        <w:ind w:hanging="720" w:left="720"/>
        <w:jc w:val="both"/>
      </w:pPr>
      <w:bookmarkStart w:id="504" w:name="ACR2012"/>
      <w:hyperlink w:anchor="ACR2012txt" w:history="1">
        <w:r>
          <w:rPr>
            <w:color w:val="1F3864"/>
            <w:u w:val="single"/>
          </w:rPr>
          <w:t xml:space="preserve">Arkolakis, C., Costinot, A., and A. Rodríguez-Clare. (2012). </w:t>
        </w:r>
      </w:hyperlink>
      <w:r>
        <w:t xml:space="preserve">“New Trade Models, Same Old Gains?” </w:t>
      </w:r>
      <w:r>
        <w:rPr>
          <w:i/>
        </w:rPr>
        <w:t>American Economic Review</w:t>
      </w:r>
      <w:r>
        <w:t>, 102(1): 94–130.</w:t>
      </w:r>
      <w:bookmarkEnd w:id="504"/>
    </w:p>
    <w:p>
      <w:pPr>
        <w:spacing w:before="0" w:after="80" w:line="240" w:lineRule="exact"/>
        <w:ind w:hanging="720" w:left="720"/>
        <w:jc w:val="both"/>
      </w:pPr>
      <w:bookmarkStart w:id="505" w:name="ADB2020"/>
      <w:hyperlink w:anchor="ADB2020txt" w:history="1">
        <w:r>
          <w:rPr>
            <w:color w:val="1F3864"/>
            <w:u w:val="single"/>
          </w:rPr>
          <w:t xml:space="preserve">Asian Development Bank. (2020). </w:t>
        </w:r>
      </w:hyperlink>
      <w:r>
        <w:t>“Toktogul Rehabilitation Project Phase 3: Sector Assessment.” Asian Development Bank. Report No. 49013-002.</w:t>
      </w:r>
      <w:bookmarkEnd w:id="505"/>
    </w:p>
    <w:p>
      <w:pPr>
        <w:spacing w:before="0" w:after="80" w:line="240" w:lineRule="exact"/>
        <w:ind w:hanging="720" w:left="720"/>
        <w:jc w:val="both"/>
      </w:pPr>
      <w:bookmarkStart w:id="506" w:name="AykutEtAl2026"/>
      <w:hyperlink w:anchor="AykutEtAl2026txt" w:history="1">
        <w:r>
          <w:rPr>
            <w:color w:val="1F3864"/>
            <w:u w:val="single"/>
          </w:rPr>
          <w:t xml:space="preserve">Aykut, D., Ozyurt, S., Jung, K., and E. Vergara Cobos. (2026). </w:t>
        </w:r>
      </w:hyperlink>
      <w:r>
        <w:t xml:space="preserve">“Data Center and AI Investment in EMDEs: Risks and Opportunities.” </w:t>
      </w:r>
      <w:r>
        <w:rPr>
          <w:i/>
        </w:rPr>
        <w:t>Watch This Space</w:t>
      </w:r>
      <w:r>
        <w:t xml:space="preserve">. Washington, DC: </w:t>
      </w:r>
      <w:bookmarkStart w:id="238" w:name="WorldBank2024txt"/>
      <w:hyperlink w:anchor="WorldBank2024" w:history="1">
        <w:r>
          <w:rPr>
            <w:color w:val="1F3864"/>
            <w:u w:val="single"/>
          </w:rPr>
          <w:t xml:space="preserve">World Bank</w:t>
        </w:r>
      </w:hyperlink>
      <w:bookmarkEnd w:id="238"/>
      <w:r>
        <w:t xml:space="preserve"> Group.</w:t>
      </w:r>
      <w:bookmarkEnd w:id="506"/>
    </w:p>
    <w:p>
      <w:pPr>
        <w:spacing w:before="0" w:after="80" w:line="240" w:lineRule="exact"/>
        <w:ind w:hanging="720" w:left="720"/>
        <w:jc w:val="both"/>
      </w:pPr>
      <w:bookmarkStart w:id="507" w:name="BaileyEtAl2017"/>
      <w:hyperlink w:anchor="BaileyEtAl2017txt" w:history="1">
        <w:r>
          <w:rPr>
            <w:color w:val="1F3864"/>
            <w:u w:val="single"/>
          </w:rPr>
          <w:t xml:space="preserve">Bailey, M., Strezhnev, A., and E. Voeten. (2017). </w:t>
        </w:r>
      </w:hyperlink>
      <w:r>
        <w:t xml:space="preserve">“Estimating Dynamic State Preferences from United Nations Voting Data.” </w:t>
      </w:r>
      <w:r>
        <w:rPr>
          <w:i/>
        </w:rPr>
        <w:t>Journal of Conflict Resolution</w:t>
      </w:r>
      <w:r>
        <w:t>, 61(2): 430–456.</w:t>
      </w:r>
      <w:bookmarkEnd w:id="507"/>
    </w:p>
    <w:p>
      <w:pPr>
        <w:spacing w:before="0" w:after="80" w:line="240" w:lineRule="exact"/>
        <w:ind w:hanging="720" w:left="720"/>
        <w:jc w:val="both"/>
      </w:pPr>
      <w:bookmarkStart w:id="508" w:name="Barroso2018"/>
      <w:hyperlink w:anchor="Barroso2018txt" w:history="1">
        <w:r>
          <w:rPr>
            <w:color w:val="1F3864"/>
            <w:u w:val="single"/>
          </w:rPr>
          <w:t xml:space="preserve">Barroso, L., Hölzle, U., and P. Ranganathan. </w:t>
        </w:r>
      </w:hyperlink>
      <w:r>
        <w:t xml:space="preserve">(2018). </w:t>
      </w:r>
      <w:r>
        <w:rPr>
          <w:i/>
        </w:rPr>
        <w:t>The Datacenter as a Computer</w:t>
      </w:r>
      <w:r>
        <w:t>: Designing Warehouse-Scale Machines, 3rd ed. San Rafael, CA: Morgan &amp; Claypool.</w:t>
      </w:r>
      <w:bookmarkEnd w:id="508"/>
    </w:p>
    <w:p>
      <w:pPr>
        <w:spacing w:before="0" w:after="80" w:line="240" w:lineRule="exact"/>
        <w:ind w:hanging="720" w:left="720"/>
        <w:jc w:val="both"/>
      </w:pPr>
      <w:bookmarkStart w:id="509" w:name="BenzJaax2020"/>
      <w:hyperlink w:anchor="BenzJaax2020txt" w:history="1">
        <w:r>
          <w:rPr>
            <w:color w:val="1F3864"/>
            <w:u w:val="single"/>
          </w:rPr>
          <w:t xml:space="preserve">Benz, S. and A. Jaax. (2020). </w:t>
        </w:r>
      </w:hyperlink>
      <w:r>
        <w:t xml:space="preserve">“The Costs of Regulatory Barriers to Trade in Services: New Estimates of Ad Valorem Tariff Equivalents.” </w:t>
      </w:r>
      <w:r>
        <w:rPr>
          <w:i/>
        </w:rPr>
        <w:t>OECD Trade Policy Papers</w:t>
      </w:r>
      <w:r>
        <w:t>, No. 238. Paris: OECD Publishing.</w:t>
      </w:r>
      <w:bookmarkEnd w:id="509"/>
    </w:p>
    <w:p>
      <w:pPr>
        <w:spacing w:before="0" w:after="80" w:line="240" w:lineRule="exact"/>
        <w:ind w:hanging="720" w:left="720"/>
        <w:jc w:val="both"/>
      </w:pPr>
      <w:bookmarkStart w:id="510" w:name="Biglaiser2024"/>
      <w:hyperlink w:anchor="Biglaiser2024txt" w:history="1">
        <w:r>
          <w:rPr>
            <w:color w:val="1F3864"/>
            <w:u w:val="single"/>
          </w:rPr>
          <w:t xml:space="preserve">Biglaiser, G., Crémer, J., and A. Mantovani. (2024). </w:t>
        </w:r>
      </w:hyperlink>
      <w:r>
        <w:t xml:space="preserve">“The Economics of the Cloud.” </w:t>
      </w:r>
      <w:r>
        <w:rPr>
          <w:i/>
        </w:rPr>
        <w:t>Toulouse School of Economics Working Paper</w:t>
      </w:r>
      <w:r>
        <w:t xml:space="preserve"> No. 24-1520.</w:t>
      </w:r>
      <w:bookmarkEnd w:id="510"/>
    </w:p>
    <w:p>
      <w:pPr>
        <w:spacing w:before="0" w:after="80" w:line="240" w:lineRule="exact"/>
        <w:ind w:hanging="720" w:left="720"/>
        <w:jc w:val="both"/>
      </w:pPr>
      <w:bookmarkStart w:id="511"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11"/>
    </w:p>
    <w:p>
      <w:pPr>
        <w:spacing w:before="0" w:after="80" w:line="240" w:lineRule="exact"/>
        <w:ind w:hanging="720" w:left="720"/>
        <w:jc w:val="both"/>
      </w:pPr>
      <w:bookmarkStart w:id="512"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12"/>
    </w:p>
    <w:p>
      <w:pPr>
        <w:spacing w:before="0" w:after="80" w:line="240" w:lineRule="exact"/>
        <w:ind w:hanging="720" w:left="720"/>
        <w:jc w:val="both"/>
      </w:pPr>
      <w:bookmarkStart w:id="513" w:name="Calcaterra2024"/>
      <w:hyperlink w:anchor="Calcaterra2024txt" w:history="1">
        <w:r>
          <w:rPr>
            <w:color w:val="1F3864"/>
            <w:u w:val="single"/>
          </w:rPr>
          <w:t xml:space="preserve">Calcaterra, M., Reis, L., Fragkos, P., Briera, T., Boer, H., Egli, F., Emmerling, J., Iyer, G., Mittal, S., Polzin, F., Sanders, M., Schmidt, T., Serebriakova, A., and B. Steffen. (2024). </w:t>
        </w:r>
      </w:hyperlink>
      <w:r>
        <w:t xml:space="preserve">“Reducing the Cost of Capital to Finance the Energy Transition in Developing Countries.” </w:t>
      </w:r>
      <w:r>
        <w:rPr>
          <w:i/>
        </w:rPr>
        <w:t>Nature Energy</w:t>
      </w:r>
      <w:r>
        <w:t>, 9(10): 1241–1251.</w:t>
      </w:r>
      <w:bookmarkEnd w:id="513"/>
    </w:p>
    <w:p>
      <w:pPr>
        <w:spacing w:before="0" w:after="80" w:line="240" w:lineRule="exact"/>
        <w:ind w:hanging="720" w:left="720"/>
        <w:jc w:val="both"/>
      </w:pPr>
      <w:bookmarkStart w:id="514" w:name="CaouiSteck2025"/>
      <w:hyperlink w:anchor="CaouiSteck2025txt" w:history="1">
        <w:r>
          <w:rPr>
            <w:color w:val="1F3864"/>
            <w:u w:val="single"/>
          </w:rPr>
          <w:t xml:space="preserve">Caoui, E., and A. Steck. (2025). </w:t>
        </w:r>
      </w:hyperlink>
      <w:r>
        <w:t xml:space="preserve">“Content Providers and the Deployment of Internet Infrastructure.” </w:t>
      </w:r>
      <w:r>
        <w:rPr>
          <w:i/>
        </w:rPr>
        <w:t>Information Economics and Policy</w:t>
      </w:r>
      <w:r>
        <w:t>. doi:10.1016/j.infoecopol.2025.101134.</w:t>
      </w:r>
      <w:bookmarkEnd w:id="514"/>
    </w:p>
    <w:p>
      <w:pPr>
        <w:spacing w:before="0" w:after="80" w:line="240" w:lineRule="exact"/>
        <w:ind w:hanging="720" w:left="720"/>
        <w:jc w:val="both"/>
      </w:pPr>
      <w:bookmarkStart w:id="515" w:name="Chandramowli2024"/>
      <w:hyperlink w:anchor="Chandramowli2024txt" w:history="1">
        <w:r>
          <w:rPr>
            <w:color w:val="1F3864"/>
            <w:u w:val="single"/>
          </w:rPr>
          <w:t xml:space="preserve">Chandramowli, S., Cook, P., Mackovyak, J., Parmar, H., and M. Scheller. </w:t>
        </w:r>
      </w:hyperlink>
      <w:r>
        <w:t xml:space="preserve">(2024). </w:t>
      </w:r>
      <w:r>
        <w:rPr>
          <w:i/>
        </w:rPr>
        <w:t>Power Surge: Navigating US Electricity Demand Growth</w:t>
      </w:r>
      <w:r>
        <w:t>. ICF.</w:t>
      </w:r>
      <w:bookmarkEnd w:id="515"/>
    </w:p>
    <w:p>
      <w:pPr>
        <w:spacing w:before="0" w:after="80" w:line="240" w:lineRule="exact"/>
        <w:ind w:hanging="720" w:left="720"/>
        <w:jc w:val="both"/>
      </w:pPr>
      <w:bookmarkStart w:id="516"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16"/>
    </w:p>
    <w:p>
      <w:pPr>
        <w:spacing w:before="0" w:after="80" w:line="240" w:lineRule="exact"/>
        <w:ind w:hanging="720" w:left="720"/>
        <w:jc w:val="both"/>
      </w:pPr>
      <w:bookmarkStart w:id="517" w:name="Deloitte2020"/>
      <w:hyperlink w:anchor="Deloitte2020txt" w:history="1">
        <w:r>
          <w:rPr>
            <w:color w:val="1F3864"/>
            <w:u w:val="single"/>
          </w:rPr>
          <w:t xml:space="preserve">Deloitte and Google. (2020). </w:t>
        </w:r>
      </w:hyperlink>
      <w:r>
        <w:t>“Milliseconds Make Millions.” Deloitte Digital and Google.</w:t>
      </w:r>
      <w:bookmarkEnd w:id="517"/>
    </w:p>
    <w:p>
      <w:pPr>
        <w:spacing w:before="0" w:after="80" w:line="240" w:lineRule="exact"/>
        <w:ind w:hanging="720" w:left="720"/>
        <w:jc w:val="both"/>
      </w:pPr>
      <w:bookmarkStart w:id="518"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8"/>
    </w:p>
    <w:p>
      <w:pPr>
        <w:spacing w:before="0" w:after="80" w:line="240" w:lineRule="exact"/>
        <w:ind w:hanging="720" w:left="720"/>
        <w:jc w:val="both"/>
      </w:pPr>
      <w:bookmarkStart w:id="519"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9"/>
    </w:p>
    <w:p>
      <w:pPr>
        <w:spacing w:before="0" w:after="80" w:line="240" w:lineRule="exact"/>
        <w:ind w:hanging="720" w:left="720"/>
        <w:jc w:val="both"/>
      </w:pPr>
      <w:bookmarkStart w:id="520"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20"/>
    </w:p>
    <w:p>
      <w:pPr>
        <w:spacing w:before="0" w:after="80" w:line="240" w:lineRule="exact"/>
        <w:ind w:hanging="720" w:left="720"/>
        <w:jc w:val="both"/>
      </w:pPr>
      <w:bookmarkStart w:id="521" w:name="EpochAI2024"/>
      <w:r>
        <w:rPr>
          <w:color w:val="1F3864"/>
          <w:u w:val="single"/>
        </w:rPr>
        <w:t xml:space="preserve">Epoch AI. (2024). </w:t>
      </w:r>
      <w:r>
        <w:t>“The Training Compute of Notable AI Models.” epochai.org.</w:t>
      </w:r>
      <w:bookmarkEnd w:id="521"/>
    </w:p>
    <w:p>
      <w:pPr>
        <w:spacing w:before="0" w:after="80" w:line="240" w:lineRule="exact"/>
        <w:ind w:hanging="720" w:left="720"/>
        <w:jc w:val="both"/>
      </w:pPr>
      <w:bookmarkStart w:id="522"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22"/>
    </w:p>
    <w:p>
      <w:pPr>
        <w:spacing w:before="0" w:after="80" w:line="240" w:lineRule="exact"/>
        <w:ind w:hanging="720" w:left="720"/>
        <w:jc w:val="both"/>
      </w:pPr>
      <w:bookmarkStart w:id="523"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23"/>
    </w:p>
    <w:p>
      <w:pPr>
        <w:spacing w:before="0" w:after="80" w:line="240" w:lineRule="exact"/>
        <w:ind w:hanging="720" w:left="720"/>
        <w:jc w:val="both"/>
      </w:pPr>
      <w:bookmarkStart w:id="524" w:name="Flucker2013"/>
      <w:hyperlink w:anchor="Flucker2013txt" w:history="1">
        <w:r>
          <w:rPr>
            <w:color w:val="1F3864"/>
            <w:u w:val="single"/>
          </w:rPr>
          <w:t xml:space="preserve">Flucker, S., Tozer, R., and R. Whitehead. (2013). </w:t>
        </w:r>
      </w:hyperlink>
      <w:r>
        <w:t xml:space="preserve">“Data Centre Energy Efficiency Analysis to Minimize Total Cost of Ownership.” </w:t>
      </w:r>
      <w:r>
        <w:rPr>
          <w:i/>
        </w:rPr>
        <w:t>Building Services Engineering Research and Technology</w:t>
      </w:r>
      <w:r>
        <w:t>, 34(1): 103–117.</w:t>
      </w:r>
      <w:bookmarkEnd w:id="524"/>
    </w:p>
    <w:p>
      <w:pPr>
        <w:spacing w:before="0" w:after="80" w:line="240" w:lineRule="exact"/>
        <w:ind w:hanging="720" w:left="720"/>
        <w:jc w:val="both"/>
      </w:pPr>
      <w:bookmarkStart w:id="525"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25"/>
    </w:p>
    <w:p>
      <w:pPr>
        <w:spacing w:before="0" w:after="80" w:line="240" w:lineRule="exact"/>
        <w:ind w:hanging="720" w:left="720"/>
        <w:jc w:val="both"/>
      </w:pPr>
      <w:bookmarkStart w:id="526"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6"/>
    </w:p>
    <w:p>
      <w:pPr>
        <w:spacing w:before="0" w:after="80" w:line="240" w:lineRule="exact"/>
        <w:ind w:hanging="720" w:left="720"/>
        <w:jc w:val="both"/>
      </w:pPr>
      <w:bookmarkStart w:id="527" w:name="Google2024"/>
      <w:hyperlink w:anchor="Google2024txt" w:history="1">
        <w:r>
          <w:rPr>
            <w:color w:val="1F3864"/>
            <w:u w:val="single"/>
          </w:rPr>
          <w:t xml:space="preserve">Google. </w:t>
        </w:r>
      </w:hyperlink>
      <w:r>
        <w:t xml:space="preserve">(2024). </w:t>
      </w:r>
      <w:r>
        <w:rPr>
          <w:i/>
        </w:rPr>
        <w:t>2024 Environmental Report</w:t>
      </w:r>
      <w:r>
        <w:t>. sustainability.google.</w:t>
      </w:r>
      <w:bookmarkEnd w:id="527"/>
    </w:p>
    <w:p>
      <w:pPr>
        <w:spacing w:before="0" w:after="80" w:line="240" w:lineRule="exact"/>
        <w:ind w:hanging="720" w:left="720"/>
        <w:jc w:val="both"/>
      </w:pPr>
      <w:bookmarkStart w:id="528" w:name="Hausmann2007"/>
      <w:hyperlink w:anchor="Hausmann2007txt" w:history="1">
        <w:r>
          <w:rPr>
            <w:color w:val="1F3864"/>
            <w:u w:val="single"/>
          </w:rPr>
          <w:t xml:space="preserve">Hausmann, R., Hwang, J., and D. Rodrik. (2007). </w:t>
        </w:r>
      </w:hyperlink>
      <w:r>
        <w:t xml:space="preserve">“What You Export Matters.” </w:t>
      </w:r>
      <w:r>
        <w:rPr>
          <w:i/>
        </w:rPr>
        <w:t>Journal of Economic Growth</w:t>
      </w:r>
      <w:r>
        <w:t>, 12(1): 1–25.</w:t>
      </w:r>
      <w:bookmarkEnd w:id="528"/>
    </w:p>
    <w:p>
      <w:pPr>
        <w:spacing w:before="0" w:after="80" w:line="240" w:lineRule="exact"/>
        <w:ind w:hanging="720" w:left="720"/>
        <w:jc w:val="both"/>
      </w:pPr>
      <w:bookmarkStart w:id="529" w:name="Heckscher1919"/>
      <w:hyperlink w:anchor="Heckscher1919txt" w:history="1">
        <w:r>
          <w:rPr>
            <w:color w:val="1F3864"/>
            <w:u w:val="single"/>
          </w:rPr>
          <w:t xml:space="preserve">Heckscher, E. (1919). </w:t>
        </w:r>
      </w:hyperlink>
      <w:r>
        <w:t xml:space="preserve">“The Effect of Foreign Trade on the Distribution of Income.” </w:t>
      </w:r>
      <w:r>
        <w:rPr>
          <w:i/>
        </w:rPr>
        <w:t>Ekonomisk Tidskrift</w:t>
      </w:r>
      <w:r>
        <w:t>, 21: 497–512.</w:t>
      </w:r>
      <w:bookmarkEnd w:id="529"/>
    </w:p>
    <w:p>
      <w:pPr>
        <w:spacing w:before="0" w:after="80" w:line="240" w:lineRule="exact"/>
        <w:ind w:hanging="720" w:left="720"/>
        <w:jc w:val="both"/>
      </w:pPr>
      <w:bookmarkStart w:id="530" w:name="HMY2004"/>
      <w:hyperlink w:anchor="HMY2004txt" w:history="1">
        <w:r>
          <w:rPr>
            <w:color w:val="1F3864"/>
            <w:u w:val="single"/>
          </w:rPr>
          <w:t xml:space="preserve">Helpman, E., Melitz, M., and S. Yeaple. (2004). </w:t>
        </w:r>
      </w:hyperlink>
      <w:r>
        <w:t xml:space="preserve">“Export Versus FDI with Heterogeneous Firms.” </w:t>
      </w:r>
      <w:r>
        <w:rPr>
          <w:i/>
        </w:rPr>
        <w:t>American Economic Review</w:t>
      </w:r>
      <w:r>
        <w:t>, 94(1): 300–316.</w:t>
      </w:r>
      <w:bookmarkEnd w:id="530"/>
    </w:p>
    <w:p>
      <w:pPr>
        <w:spacing w:before="0" w:after="80" w:line="240" w:lineRule="exact"/>
        <w:ind w:hanging="720" w:left="720"/>
        <w:jc w:val="both"/>
      </w:pPr>
      <w:bookmarkStart w:id="531"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31"/>
    </w:p>
    <w:p>
      <w:pPr>
        <w:spacing w:before="0" w:after="80" w:line="240" w:lineRule="exact"/>
        <w:ind w:hanging="720" w:left="720"/>
        <w:jc w:val="both"/>
      </w:pPr>
      <w:bookmarkStart w:id="532" w:name="IEA2025"/>
      <w:hyperlink w:anchor="IEA2025txt" w:history="1">
        <w:r>
          <w:rPr>
            <w:color w:val="1F3864"/>
            <w:u w:val="single"/>
          </w:rPr>
          <w:t xml:space="preserve">IEA. (2025). </w:t>
        </w:r>
      </w:hyperlink>
      <w:r>
        <w:t>“Energy Demand from AI.” Published online at iea.org.</w:t>
      </w:r>
      <w:bookmarkEnd w:id="532"/>
    </w:p>
    <w:p>
      <w:pPr>
        <w:spacing w:before="0" w:after="80" w:line="240" w:lineRule="exact"/>
        <w:ind w:hanging="720" w:left="720"/>
        <w:jc w:val="both"/>
      </w:pPr>
      <w:bookmarkStart w:id="533"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33"/>
    </w:p>
    <w:p>
      <w:pPr>
        <w:spacing w:before="0" w:after="80" w:line="240" w:lineRule="exact"/>
        <w:ind w:hanging="720" w:left="720"/>
        <w:jc w:val="both"/>
      </w:pPr>
      <w:bookmarkStart w:id="534" w:name="KatzEtAl2025"/>
      <w:hyperlink w:anchor="KatzEtAl2025txt" w:history="1">
        <w:r>
          <w:rPr>
            <w:color w:val="1F3864"/>
            <w:u w:val="single"/>
          </w:rPr>
          <w:t xml:space="preserve">Katz, R., Jung, K., and F. Callorda. (2025). </w:t>
        </w:r>
      </w:hyperlink>
      <w:r>
        <w:t>“The Economic Impact of AI and Cloud Investment in Asia-Pacific.” Report prepared for the Asian Development Bank.</w:t>
      </w:r>
      <w:bookmarkEnd w:id="534"/>
    </w:p>
    <w:p>
      <w:pPr>
        <w:spacing w:before="0" w:after="80" w:line="240" w:lineRule="exact"/>
        <w:ind w:hanging="720" w:left="720"/>
        <w:jc w:val="both"/>
      </w:pPr>
      <w:bookmarkStart w:id="535" w:name="Korinek2021"/>
      <w:hyperlink w:anchor="Korinek2021txt" w:history="1">
        <w:r>
          <w:rPr>
            <w:color w:val="1F3864"/>
            <w:u w:val="single"/>
          </w:rPr>
          <w:t xml:space="preserve">Korinek, A., and J. Stiglitz. (2021). </w:t>
        </w:r>
      </w:hyperlink>
      <w:r>
        <w:t xml:space="preserve">“Artificial Intelligence, Globalization, and Strategies for Economic Development.” </w:t>
      </w:r>
      <w:r>
        <w:rPr>
          <w:i/>
        </w:rPr>
        <w:t>NBER Working Paper</w:t>
      </w:r>
      <w:r>
        <w:t xml:space="preserve"> No. 28453.</w:t>
      </w:r>
      <w:bookmarkEnd w:id="535"/>
    </w:p>
    <w:p>
      <w:pPr>
        <w:spacing w:before="0" w:after="80" w:line="240" w:lineRule="exact"/>
        <w:ind w:hanging="720" w:left="720"/>
        <w:jc w:val="both"/>
      </w:pPr>
      <w:bookmarkStart w:id="536"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36"/>
    </w:p>
    <w:p>
      <w:pPr>
        <w:spacing w:before="0" w:after="80" w:line="240" w:lineRule="exact"/>
        <w:ind w:hanging="720" w:left="720"/>
        <w:jc w:val="both"/>
      </w:pPr>
      <w:bookmarkStart w:id="537"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37"/>
    </w:p>
    <w:p>
      <w:pPr>
        <w:spacing w:before="0" w:after="80" w:line="240" w:lineRule="exact"/>
        <w:ind w:hanging="720" w:left="720"/>
        <w:jc w:val="both"/>
      </w:pPr>
      <w:bookmarkStart w:id="538" w:name="Lehdonvirta2024"/>
      <w:hyperlink w:anchor="Lehdonvirta2024txt" w:history="1">
        <w:r>
          <w:rPr>
            <w:color w:val="1F3864"/>
            <w:u w:val="single"/>
          </w:rPr>
          <w:t xml:space="preserve">Lehdonvirta, V., Wu, B.,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8"/>
    </w:p>
    <w:p>
      <w:pPr>
        <w:spacing w:before="0" w:after="80" w:line="240" w:lineRule="exact"/>
        <w:ind w:hanging="720" w:left="720"/>
        <w:jc w:val="both"/>
      </w:pPr>
      <w:bookmarkStart w:id="539"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9" w:name="WorldBank2024txt"/>
      <w:hyperlink w:anchor="WorldBank2024" w:history="1">
        <w:r>
          <w:rPr>
            <w:i/>
            <w:color w:val="1F3864"/>
            <w:u w:val="single"/>
          </w:rPr>
          <w:t xml:space="preserve">World Bank</w:t>
        </w:r>
      </w:hyperlink>
      <w:bookmarkEnd w:id="239"/>
      <w:r>
        <w:rPr>
          <w:i/>
        </w:rPr>
        <w:t xml:space="preserve"> Economic Review</w:t>
      </w:r>
      <w:r>
        <w:t>, 15(3): 451–479.</w:t>
      </w:r>
      <w:bookmarkEnd w:id="539"/>
    </w:p>
    <w:p>
      <w:pPr>
        <w:spacing w:before="0" w:after="80" w:line="240" w:lineRule="exact"/>
        <w:ind w:hanging="720" w:left="720"/>
        <w:jc w:val="both"/>
      </w:pPr>
      <w:bookmarkStart w:id="540" w:name="Liu2023"/>
      <w:hyperlink w:anchor="Liu2023txt" w:history="1">
        <w:r>
          <w:rPr>
            <w:color w:val="1F3864"/>
            <w:u w:val="single"/>
          </w:rPr>
          <w:t xml:space="preserve">Liu, Z., Wierman, A., Chen, Y., Raber, B., and J. Moriarty. (2023). </w:t>
        </w:r>
      </w:hyperlink>
      <w:r>
        <w:t xml:space="preserve">“Sustainability of Data Center Digital Twins.” </w:t>
      </w:r>
      <w:r>
        <w:rPr>
          <w:i/>
        </w:rPr>
        <w:t>Proceedings of ACM e-Energy</w:t>
      </w:r>
      <w:r>
        <w:t>, pp. 178–189.</w:t>
      </w:r>
      <w:bookmarkEnd w:id="540"/>
    </w:p>
    <w:p>
      <w:pPr>
        <w:spacing w:before="0" w:after="80" w:line="240" w:lineRule="exact"/>
        <w:ind w:hanging="720" w:left="720"/>
        <w:jc w:val="both"/>
      </w:pPr>
      <w:bookmarkStart w:id="541" w:name="NVIDIA2024"/>
      <w:r>
        <w:rPr>
          <w:color w:val="1F3864"/>
          <w:u w:val="single"/>
        </w:rPr>
        <w:t xml:space="preserve">NVIDIA. </w:t>
      </w:r>
      <w:r>
        <w:t xml:space="preserve">(2024). </w:t>
      </w:r>
      <w:r>
        <w:rPr>
          <w:i/>
        </w:rPr>
        <w:t>NVIDIA H100 Tensor Core GPU Datasheet</w:t>
      </w:r>
      <w:r>
        <w:t>. nvidia.com.</w:t>
      </w:r>
      <w:bookmarkEnd w:id="541"/>
    </w:p>
    <w:p>
      <w:pPr>
        <w:spacing w:before="0" w:after="80" w:line="240" w:lineRule="exact"/>
        <w:ind w:hanging="720" w:left="720"/>
        <w:jc w:val="both"/>
      </w:pPr>
      <w:bookmarkStart w:id="542"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42"/>
    </w:p>
    <w:p>
      <w:pPr>
        <w:spacing w:before="0" w:after="80" w:line="240" w:lineRule="exact"/>
        <w:ind w:hanging="720" w:left="720"/>
        <w:jc w:val="both"/>
      </w:pPr>
      <w:bookmarkStart w:id="543" w:name="Pilz2025"/>
      <w:hyperlink w:anchor="Pilz2025txt" w:history="1">
        <w:r>
          <w:rPr>
            <w:color w:val="1F3864"/>
            <w:u w:val="single"/>
          </w:rPr>
          <w:t xml:space="preserve">Pilz, K., Mahmood, Y., and L. Heim. </w:t>
        </w:r>
      </w:hyperlink>
      <w:r>
        <w:t xml:space="preserve">(2025). </w:t>
      </w:r>
      <w:r>
        <w:rPr>
          <w:i/>
        </w:rPr>
        <w:t>AI’s Power Requirements Under Exponential Growth</w:t>
      </w:r>
      <w:r>
        <w:t>. Santa Monica, CA: RAND Corporation, RR-A3572-1.</w:t>
      </w:r>
      <w:bookmarkEnd w:id="543"/>
    </w:p>
    <w:p>
      <w:pPr>
        <w:spacing w:before="0" w:after="80" w:line="240" w:lineRule="exact"/>
        <w:ind w:hanging="720" w:left="720"/>
        <w:jc w:val="both"/>
      </w:pPr>
      <w:bookmarkStart w:id="544" w:name="Sastry2024"/>
      <w:hyperlink w:anchor="Sastry2024txt" w:history="1">
        <w:r>
          <w:rPr>
            <w:color w:val="1F3864"/>
            <w:u w:val="single"/>
          </w:rPr>
          <w:t xml:space="preserve">Sastry, G., Heim, L., Belfield, H., Anderljung, M., Brundage, M., Hazell, J., O’Keefe, C., Hadfield, G. K., Ngo, R., Pilz, K., Gor, G., Bluemke, E., Shoker, S., Egan, J., Trager, R. F., Avin, S., Weller, A., Bengio, Y., and D. Coyle. (2024). </w:t>
        </w:r>
      </w:hyperlink>
      <w:r>
        <w:t>“Computing Power and the Governance of Artificial Intelligence.” arXiv:2402.08797.</w:t>
      </w:r>
      <w:bookmarkEnd w:id="544"/>
    </w:p>
    <w:p>
      <w:pPr>
        <w:spacing w:before="0" w:after="80" w:line="240" w:lineRule="exact"/>
        <w:ind w:hanging="720" w:left="720"/>
        <w:jc w:val="both"/>
      </w:pPr>
      <w:bookmarkStart w:id="545" w:name="SevillaEtAl2022"/>
      <w:hyperlink w:anchor="SevillaEtAl2022txt" w:history="1">
        <w:r>
          <w:rPr>
            <w:color w:val="1F3864"/>
            <w:u w:val="single"/>
          </w:rPr>
          <w:t xml:space="preserve">Sevilla, J., Heim, L., Ho, A., Besiroglu, T., Hobbhahn, M., and P. Villalobos. (2022). </w:t>
        </w:r>
      </w:hyperlink>
      <w:r>
        <w:t>“Compute Trends across Three Eras of Machine Learning.” arXiv Working Paper No. 2202.05924. https://doi.org/10.48550/arXiv.2202.05924.</w:t>
      </w:r>
      <w:bookmarkEnd w:id="545"/>
    </w:p>
    <w:p>
      <w:pPr>
        <w:spacing w:before="0" w:after="80" w:line="240" w:lineRule="exact"/>
        <w:ind w:hanging="720" w:left="720"/>
        <w:jc w:val="both"/>
      </w:pPr>
      <w:bookmarkStart w:id="546" w:name="Stojkoski2024"/>
      <w:hyperlink w:anchor="Stojkoski2024txt" w:history="1">
        <w:r>
          <w:rPr>
            <w:color w:val="1F3864"/>
            <w:u w:val="single"/>
          </w:rPr>
          <w:t xml:space="preserve">Stojkoski, V., Koch, P., Coll, E., and C. A. Hidalgo. (2024). </w:t>
        </w:r>
      </w:hyperlink>
      <w:r>
        <w:t xml:space="preserve">“Estimating Digital Product Trade through Corporate Revenue Data.” </w:t>
      </w:r>
      <w:r>
        <w:rPr>
          <w:i/>
        </w:rPr>
        <w:t>Nature Communications</w:t>
      </w:r>
      <w:r>
        <w:t>, 15: 5262.</w:t>
      </w:r>
      <w:bookmarkEnd w:id="546"/>
    </w:p>
    <w:p>
      <w:pPr>
        <w:spacing w:before="0" w:after="80" w:line="240" w:lineRule="exact"/>
        <w:ind w:hanging="720" w:left="720"/>
        <w:jc w:val="both"/>
      </w:pPr>
      <w:bookmarkStart w:id="547" w:name="StraubEtAl2026"/>
      <w:hyperlink w:anchor="StraubEtAl2026txt" w:history="1">
        <w:r>
          <w:rPr>
            <w:color w:val="1F3864"/>
            <w:u w:val="single"/>
          </w:rPr>
          <w:t xml:space="preserve">Straub, S., He, H., Li, Y., Lyu, X., Steinbuks, J., Vergara Cobos, E., Dann, C., García-Santana, M., and H. Selod. </w:t>
        </w:r>
      </w:hyperlink>
      <w:r>
        <w:t xml:space="preserve">(2026). </w:t>
      </w:r>
      <w:r>
        <w:rPr>
          <w:i/>
        </w:rPr>
        <w:t>Infrastructure Foundations: From Current Assets to Future Growth</w:t>
      </w:r>
      <w:r>
        <w:t xml:space="preserve">. Sustainable Infrastructure Series. Washington, DC: </w:t>
      </w:r>
      <w:bookmarkStart w:id="240" w:name="WorldBank2024txt"/>
      <w:hyperlink w:anchor="WorldBank2024" w:history="1">
        <w:r>
          <w:rPr>
            <w:color w:val="1F3864"/>
            <w:u w:val="single"/>
          </w:rPr>
          <w:t xml:space="preserve">World Bank</w:t>
        </w:r>
      </w:hyperlink>
      <w:bookmarkEnd w:id="240"/>
      <w:r>
        <w:t xml:space="preserve">.</w:t>
      </w:r>
      <w:bookmarkEnd w:id="547"/>
    </w:p>
    <w:p>
      <w:pPr>
        <w:spacing w:before="0" w:after="80" w:line="240" w:lineRule="exact"/>
        <w:ind w:hanging="720" w:left="720"/>
        <w:jc w:val="both"/>
      </w:pPr>
      <w:bookmarkStart w:id="548"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48"/>
    </w:p>
    <w:p>
      <w:pPr>
        <w:spacing w:before="0" w:after="80" w:line="240" w:lineRule="exact"/>
        <w:ind w:hanging="720" w:left="720"/>
        <w:jc w:val="both"/>
      </w:pPr>
      <w:bookmarkStart w:id="549"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9"/>
    </w:p>
    <w:p>
      <w:pPr>
        <w:spacing w:before="0" w:after="80" w:line="240" w:lineRule="exact"/>
        <w:ind w:hanging="720" w:left="720"/>
        <w:jc w:val="both"/>
      </w:pPr>
      <w:bookmarkStart w:id="550"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50"/>
    </w:p>
    <w:p>
      <w:pPr>
        <w:spacing w:before="0" w:after="80" w:line="240" w:lineRule="exact"/>
        <w:ind w:hanging="720" w:left="720"/>
        <w:jc w:val="both"/>
      </w:pPr>
      <w:bookmarkStart w:id="551"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51"/>
    </w:p>
    <w:p>
      <w:pPr>
        <w:spacing w:before="0" w:after="80" w:line="240" w:lineRule="exact"/>
        <w:ind w:hanging="720" w:left="720"/>
        <w:jc w:val="both"/>
      </w:pPr>
      <w:bookmarkStart w:id="552"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41" w:name="WorldBank2024txt"/>
      <w:hyperlink w:anchor="WorldBank2024" w:history="1">
        <w:r>
          <w:rPr>
            <w:color w:val="1F3864"/>
            <w:u w:val="single"/>
          </w:rPr>
          <w:t xml:space="preserve">World Bank</w:t>
        </w:r>
      </w:hyperlink>
      <w:bookmarkEnd w:id="241"/>
      <w:r>
        <w:t xml:space="preserve">.</w:t>
      </w:r>
      <w:bookmarkEnd w:id="552"/>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Model structure</w:t>
      </w:r>
    </w:p>
    <w:p>
      <w:pPr>
        <w:spacing w:before="80" w:after="80"/>
        <w:jc w:val="center"/>
      </w:pPr>
      <w:r>
        <w:drawing>
          <wp:inline xmlns:a="http://schemas.openxmlformats.org/drawingml/2006/main" xmlns:pic="http://schemas.openxmlformats.org/drawingml/2006/picture">
            <wp:extent cx="5943600" cy="4911511"/>
            <wp:docPr id="1" name="Picture 1"/>
            <wp:cNvGraphicFramePr>
              <a:graphicFrameLocks noChangeAspect="1"/>
            </wp:cNvGraphicFramePr>
            <a:graphic>
              <a:graphicData uri="http://schemas.openxmlformats.org/drawingml/2006/picture">
                <pic:pic>
                  <pic:nvPicPr>
                    <pic:cNvPr id="0" name="figure1_model_structure.png"/>
                    <pic:cNvPicPr/>
                  </pic:nvPicPr>
                  <pic:blipFill>
                    <a:blip r:embed="rId10"/>
                    <a:stretch>
                      <a:fillRect/>
                    </a:stretch>
                  </pic:blipFill>
                  <pic:spPr>
                    <a:xfrm>
                      <a:off x="0" y="0"/>
                      <a:ext cx="5943600" cy="4911511"/>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Country endowments (gray) determine production cost cⱼ, which together with capacity Kⱼ (purple) sets the world training price pₜ* and regional inference price pᵢ*(k). Regime conditions sort countries into five equilibrium regimes (coral) from Proposition 1.</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Borders>
              <w:bottom w:val="double" w:sz="4" w:space="0" w:color="auto"/>
            </w:tcBorders>
          </w:tcPr>
          <w:p>
            <w:pPr>
              <w:jc w:val="left"/>
              <w:spacing w:before="10" w:after="10"/>
            </w:pPr>
            <w:r/>
            <w:r>
              <w:rPr>
                <w:rFonts w:ascii="Times New Roman" w:hAnsi="Times New Roman"/>
                <w:sz w:val="20"/>
              </w:rPr>
              <w:t>Total global compute demand</w:t>
            </w:r>
          </w:p>
        </w:tc>
        <w:tc>
          <w:tcPr>
            <w:tcW w:type="dxa" w:w="864"/>
            <w:tcBorders>
              <w:bottom w:val="double" w:sz="4" w:space="0" w:color="auto"/>
            </w:tcBorders>
          </w:tcPr>
          <w:p>
            <w:pPr>
              <w:jc w:val="center"/>
              <w:spacing w:before="10" w:after="10"/>
            </w:pPr>
            <w:r/>
            <w:r>
              <w:rPr>
                <w:rFonts w:ascii="Times New Roman" w:hAnsi="Times New Roman"/>
                <w:sz w:val="20"/>
              </w:rPr>
              <w:t>Q</w:t>
            </w:r>
          </w:p>
        </w:tc>
        <w:tc>
          <w:tcPr>
            <w:tcW w:type="dxa" w:w="2160"/>
            <w:tcBorders>
              <w:bottom w:val="double" w:sz="4" w:space="0" w:color="auto"/>
            </w:tcBorders>
          </w:tcPr>
          <w:p>
            <w:pPr>
              <w:jc w:val="center"/>
              <w:spacing w:before="10" w:after="10"/>
            </w:pPr>
            <w:r/>
            <w:r>
              <w:rPr>
                <w:rFonts w:ascii="Times New Roman" w:hAnsi="Times New Roman"/>
                <w:sz w:val="20"/>
              </w:rPr>
              <w:t>6×10¹⁰ GPU-hr/yr</w:t>
            </w:r>
          </w:p>
        </w:tc>
        <w:tc>
          <w:tcPr>
            <w:tcW w:type="dxa" w:w="2592"/>
            <w:tcBorders>
              <w:bottom w:val="double" w:sz="4" w:space="0" w:color="auto"/>
            </w:tcBorders>
          </w:tcPr>
          <w:p>
            <w:pPr>
              <w:jc w:val="left"/>
              <w:spacing w:before="10" w:after="10"/>
            </w:pPr>
            <w:r/>
            <w:hyperlink w:anchor="EpochAI2024" w:history="1">
              <w:r>
                <w:rPr>
                  <w:sz w:val="20"/>
                  <w:rFonts w:ascii="Times New Roman" w:hAnsi="Times New Roman"/>
                  <w:color w:val="1F3864"/>
                  <w:u w:val="single"/>
                </w:rPr>
                <w:t xml:space="preserve">Epoch AI (2024)</w:t>
              </w:r>
            </w:hyperlink>
          </w:p>
        </w:tc>
      </w:tr>
    </w:tbl>
    <w:p>
      <w:pPr>
        <w:spacing w:before="8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Sanctions exposure is captured by the bilateral sovereignty premium λᵢⱼ (equation 2).</w:t>
      </w:r>
    </w:p>
    <w:p>
      <w:pPr>
        <w:spacing w:before="0" w:after="60" w:line="360" w:lineRule="auto"/>
        <w:ind w:firstLine="0"/>
        <w:jc w:val="both"/>
      </w:pPr>
      <w:bookmarkStart w:id="111" w:name="Table3"/>
      <w:hyperlink w:anchor="Table3txt" w:history="1">
        <w:r>
          <w:rPr>
            <w:b/>
            <w:sz w:val="20"/>
            <w:color w:val="1F3864"/>
            <w:u w:val="single"/>
          </w:rPr>
          <w:t>Table 3</w:t>
        </w:r>
      </w:hyperlink>
      <w:bookmarkEnd w:id="111"/>
      <w:r>
        <w:rPr>
          <w:b/>
          <w:sz w:val="20"/>
        </w:rPr>
        <w:t>. Country rankings under alternative cost and sovereignty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20"/>
        <w:gridCol w:w="720"/>
        <w:gridCol w:w="720"/>
        <w:gridCol w:w="720"/>
        <w:gridCol w:w="720"/>
        <w:gridCol w:w="720"/>
        <w:gridCol w:w="720"/>
        <w:gridCol w:w="720"/>
        <w:gridCol w:w="720"/>
        <w:gridCol w:w="720"/>
        <w:gridCol w:w="720"/>
        <w:gridCol w:w="720"/>
      </w:tblGrid>
      <w:tr>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(3) Bilateral</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(4) CR + host WACC</w:t>
            </w:r>
          </w:p>
        </w:tc>
      </w:tr>
      <w:tr>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Pⱼₖ</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r>
      <w:tr>
        <w:tc>
          <w:tcPr>
            <w:tcW w:w="1100" w:type="dxa"/>
          </w:tcPr>
          <w:p>
            <w:pPr>
              <w:jc w:val="left"/>
              <w:spacing w:before="10" w:after="10"/>
            </w:pPr>
            <w:r/>
            <w:r>
              <w:rPr>
                <w:rFonts w:ascii="Times New Roman" w:hAnsi="Times New Roman"/>
                <w:sz w:val="16"/>
              </w:rPr>
              <w:t>Iran</w:t>
            </w:r>
          </w:p>
        </w:tc>
        <w:tc>
          <w:tcPr>
            <w:tcW w:w="500" w:type="dxa"/>
          </w:tcPr>
          <w:p>
            <w:pPr>
              <w:jc w:val="center"/>
              <w:spacing w:before="10" w:after="10"/>
            </w:pPr>
            <w:r/>
            <w:r>
              <w:rPr>
                <w:rFonts w:ascii="Times New Roman" w:hAnsi="Times New Roman"/>
                <w:sz w:val="16"/>
              </w:rPr>
              <w:t>$1.56</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$1.82</w:t>
            </w:r>
          </w:p>
        </w:tc>
        <w:tc>
          <w:tcPr>
            <w:tcW w:w="400" w:type="dxa"/>
          </w:tcPr>
          <w:p>
            <w:pPr>
              <w:jc w:val="center"/>
              <w:spacing w:before="10" w:after="10"/>
            </w:pPr>
            <w:r/>
            <w:r>
              <w:rPr>
                <w:rFonts w:ascii="Times New Roman" w:hAnsi="Times New Roman"/>
                <w:sz w:val="16"/>
              </w:rPr>
              <w:t>EE</w:t>
            </w:r>
          </w:p>
        </w:tc>
      </w:tr>
      <w:tr>
        <w:tc>
          <w:tcPr>
            <w:tcW w:w="1100" w:type="dxa"/>
          </w:tcPr>
          <w:p>
            <w:pPr>
              <w:jc w:val="left"/>
              <w:spacing w:before="10" w:after="10"/>
            </w:pPr>
            <w:r/>
            <w:r>
              <w:rPr>
                <w:rFonts w:ascii="Times New Roman" w:hAnsi="Times New Roman"/>
                <w:sz w:val="16"/>
              </w:rPr>
              <w:t>Turkmenistan</w:t>
            </w:r>
          </w:p>
        </w:tc>
        <w:tc>
          <w:tcPr>
            <w:tcW w:w="500" w:type="dxa"/>
          </w:tcPr>
          <w:p>
            <w:pPr>
              <w:jc w:val="center"/>
              <w:spacing w:before="10" w:after="10"/>
            </w:pPr>
            <w:r/>
            <w:r>
              <w:rPr>
                <w:rFonts w:ascii="Times New Roman" w:hAnsi="Times New Roman"/>
                <w:sz w:val="16"/>
              </w:rPr>
              <w:t>$1.57</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Australia</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$1.84</w:t>
            </w:r>
          </w:p>
        </w:tc>
        <w:tc>
          <w:tcPr>
            <w:tcW w:w="400" w:type="dxa"/>
          </w:tcPr>
          <w:p>
            <w:pPr>
              <w:jc w:val="center"/>
              <w:spacing w:before="10" w:after="10"/>
            </w:pPr>
            <w:r/>
            <w:r>
              <w:rPr>
                <w:rFonts w:ascii="Times New Roman" w:hAnsi="Times New Roman"/>
                <w:sz w:val="16"/>
              </w:rPr>
              <w:t>IE</w:t>
            </w:r>
          </w:p>
        </w:tc>
      </w:tr>
      <w:tr>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USA</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$1.84</w:t>
            </w:r>
          </w:p>
        </w:tc>
        <w:tc>
          <w:tcPr>
            <w:tcW w:w="400" w:type="dxa"/>
          </w:tcPr>
          <w:p>
            <w:pPr>
              <w:jc w:val="center"/>
              <w:spacing w:before="10" w:after="10"/>
            </w:pPr>
            <w:r/>
            <w:r>
              <w:rPr>
                <w:rFonts w:ascii="Times New Roman" w:hAnsi="Times New Roman"/>
                <w:sz w:val="16"/>
              </w:rPr>
              <w:t>IE</w:t>
            </w:r>
          </w:p>
        </w:tc>
      </w:tr>
      <w:tr>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$1.85</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Egypt</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$1.66</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Iceland</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$1.66</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Australia</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China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USA</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Russia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New Zealand</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South Africa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UAE</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Chile</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Nigeria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Russia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Mexico</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Israel</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Portugal</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China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France</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Qatar</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Iceland</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Latvia</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Saudi Arabia</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Brazil</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Qatar</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Turkmenistan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South Korea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Luxembourg</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Egypt</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Spain</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India</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Philippines</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Belgium</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Kazakhstan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Indonesia</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New Zealand</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Malta</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Uzbekistan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Denmark</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Kazakhstan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Brazil</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Lithuania</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Iran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South Korea</w:t>
            </w:r>
          </w:p>
        </w:tc>
        <w:tc>
          <w:tcPr>
            <w:tcW w:w="500" w:type="dxa"/>
          </w:tcPr>
          <w:p>
            <w:pPr>
              <w:jc w:val="center"/>
              <w:spacing w:before="10" w:after="10"/>
            </w:pPr>
            <w:r/>
            <w:r>
              <w:rPr>
                <w:rFonts w:ascii="Times New Roman" w:hAnsi="Times New Roman"/>
                <w:sz w:val="16"/>
              </w:rPr>
              <w:t>$1.91</w:t>
            </w:r>
          </w:p>
        </w:tc>
        <w:tc>
          <w:tcPr>
            <w:tcW w:w="400" w:type="dxa"/>
          </w:tcPr>
          <w:p>
            <w:pPr>
              <w:jc w:val="center"/>
              <w:spacing w:before="10" w:after="10"/>
            </w:pPr>
            <w:r/>
            <w:r>
              <w:rPr>
                <w:rFonts w:ascii="Times New Roman" w:hAnsi="Times New Roman"/>
                <w:sz w:val="16"/>
              </w:rPr>
              <w:t>II</w:t>
            </w:r>
          </w:p>
        </w:tc>
      </w:tr>
      <w:tr>
        <w:tc>
          <w:tcPr>
            <w:tcBorders>
              <w:bottom w:val="double" w:sz="4" w:space="0" w:color="auto"/>
            </w:tcBorders>
            <w:tcW w:w="1100" w:type="dxa"/>
          </w:tcPr>
          <w:p>
            <w:pPr>
              <w:jc w:val="left"/>
              <w:spacing w:before="10" w:after="10"/>
            </w:pPr>
            <w:r/>
            <w:r>
              <w:rPr>
                <w:rFonts w:ascii="Times New Roman" w:hAnsi="Times New Roman"/>
                <w:sz w:val="16"/>
              </w:rPr>
              <w:t>Saudi Arabia</w:t>
            </w:r>
          </w:p>
        </w:tc>
        <w:tc>
          <w:tcPr>
            <w:tcBorders>
              <w:bottom w:val="double" w:sz="4" w:space="0" w:color="auto"/>
            </w:tcBorders>
            <w:tcW w:w="500" w:type="dxa"/>
          </w:tcPr>
          <w:p>
            <w:pPr>
              <w:jc w:val="center"/>
              <w:spacing w:before="10" w:after="10"/>
            </w:pPr>
            <w:r/>
            <w:r>
              <w:rPr>
                <w:rFonts w:ascii="Times New Roman" w:hAnsi="Times New Roman"/>
                <w:sz w:val="16"/>
              </w:rPr>
              <w:t>$1.62</w:t>
            </w:r>
          </w:p>
        </w:tc>
        <w:tc>
          <w:tcPr>
            <w:tcBorders>
              <w:bottom w:val="double" w:sz="4" w:space="0" w:color="auto"/>
            </w:tcBorders>
            <w:tcW w:w="400" w:type="dxa"/>
          </w:tcPr>
          <w:p>
            <w:pPr>
              <w:jc w:val="center"/>
              <w:spacing w:before="10" w:after="10"/>
            </w:pPr>
            <w:r/>
            <w:r>
              <w:rPr>
                <w:rFonts w:ascii="Times New Roman" w:hAnsi="Times New Roman"/>
                <w:sz w:val="16"/>
              </w:rPr>
              <w:t>II</w:t>
            </w:r>
          </w:p>
        </w:tc>
        <w:tc>
          <w:tcPr>
            <w:tcBorders>
              <w:bottom w:val="double" w:sz="4" w:space="0" w:color="auto"/>
            </w:tcBorders>
            <w:tcW w:w="1100" w:type="dxa"/>
          </w:tcPr>
          <w:p>
            <w:pPr>
              <w:jc w:val="left"/>
              <w:spacing w:before="10" w:after="10"/>
            </w:pPr>
            <w:r/>
            <w:r>
              <w:rPr>
                <w:rFonts w:ascii="Times New Roman" w:hAnsi="Times New Roman"/>
                <w:sz w:val="16"/>
              </w:rPr>
              <w:t>Georgia</w:t>
            </w:r>
          </w:p>
        </w:tc>
        <w:tc>
          <w:tcPr>
            <w:tcBorders>
              <w:bottom w:val="double" w:sz="4" w:space="0" w:color="auto"/>
            </w:tcBorders>
            <w:tcW w:w="500" w:type="dxa"/>
          </w:tcPr>
          <w:p>
            <w:pPr>
              <w:jc w:val="center"/>
              <w:spacing w:before="10" w:after="10"/>
            </w:pPr>
            <w:r/>
            <w:r>
              <w:rPr>
                <w:rFonts w:ascii="Times New Roman" w:hAnsi="Times New Roman"/>
                <w:sz w:val="16"/>
              </w:rPr>
              <w:t>$1.63</w:t>
            </w:r>
          </w:p>
        </w:tc>
        <w:tc>
          <w:tcPr>
            <w:tcBorders>
              <w:bottom w:val="double" w:sz="4" w:space="0" w:color="auto"/>
            </w:tcBorders>
            <w:tcW w:w="400" w:type="dxa"/>
          </w:tcPr>
          <w:p>
            <w:pPr>
              <w:jc w:val="center"/>
              <w:spacing w:before="10" w:after="10"/>
            </w:pPr>
            <w:r/>
            <w:r>
              <w:rPr>
                <w:rFonts w:ascii="Times New Roman" w:hAnsi="Times New Roman"/>
                <w:sz w:val="16"/>
              </w:rPr>
              <w:t>II</w:t>
            </w:r>
          </w:p>
        </w:tc>
        <w:tc>
          <w:tcPr>
            <w:tcBorders>
              <w:bottom w:val="double" w:sz="4" w:space="0" w:color="auto"/>
            </w:tcBorders>
            <w:tcW w:w="1100" w:type="dxa"/>
          </w:tcPr>
          <w:p>
            <w:pPr>
              <w:jc w:val="left"/>
              <w:spacing w:before="10" w:after="10"/>
            </w:pPr>
            <w:r/>
            <w:r>
              <w:rPr>
                <w:rFonts w:ascii="Times New Roman" w:hAnsi="Times New Roman"/>
                <w:sz w:val="16"/>
              </w:rPr>
              <w:t>Egypt</w:t>
            </w:r>
          </w:p>
        </w:tc>
        <w:tc>
          <w:tcPr>
            <w:tcBorders>
              <w:bottom w:val="double" w:sz="4" w:space="0" w:color="auto"/>
            </w:tcBorders>
            <w:tcW w:w="500" w:type="dxa"/>
          </w:tcPr>
          <w:p>
            <w:pPr>
              <w:jc w:val="center"/>
              <w:spacing w:before="10" w:after="10"/>
            </w:pPr>
            <w:r/>
            <w:r>
              <w:rPr>
                <w:rFonts w:ascii="Times New Roman" w:hAnsi="Times New Roman"/>
                <w:sz w:val="16"/>
              </w:rPr>
              <w:t>$1.70</w:t>
            </w:r>
          </w:p>
        </w:tc>
        <w:tc>
          <w:tcPr>
            <w:tcBorders>
              <w:bottom w:val="double" w:sz="4" w:space="0" w:color="auto"/>
            </w:tcBorders>
            <w:tcW w:w="400" w:type="dxa"/>
          </w:tcPr>
          <w:p>
            <w:pPr>
              <w:jc w:val="center"/>
              <w:spacing w:before="10" w:after="10"/>
            </w:pPr>
            <w:r/>
            <w:r>
              <w:rPr>
                <w:rFonts w:ascii="Times New Roman" w:hAnsi="Times New Roman"/>
                <w:sz w:val="16"/>
              </w:rPr>
              <w:t>DD</w:t>
            </w:r>
          </w:p>
        </w:tc>
        <w:tc>
          <w:tcPr>
            <w:tcBorders>
              <w:bottom w:val="double" w:sz="4" w:space="0" w:color="auto"/>
            </w:tcBorders>
            <w:tcW w:w="1100" w:type="dxa"/>
          </w:tcPr>
          <w:p>
            <w:pPr>
              <w:jc w:val="left"/>
              <w:spacing w:before="10" w:after="10"/>
            </w:pPr>
            <w:r/>
            <w:r>
              <w:rPr>
                <w:rFonts w:ascii="Times New Roman" w:hAnsi="Times New Roman"/>
                <w:sz w:val="16"/>
              </w:rPr>
              <w:t>Poland</w:t>
            </w:r>
          </w:p>
        </w:tc>
        <w:tc>
          <w:tcPr>
            <w:tcBorders>
              <w:bottom w:val="double" w:sz="4" w:space="0" w:color="auto"/>
            </w:tcBorders>
            <w:tcW w:w="500" w:type="dxa"/>
          </w:tcPr>
          <w:p>
            <w:pPr>
              <w:jc w:val="center"/>
              <w:spacing w:before="10" w:after="10"/>
            </w:pPr>
            <w:r/>
            <w:r>
              <w:rPr>
                <w:rFonts w:ascii="Times New Roman" w:hAnsi="Times New Roman"/>
                <w:sz w:val="16"/>
              </w:rPr>
              <w:t>$1.91</w:t>
            </w:r>
          </w:p>
        </w:tc>
        <w:tc>
          <w:tcPr>
            <w:tcBorders>
              <w:bottom w:val="double" w:sz="4" w:space="0" w:color="auto"/>
            </w:tcBorders>
            <w:tcW w:w="400" w:type="dxa"/>
          </w:tcPr>
          <w:p>
            <w:pPr>
              <w:jc w:val="center"/>
              <w:spacing w:before="10" w:after="10"/>
            </w:pPr>
            <w:r/>
            <w:r>
              <w:rPr>
                <w:rFonts w:ascii="Times New Roman" w:hAnsi="Times New Roman"/>
                <w:sz w:val="16"/>
              </w:rPr>
              <w:t>II</w:t>
            </w:r>
          </w:p>
        </w:tc>
      </w:tr>
    </w:tbl>
    <w:p>
      <w:pPr>
        <w:spacing w:before="4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Top 25 countries by delivered price under each specification. Pⱼ = delivered price from seller j ($/GPU-hr) from </w:t>
      </w:r>
      <w:bookmarkStart w:id="905" w:name="Eq3txt905"/>
      <w:hyperlink w:anchor="Eq3" w:history="1">
        <w:r>
          <w:rPr>
            <w:rFonts w:ascii="Times New Roman" w:hAnsi="Times New Roman"/>
            <w:sz w:val="20"/>
            <w:color w:val="1F3864"/>
            <w:u w:val="single"/>
          </w:rPr>
          <w:t xml:space="preserve">equation (3)</w:t>
        </w:r>
      </w:hyperlink>
      <w:bookmarkEnd w:id="905"/>
      <w:r>
        <w:rPr>
          <w:rFonts w:ascii="Times New Roman" w:hAnsi="Times New Roman"/>
          <w:sz w:val="20"/>
        </w:rPr>
        <w:t xml:space="preserve">. Under specs (1)–(2), λ = 0, so Pⱼ = cⱼ. Under spec (3), Pⱼₖ = cⱼ(1 + λⱼₖ) where k = United States. EE = training + inference exporter; IE = inference exporter; ID = hybrid (imports training, domestic inference); DD = domestic producer; II = full importer. (1) Raw: observed electricity tariffs. (2) Cost-recovery: subsidized tariffs replaced with LRMC. (3) Bilateral: cost-recovery prices with bilateral sovereignty premium λⱼₖ from equation (2); countries ranked by delivered price to US buyer. (4) CR + host WACC: cost-recovery prices with hardware amortization computed at the host country’s weighted average cost of capital (HIC 8%, UMIC 12%, LMIC 15%, LIC 18%; annuity formula applied over a three-year GPU life). This column isolates the cost-of-capital channel that columns (1)–(3) suppress by amortizing hardware at a single straight-line ρ with no financing cost. * = sanctioned/GPU-blocked. † = developing-country exporter.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Style w:val="Heading1"/>
      </w:pPr>
      <w:r>
        <w:rPr>
          <w:rFonts w:ascii="Times New Roman" w:hAnsi="Times New Roman"/>
          <w:b/>
          <w:color w:val="2F5496"/>
          <w:sz w:val="28"/>
        </w:rPr>
        <w:t>Appendix A</w:t>
      </w:r>
    </w:p>
    <w:p>
      <w:pPr>
        <w:spacing w:before="0" w:after="60" w:line="360" w:lineRule="auto"/>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5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700" w:type="dxa"/>
          </w:tcPr>
          <w:p>
            <w:pPr>
              <w:jc w:val="center"/>
              <w:spacing w:before="10" w:after="10"/>
            </w:pPr>
            <w:r/>
            <w:r>
              <w:rPr>
                <w:b/>
                <w:sz w:val="16"/>
              </w:rPr>
              <w:t>cⱼ</w:t>
              <w:br/>
              <w:t>($/hr)</w:t>
            </w:r>
          </w:p>
        </w:tc>
        <w:tc>
          <w:tcPr>
            <w:tcBorders>
              <w:top w:val="single" w:sz="4" w:space="0" w:color="auto"/>
              <w:bottom w:val="single" w:sz="4" w:space="0" w:color="auto"/>
            </w:tcBorders>
            <w:tcW w:w="75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5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
              <w:rPr>
                <w:sz w:val="16"/>
              </w:rPr>
              <w:t>$0.038</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5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$0.047</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5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$0.053</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5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700" w:type="dxa"/>
          </w:tcPr>
          <w:p>
            <w:pPr>
              <w:jc w:val="right"/>
              <w:spacing w:before="10" w:after="10"/>
            </w:pPr>
            <w:r/>
            <w:r>
              <w:rPr>
                <w:sz w:val="16"/>
              </w:rPr>
              <w:t>$1.46</w:t>
            </w:r>
          </w:p>
        </w:tc>
        <w:tc>
          <w:tcPr>
            <w:tcW w:w="75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5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5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5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$1.46</w:t>
            </w:r>
          </w:p>
        </w:tc>
        <w:tc>
          <w:tcPr>
            <w:tcW w:w="75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5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5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$0.056</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5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$1.47</w:t>
            </w:r>
          </w:p>
        </w:tc>
        <w:tc>
          <w:tcPr>
            <w:tcW w:w="750" w:type="dxa"/>
          </w:tcPr>
          <w:p>
            <w:pPr>
              <w:jc w:val="right"/>
              <w:spacing w:before="10" w:after="10"/>
            </w:pPr>
            <w:r/>
            <w:r>
              <w:rPr>
                <w:sz w:val="16"/>
              </w:rPr>
              <w:t>$0.073</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5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$0.062</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5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700" w:type="dxa"/>
          </w:tcPr>
          <w:p>
            <w:pPr>
              <w:jc w:val="right"/>
              <w:spacing w:before="10" w:after="10"/>
            </w:pPr>
            <w:r/>
            <w:r>
              <w:rPr>
                <w:sz w:val="16"/>
              </w:rPr>
              <w:t>$1.47</w:t>
            </w:r>
          </w:p>
        </w:tc>
        <w:tc>
          <w:tcPr>
            <w:tcW w:w="75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5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$1.42</w:t>
            </w:r>
          </w:p>
        </w:tc>
        <w:tc>
          <w:tcPr>
            <w:tcW w:w="75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5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5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700" w:type="dxa"/>
          </w:tcPr>
          <w:p>
            <w:pPr>
              <w:jc w:val="right"/>
              <w:spacing w:before="10" w:after="10"/>
            </w:pPr>
            <w:r/>
            <w:r>
              <w:rPr>
                <w:sz w:val="16"/>
              </w:rPr>
              <w:t>$1.48</w:t>
            </w:r>
          </w:p>
        </w:tc>
        <w:tc>
          <w:tcPr>
            <w:tcW w:w="75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5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$0.067</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5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Pr>
                <w:b/>
              </w:rPr>
            </w:r>
            <w:r>
              <w:rPr>
                <w:sz w:val="16"/>
                <w:b/>
              </w:rPr>
              <w:t>$0.071</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5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$1.41</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5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$1.48</w:t>
            </w:r>
          </w:p>
        </w:tc>
        <w:tc>
          <w:tcPr>
            <w:tcW w:w="750" w:type="dxa"/>
          </w:tcPr>
          <w:p>
            <w:pPr>
              <w:jc w:val="right"/>
              <w:spacing w:before="10" w:after="10"/>
            </w:pPr>
            <w:r/>
            <w:r>
              <w:rPr>
                <w:sz w:val="16"/>
              </w:rPr>
              <w:t>$0.091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5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$1.49</w:t>
            </w:r>
          </w:p>
        </w:tc>
        <w:tc>
          <w:tcPr>
            <w:tcW w:w="750" w:type="dxa"/>
          </w:tcPr>
          <w:p>
            <w:pPr>
              <w:jc w:val="right"/>
              <w:spacing w:before="10" w:after="10"/>
            </w:pPr>
            <w:r>
              <w:rPr>
                <w:b/>
              </w:rPr>
            </w:r>
            <w:r>
              <w:rPr>
                <w:sz w:val="16"/>
                <w:b/>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5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5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5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5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Pr>
                <w:b/>
              </w:rPr>
            </w:r>
            <w:r>
              <w:rPr>
                <w:sz w:val="16"/>
                <w:b/>
              </w:rPr>
              <w:t>$0.092</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5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5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700" w:type="dxa"/>
          </w:tcPr>
          <w:p>
            <w:pPr>
              <w:jc w:val="right"/>
              <w:spacing w:before="10" w:after="10"/>
            </w:pPr>
            <w:r/>
            <w:r>
              <w:rPr>
                <w:sz w:val="16"/>
              </w:rPr>
              <w:t>$1.48</w:t>
            </w:r>
          </w:p>
        </w:tc>
        <w:tc>
          <w:tcPr>
            <w:tcW w:w="750" w:type="dxa"/>
          </w:tcPr>
          <w:p>
            <w:pPr>
              <w:jc w:val="right"/>
              <w:spacing w:before="10" w:after="10"/>
            </w:pPr>
            <w:r>
              <w:rPr>
                <w:b/>
              </w:rPr>
            </w:r>
            <w:r>
              <w:rPr>
                <w:sz w:val="16"/>
                <w:b/>
              </w:rPr>
              <w:t>$0.098</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$0.111</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$0.099</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5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5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$0.130</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$0.107</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5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$1.51</w:t>
            </w:r>
          </w:p>
        </w:tc>
        <w:tc>
          <w:tcPr>
            <w:tcW w:w="75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5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5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$0.108</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5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$0.117</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$0.121</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5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$0.120</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5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$0.124</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5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5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5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$0.133</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5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$0.135</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5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5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$0.120</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$0.134</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$0.147</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5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$0.137</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5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$0.139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5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$0.145</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5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$0.145</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5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$0.166</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Pr>
                <w:b/>
              </w:rPr>
            </w:r>
            <w:r>
              <w:rPr>
                <w:sz w:val="16"/>
                <w:b/>
              </w:rPr>
              <w:t>$0.161</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5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$0.164</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5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$0.169</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5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$0.174</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5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$0.135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$0.173</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5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$0.167</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5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$1.56</w:t>
            </w:r>
          </w:p>
        </w:tc>
        <w:tc>
          <w:tcPr>
            <w:tcW w:w="750" w:type="dxa"/>
          </w:tcPr>
          <w:p>
            <w:pPr>
              <w:jc w:val="right"/>
              <w:spacing w:before="10" w:after="10"/>
            </w:pPr>
            <w:r>
              <w:rPr>
                <w:b/>
              </w:rPr>
            </w:r>
            <w:r>
              <w:rPr>
                <w:sz w:val="16"/>
                <w:b/>
              </w:rPr>
              <w:t>$0.163</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5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$0.191</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5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$0.182</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5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$0.190</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700" w:type="dxa"/>
          </w:tcPr>
          <w:p>
            <w:pPr>
              <w:jc w:val="right"/>
              <w:spacing w:before="10" w:after="10"/>
            </w:pPr>
            <w:r/>
            <w:r>
              <w:rPr>
                <w:sz w:val="16"/>
              </w:rPr>
              <w:t>$1.57</w:t>
            </w:r>
          </w:p>
        </w:tc>
        <w:tc>
          <w:tcPr>
            <w:tcW w:w="750" w:type="dxa"/>
          </w:tcPr>
          <w:p>
            <w:pPr>
              <w:jc w:val="right"/>
              <w:spacing w:before="10" w:after="10"/>
            </w:pPr>
            <w:r>
              <w:rPr>
                <w:b/>
              </w:rPr>
            </w:r>
            <w:r>
              <w:rPr>
                <w:sz w:val="16"/>
                <w:b/>
              </w:rPr>
              <w:t>$0.152</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5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$1.56</w:t>
            </w:r>
          </w:p>
        </w:tc>
        <w:tc>
          <w:tcPr>
            <w:tcW w:w="750" w:type="dxa"/>
          </w:tcPr>
          <w:p>
            <w:pPr>
              <w:jc w:val="right"/>
              <w:spacing w:before="10" w:after="10"/>
            </w:pPr>
            <w:r>
              <w:rPr>
                <w:b/>
              </w:rPr>
            </w:r>
            <w:r>
              <w:rPr>
                <w:sz w:val="16"/>
                <w:b/>
              </w:rPr>
              <w:t>$0.192</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5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$0.203</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5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$0.218</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$0.220</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5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$0.249</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5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700" w:type="dxa"/>
          </w:tcPr>
          <w:p>
            <w:pPr>
              <w:jc w:val="right"/>
              <w:spacing w:before="10" w:after="10"/>
            </w:pPr>
            <w:r/>
            <w:r>
              <w:rPr>
                <w:sz w:val="16"/>
              </w:rPr>
              <w:t>$1.62</w:t>
            </w:r>
          </w:p>
        </w:tc>
        <w:tc>
          <w:tcPr>
            <w:tcBorders>
              <w:bottom w:val="double" w:sz="4" w:space="0" w:color="auto"/>
            </w:tcBorders>
            <w:tcW w:w="750" w:type="dxa"/>
          </w:tcPr>
          <w:p>
            <w:pPr>
              <w:jc w:val="right"/>
              <w:spacing w:before="10" w:after="10"/>
            </w:pPr>
            <w:r/>
            <w:r>
              <w:rPr>
                <w:sz w:val="16"/>
              </w:rPr>
              <w:t>$0.263</w:t>
            </w:r>
          </w:p>
        </w:tc>
      </w:tr>
    </w:tbl>
    <w:p>
      <w:pPr>
        <w:spacing w:before="8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6" w:name="Eq4txt906"/>
      <w:hyperlink w:anchor="Eq4" w:history="1">
        <w:r>
          <w:rPr>
            <w:sz w:val="20"/>
            <w:color w:val="1F3864"/>
            <w:u w:val="single"/>
          </w:rPr>
          <w:t xml:space="preserve">equation (4)</w:t>
        </w:r>
      </w:hyperlink>
      <w:bookmarkEnd w:id="906"/>
      <w:r>
        <w:rPr>
          <w:sz w:val="20"/>
        </w:rPr>
        <w:t xml:space="preserv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line="360" w:lineRule="auto"/>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and sovereignty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(2) Cost-Recovery</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(3) Bilateral</w:t>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Type</w:t>
            </w:r>
          </w:p>
        </w:tc>
      </w:tr>
      <w:tr>
        <w:tc>
          <w:tcPr>
            <w:tcW w:w="1800" w:type="dxa"/>
          </w:tcPr>
          <w:p>
            <w:pPr>
              <w:jc w:val="left"/>
              <w:spacing w:before="5" w:after="5"/>
            </w:pPr>
            <w:r/>
            <w:r>
              <w:rPr>
                <w:rFonts w:ascii="Times New Roman" w:hAnsi="Times New Roman"/>
                <w:sz w:val="14"/>
              </w:rPr>
              <w:t>Kyrgyzstan</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Ethiopia</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Kosovo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Canada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Tajikistan</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Montenegro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Ukraine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Argentina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Colombia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Azerbaijan</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Russia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Norway</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Algeria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Vietnam</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Finland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Brazil</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Turkmenistan</w:t>
            </w:r>
          </w:p>
        </w:tc>
        <w:tc>
          <w:tcPr>
            <w:tcW w:w="75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Egypt</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Indonesia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Sweden</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Kazakhstan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Iran</w:t>
            </w:r>
          </w:p>
        </w:tc>
        <w:tc>
          <w:tcPr>
            <w:tcW w:w="75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Georgia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Uzbekistan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Kenya</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Turkey</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Bosnia and Herz.</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Nigeria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South Africa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Iceland</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Belarus</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Australia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Morocco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Mexico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United States of 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Armenia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New Zealand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UAE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Chile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Malaysia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Philippines</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Israel</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Thailand</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Portugal</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France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Serbia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Latvia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Pakistan</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Saudi Arabia</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Qatar</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Luxembourg</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Moldova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 Macedonia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Ghana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Spain</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Belgium</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Malta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Denmark</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Lithuania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Albania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Korea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Slovenia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Netherlands</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Estonia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Romania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Japan</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Slovakia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Austria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Switzerland</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Greece</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Bulgaria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Italy</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Singapore</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Hungary</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Czechia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Senegal</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Croatia</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$1.74</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Germany</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Ireland</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Cyprus</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$1.77</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Borders>
              <w:bottom w:val="double" w:sz="4" w:space="0" w:color="auto"/>
            </w:tcBorders>
            <w:tcW w:w="1800" w:type="dxa"/>
          </w:tcPr>
          <w:p>
            <w:pPr>
              <w:jc w:val="left"/>
              <w:spacing w:before="5" w:after="5"/>
            </w:pPr>
            <w:r/>
            <w:r>
              <w:rPr>
                <w:rFonts w:ascii="Times New Roman" w:hAnsi="Times New Roman"/>
                <w:sz w:val="14"/>
              </w:rPr>
              <w:t>Greenland</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500" w:type="dxa"/>
          </w:tcPr>
          <w:p>
            <w:pPr>
              <w:jc w:val="center"/>
              <w:spacing w:before="5" w:after="5"/>
            </w:pPr>
            <w:r/>
            <w:r>
              <w:rPr>
                <w:rFonts w:ascii="Times New Roman" w:hAnsi="Times New Roman"/>
                <w:sz w:val="14"/>
              </w:rPr>
              <w:t>II</w:t>
            </w:r>
          </w:p>
        </w:tc>
      </w:tr>
    </w:tbl>
    <w:p>
      <w:pPr>
        <w:spacing w:before="4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w:t>
        </w:r>
      </w:hyperlink>
      <w:r>
        <w:rPr>
          <w:sz w:val="20"/>
        </w:rPr>
        <w:t xml:space="preserve"> notes for column definitions. Countries sorted by specification (2) rank (ascending). </w:t>
      </w:r>
    </w:p>
    <w:p>
      <w:pPr>
        <w:pStyle w:val="Heading1"/>
      </w:pPr>
      <w:r>
        <w:rPr>
          <w:rFonts w:ascii="Times New Roman" w:hAnsi="Times New Roman"/>
          <w:b/>
          <w:color w:val="2F5496"/>
          <w:sz w:val="28"/>
        </w:rPr>
        <w:t>Appendix B: Model Derivation</w:t>
      </w:r>
    </w:p>
    <w:p>
      <w:pPr>
        <w:spacing w:before="0" w:after="160" w:line="360" w:lineRule="auto"/>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line="360" w:lineRule="auto"/>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7" w:name="Eq1txt907"/>
      <w:hyperlink w:anchor="Eq1" w:history="1">
        <w:r>
          <w:rPr>
            <w:color w:val="1F3864"/>
            <w:u w:val="single"/>
          </w:rPr>
          <w:t xml:space="preserve">equation (1)</w:t>
        </w:r>
      </w:hyperlink>
      <w:bookmarkEnd w:id="907"/>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8" w:name="Eq4txt908"/>
      <w:hyperlink w:anchor="Eq4" w:history="1">
        <w:r>
          <w:rPr>
            <w:color w:val="1F3864"/>
            <w:u w:val="single"/>
          </w:rPr>
          <w:t xml:space="preserve">equation (4)</w:t>
        </w:r>
      </w:hyperlink>
      <w:bookmarkEnd w:id="908"/>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80" w:line="360" w:lineRule="auto"/>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09" w:name="Eq2txt909"/>
      <w:hyperlink w:anchor="Eq2" w:history="1">
        <w:r>
          <w:rPr>
            <w:color w:val="1F3864"/>
            <w:u w:val="single"/>
          </w:rPr>
          <w:t xml:space="preserve">equation (2)</w:t>
        </w:r>
      </w:hyperlink>
      <w:bookmarkEnd w:id="909"/>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 }.</m:t>
              </m:r>
            </m:oMath>
          </w:p>
        </w:tc>
        <w:tc>
          <w:tcPr>
            <w:tcW w:w="720" w:type="dxa"/>
            <w:vAlign w:val="center"/>
          </w:tcPr>
          <w:p>
            <w:pPr>
              <w:jc w:val="right"/>
              <w:spacing w:before="60" w:after="60"/>
            </w:pPr>
            <w:bookmarkStart w:id="1701" w:name="EqB.1"/>
            <w:r>
              <w:t>(B.1)</w:t>
            </w:r>
            <w:bookmarkEnd w:id="1701"/>
          </w:p>
        </w:tc>
      </w:tr>
    </w:tbl>
    <w:p>
      <w:pPr>
        <w:spacing w:before="80" w:after="160" w:line="360" w:lineRule="auto"/>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80" w:line="360" w:lineRule="auto"/>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1702" w:name="EqB.2"/>
            <w:r>
              <w:t>(B.2)</w:t>
            </w:r>
            <w:bookmarkEnd w:id="1702"/>
          </w:p>
        </w:tc>
      </w:tr>
    </w:tbl>
    <w:p>
      <w:pPr>
        <w:spacing w:before="80" w:after="160" w:line="360" w:lineRule="auto"/>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80" w:line="360" w:lineRule="auto"/>
        <w:ind w:firstLine="0"/>
        <w:jc w:val="both"/>
      </w:pPr>
      <w:r>
        <w:t xml:space="preserve">Let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denote the GPU-hours country </w:t>
      </w:r>
      <m:oMath>
        <m:r>
          <m:rPr>
            <m:sty m:val="i"/>
          </m:rPr>
          <w:rPr>
            <w:rFonts w:ascii="Cambria Math" w:hAnsi="Cambria Math"/>
          </w:rPr>
          <m:t xml:space="preserve">j</m:t>
        </m:r>
      </m:oMath>
      <w:r>
        <w:t xml:space="preserve"> allocates to training exports and </w:t>
      </w:r>
      <m:oMath>
        <m:sSub>
          <m:sSubPr/>
          <m:e>
            <m:r>
              <m:rPr>
                <m:sty m:val="i"/>
              </m:rPr>
              <w:rPr>
                <w:rFonts w:ascii="Cambria Math" w:hAnsi="Cambria Math"/>
              </w:rPr>
              <m:t xml:space="preserve">K</m:t>
            </m:r>
          </m:e>
          <m:sub>
            <m:r>
              <m:rPr>
                <m:sty m:val="i"/>
              </m:rPr>
              <w:rPr>
                <w:rFonts w:ascii="Cambria Math" w:hAnsi="Cambria Math"/>
              </w:rPr>
              <m:t xml:space="preserve">I,j→k</m:t>
            </m:r>
          </m:sub>
        </m:sSub>
      </m:oMath>
      <w:r>
        <w:t xml:space="preserve"> the GPU-hours it allocates to inference exports to buyer </w:t>
      </w:r>
      <m:oMath>
        <m:r>
          <m:rPr>
            <m:sty m:val="i"/>
          </m:rPr>
          <w:rPr>
            <w:rFonts w:ascii="Cambria Math" w:hAnsi="Cambria Math"/>
          </w:rPr>
          <m:t xml:space="preserve">k</m:t>
        </m:r>
      </m:oMath>
      <w:r>
        <w:t xml:space="preserve">, so that total capacity used by country </w:t>
      </w:r>
      <m:oMath>
        <m:r>
          <m:rPr>
            <m:sty m:val="i"/>
          </m:rPr>
          <w:rPr>
            <w:rFonts w:ascii="Cambria Math" w:hAnsi="Cambria Math"/>
          </w:rPr>
          <m:t xml:space="preserve">j</m:t>
        </m:r>
      </m:oMath>
      <w:r>
        <w:t xml:space="preserve"> is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K</m:t>
                </m:r>
              </m:e>
              <m:sub>
                <m:r>
                  <m:rPr>
                    <m:sty m:val="i"/>
                  </m:rPr>
                  <w:rPr>
                    <w:rFonts w:ascii="Cambria Math" w:hAnsi="Cambria Math"/>
                  </w:rPr>
                  <m:t xml:space="preserve">I,j→k</m:t>
                </m:r>
              </m:sub>
            </m:sSub>
          </m:e>
        </m:nary>
      </m:oMath>
      <w:r>
        <w:t xml:space="preserve">. 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720" w:type="dxa"/>
            <w:vAlign w:val="center"/>
          </w:tcPr>
          <w:p>
            <w:pPr>
              <w:jc w:val="right"/>
              <w:spacing w:before="60" w:after="60"/>
            </w:pPr>
            <w:bookmarkStart w:id="1703" w:name="EqB.3"/>
            <w:r>
              <w:t>(B.3)</w:t>
            </w:r>
            <w:bookmarkEnd w:id="1703"/>
          </w:p>
        </w:tc>
      </w:tr>
    </w:tbl>
    <w:p>
      <w:pPr>
        <w:spacing w:before="80" w:after="160" w:line="360" w:lineRule="auto"/>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line="360" w:lineRule="auto"/>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80" w:line="360" w:lineRule="auto"/>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and write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evaluated at </w:t>
      </w:r>
      <m:oMath>
        <m:r>
          <m:rPr>
            <m:sty m:val="i"/>
          </m:rPr>
          <w:rPr>
            <w:rFonts w:ascii="Cambria Math" w:hAnsi="Cambria Math"/>
          </w:rPr>
          <m:t xml:space="preserve">j</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720" w:type="dxa"/>
            <w:vAlign w:val="center"/>
          </w:tcPr>
          <w:p>
            <w:pPr>
              <w:jc w:val="right"/>
              <w:spacing w:before="60" w:after="60"/>
            </w:pPr>
            <w:bookmarkStart w:id="1704" w:name="EqB.4"/>
            <w:r>
              <w:t>(B.4)</w:t>
            </w:r>
            <w:bookmarkEnd w:id="1704"/>
          </w:p>
        </w:tc>
      </w:tr>
    </w:tbl>
    <w:p>
      <w:pPr>
        <w:spacing w:before="80" w:after="80" w:line="360" w:lineRule="auto"/>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720" w:type="dxa"/>
            <w:vAlign w:val="center"/>
          </w:tcPr>
          <w:p>
            <w:pPr>
              <w:jc w:val="right"/>
              <w:spacing w:before="60" w:after="60"/>
            </w:pPr>
            <w:bookmarkStart w:id="1705" w:name="EqB.5"/>
            <w:r>
              <w:t>(B.5)</w:t>
            </w:r>
            <w:bookmarkEnd w:id="1705"/>
          </w:p>
        </w:tc>
      </w:tr>
    </w:tbl>
    <w:p>
      <w:pPr>
        <w:spacing w:before="80" w:after="160" w:line="360" w:lineRule="auto"/>
        <w:ind w:firstLine="0"/>
        <w:jc w:val="both"/>
      </w:pPr>
      <w:r>
        <w:t xml:space="preserve">Total: </w:t>
      </w:r>
      <m:oMath>
        <m:r>
          <m:rPr>
            <m:sty m:val="p"/>
          </m:rPr>
          <w:rPr>
            <w:rFonts w:ascii="Cambria Math" w:hAnsi="Cambria Math"/>
          </w:rPr>
          <m:t xml:space="preserve">DWL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pStyle w:val="Heading1"/>
      </w:pPr>
      <w:r>
        <w:rPr>
          <w:rFonts w:ascii="Times New Roman" w:hAnsi="Times New Roman"/>
          <w:b/>
          <w:color w:val="2F5496"/>
          <w:sz w:val="28"/>
        </w:rPr>
        <w:t>Appendix C: Sensitivity Analysis</w:t>
      </w:r>
    </w:p>
    <w:p>
      <w:pPr>
        <w:spacing w:before="0" w:after="160" w:line="360" w:lineRule="auto"/>
        <w:ind w:firstLine="0"/>
        <w:jc w:val="both"/>
      </w:pPr>
      <w:hyperlink w:anchor="TableA3" w:history="1">
        <w:r>
          <w:rPr>
            <w:color w:val="1F3864"/>
            <w:u w:val="single"/>
          </w:rPr>
          <w:t xml:space="preserve">Table A3</w:t>
        </w:r>
      </w:hyperlink>
      <w:r>
        <w:t xml:space="preserve"> reports cost-recovery rankings under three robustness specifications. The baseline uses the calibrated hardware cost; the alternative scenarios vary the hardware cost share to test sensitivity of the rankings.</w:t>
      </w:r>
    </w:p>
    <w:p>
      <w:pPr>
        <w:spacing w:before="0" w:after="60" w:line="360" w:lineRule="auto"/>
        <w:ind w:firstLine="0"/>
        <w:jc w:val="both"/>
      </w:pPr>
      <w:bookmarkStart w:id="142" w:name="TableA3"/>
      <w:hyperlink w:anchor="TableA3txt" w:history="1">
        <w:r>
          <w:rPr>
            <w:b/>
            <w:sz w:val="20"/>
            <w:color w:val="1F3864"/>
            <w:u w:val="single"/>
          </w:rPr>
          <w:t>Table A3</w:t>
        </w:r>
      </w:hyperlink>
      <w:bookmarkEnd w:id="142"/>
      <w:r>
        <w:rPr>
          <w:b/>
          <w:sz w:val="20"/>
        </w:rPr>
        <w:t>. Sensitivity of cost-recovery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spread</w:t>
            </w:r>
          </w:p>
        </w:tc>
        <w:tc>
          <w:tcPr>
            <w:tcBorders>
              <w:top w:val="single" w:sz="4" w:space="0" w:color="auto"/>
              <w:bottom w:val="single" w:sz="4" w:space="0" w:color="auto"/>
            </w:tcBorders>
            <w:tcW w:w="900" w:type="dxa"/>
          </w:tcPr>
          <w:p>
            <w:pPr>
              <w:jc w:val="center"/>
              <w:spacing w:before="10" w:after="10"/>
            </w:pPr>
            <w:r/>
            <w:r>
              <w:rPr>
                <w:b/>
                <w:sz w:val="16"/>
              </w:rPr>
              <w:t>Spearman ρ vs baseline</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(ρ=$1.36)</w:t>
            </w:r>
          </w:p>
        </w:tc>
        <w:tc>
          <w:tcPr>
            <w:tcW w:w="2200" w:type="dxa"/>
          </w:tcPr>
          <w:p>
            <w:pPr>
              <w:spacing w:before="10" w:after="10"/>
            </w:pPr>
            <w:r/>
            <w:r>
              <w:rPr>
                <w:sz w:val="16"/>
              </w:rPr>
              <w:t>ρ=$1.36</w:t>
            </w:r>
          </w:p>
        </w:tc>
        <w:tc>
          <w:tcPr>
            <w:tcW w:w="700" w:type="dxa"/>
          </w:tcPr>
          <w:p>
            <w:pPr>
              <w:jc w:val="right"/>
              <w:spacing w:before="10" w:after="10"/>
            </w:pPr>
            <w:r/>
            <w:r>
              <w:rPr>
                <w:sz w:val="16"/>
              </w:rPr>
              <w:t>11</w:t>
            </w:r>
          </w:p>
        </w:tc>
        <w:tc>
          <w:tcPr>
            <w:tcW w:w="700" w:type="dxa"/>
          </w:tcPr>
          <w:p>
            <w:pPr>
              <w:jc w:val="right"/>
              <w:spacing w:before="10" w:after="10"/>
            </w:pPr>
            <w:r/>
            <w:r>
              <w:rPr>
                <w:sz w:val="16"/>
              </w:rPr>
              <w:t>11.9%</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Kosovo, Canada, Tajikistan</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11</w:t>
            </w:r>
          </w:p>
        </w:tc>
        <w:tc>
          <w:tcPr>
            <w:tcW w:w="700" w:type="dxa"/>
          </w:tcPr>
          <w:p>
            <w:pPr>
              <w:jc w:val="right"/>
              <w:spacing w:before="10" w:after="10"/>
            </w:pPr>
            <w:r/>
            <w:r>
              <w:rPr>
                <w:sz w:val="16"/>
              </w:rPr>
              <w:t>12.3%</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Kosovo, Canada, Tajikistan</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11</w:t>
            </w:r>
          </w:p>
        </w:tc>
        <w:tc>
          <w:tcPr>
            <w:tcBorders>
              <w:bottom w:val="double" w:sz="4" w:space="0" w:color="auto"/>
            </w:tcBorders>
            <w:tcW w:w="700" w:type="dxa"/>
          </w:tcPr>
          <w:p>
            <w:pPr>
              <w:jc w:val="right"/>
              <w:spacing w:before="10" w:after="10"/>
            </w:pPr>
            <w:r/>
            <w:r>
              <w:rPr>
                <w:sz w:val="16"/>
              </w:rPr>
              <w:t>11.4%</w:t>
            </w:r>
          </w:p>
        </w:tc>
        <w:tc>
          <w:tcPr>
            <w:tcBorders>
              <w:bottom w:val="double" w:sz="4" w:space="0" w:color="auto"/>
            </w:tcBorders>
            <w:tcW w:w="900" w:type="dxa"/>
          </w:tcPr>
          <w:p>
            <w:pPr>
              <w:jc w:val="right"/>
              <w:spacing w:before="10" w:after="10"/>
            </w:pPr>
            <w:r/>
            <w:r>
              <w:rPr>
                <w:sz w:val="16"/>
              </w:rPr>
              <w:t>1.00</w:t>
            </w:r>
          </w:p>
        </w:tc>
        <w:tc>
          <w:tcPr>
            <w:tcBorders>
              <w:bottom w:val="double" w:sz="4" w:space="0" w:color="auto"/>
            </w:tcBorders>
            <w:tcW w:w="2300" w:type="dxa"/>
          </w:tcPr>
          <w:p>
            <w:pPr>
              <w:jc w:val="right"/>
              <w:spacing w:before="10" w:after="10"/>
            </w:pPr>
            <w:r/>
            <w:r>
              <w:rPr>
                <w:sz w:val="16"/>
              </w:rPr>
              <w:t>Kyrgyzstan, Ethiopia, Kosovo, Canada, Tajikistan</w:t>
            </w:r>
          </w:p>
        </w:tc>
      </w:tr>
    </w:tbl>
    <w:p>
      <w:pPr>
        <w:spacing w:before="40" w:after="0" w:line="240" w:lineRule="auto"/>
        <w:ind w:firstLine="0"/>
        <w:jc w:val="left"/>
      </w:pPr>
      <w:r>
        <w:rPr>
          <w:sz w:val="20"/>
        </w:rPr>
        <w:t>Notes: Each row uses cost-recovery pricing (subsidized tariffs replaced with LRMC). Dev top 15 = number of developing countries in top 15. Max spread = maximum percentage difference between costliest and cheapest producer. Spearman ρ vs baseline = rank correlation with baseline scenario.</w:t>
      </w:r>
    </w:p>
    <w:p>
      <w:pPr>
        <w:pStyle w:val="Heading1"/>
      </w:pPr>
      <w:r>
        <w:rPr>
          <w:rFonts w:ascii="Times New Roman" w:hAnsi="Times New Roman"/>
          <w:b/>
          <w:color w:val="2F5496"/>
          <w:sz w:val="28"/>
        </w:rPr>
        <w:t>Appendix D: Data Center Investment Model — Kyrgyzstan</w:t>
      </w:r>
    </w:p>
    <w:p>
      <w:pPr>
        <w:spacing w:before="0" w:after="160" w:line="360" w:lineRule="auto"/>
        <w:ind w:firstLine="0"/>
        <w:jc w:val="both"/>
      </w:pPr>
      <w:bookmarkStart w:id="145" w:name="TableA4txt"/>
      <w:bookmarkEnd w:id="145"/>
      <w:bookmarkStart w:id="147" w:name="TableA5txt"/>
      <w:bookmarkEnd w:id="147"/>
      <w:bookmarkStart w:id="149" w:name="TableA6txt"/>
      <w:bookmarkEnd w:id="149"/>
      <w:r>
        <w:t xml:space="preserve">This appendix presents a 15-year discounted cash flow (DCF) analysis for a hypothetical 40 MW data center in Kyrgyzstan, the lowest-cost seller in the cost-recovery-adjusted calibration. </w:t>
      </w:r>
      <w:hyperlink w:anchor="TableA4" w:history="1">
        <w:r>
          <w:rPr>
            <w:color w:val="1F3864"/>
            <w:u w:val="single"/>
          </w:rPr>
          <w:t xml:space="preserve">Table A4</w:t>
        </w:r>
      </w:hyperlink>
      <w:r>
        <w:t xml:space="preserve"> summarizes facility parameters, </w:t>
      </w:r>
      <w:hyperlink w:anchor="TableA5" w:history="1">
        <w:r>
          <w:rPr>
            <w:color w:val="1F3864"/>
            <w:u w:val="single"/>
          </w:rPr>
          <w:t xml:space="preserve">Table A5</w:t>
        </w:r>
      </w:hyperlink>
      <w:r>
        <w:t xml:space="preserve"> presents the year-by-year cash flow, and </w:t>
      </w:r>
      <w:hyperlink w:anchor="TableA6" w:history="1">
        <w:r>
          <w:rPr>
            <w:color w:val="1F3864"/>
            <w:u w:val="single"/>
          </w:rPr>
          <w:t xml:space="preserve">Table A6</w:t>
        </w:r>
      </w:hyperlink>
      <w:r>
        <w:t xml:space="preserve"> reports sensitivity to parameter variation.</w:t>
      </w:r>
    </w:p>
    <w:p>
      <w:pPr>
        <w:spacing w:before="0" w:after="60" w:line="360" w:lineRule="auto"/>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4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60" w:line="360" w:lineRule="auto"/>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80" w:after="80" w:line="360" w:lineRule="auto"/>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60" w:line="360" w:lineRule="auto"/>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80" w:after="80" w:line="360" w:lineRule="auto"/>
        <w:ind w:firstLine="0"/>
        <w:jc w:val="both"/>
      </w:pPr>
      <w:r>
        <w:rPr>
          <w:b/>
        </w:rPr>
        <w:t xml:space="preserve">Risks. </w:t>
      </w:r>
      <w:r>
        <w:t xml:space="preserve">Kyrgyzstan depends on the Toktogul reservoir for over 80 percent of electricity (</w:t>
      </w:r>
      <w:bookmarkStart w:id="242" w:name="ADB2020txt"/>
      <w:hyperlink w:anchor="ADB2020" w:history="1">
        <w:r>
          <w:rPr>
            <w:color w:val="1F3864"/>
            <w:u w:val="single"/>
          </w:rPr>
          <w:t xml:space="preserve">ADB 2020</w:t>
        </w:r>
      </w:hyperlink>
      <w:bookmarkEnd w:id="242"/>
      <w:r>
        <w:t xml:space="preserve">); seasonal drawdowns and drought years create acute power shortages. GPU procurement faces US export-control uncertainty. Underdeveloped contract enforcement and regulatory frameworks raise the bilateral sovereignty premium for potential importers. Despite these risks, the engineering economics are clear: electricity at $0.038/kWh and a PUE of 1.08 yield production costs well below the global median, and the positive NPV survives eight of ten perturbations in </w:t>
      </w:r>
      <w:hyperlink w:anchor="TableA6" w:history="1">
        <w:r>
          <w:rPr>
            <w:color w:val="1F3864"/>
            <w:u w:val="single"/>
          </w:rPr>
          <w:t xml:space="preserve">Table A6</w:t>
        </w:r>
      </w:hyperlink>
      <w:r>
        <w:t>.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pStyle w:val="Heading1"/>
      </w:pPr>
      <w:r>
        <w:rPr>
          <w:rFonts w:ascii="Times New Roman" w:hAnsi="Times New Roman"/>
          <w:b/>
          <w:color w:val="2F5496"/>
          <w:sz w:val="28"/>
        </w:rPr>
        <w:t>Appendix E: Construction Cost Regression</w:t>
      </w:r>
    </w:p>
    <w:p>
      <w:pPr>
        <w:spacing w:before="0" w:after="160" w:line="360" w:lineRule="auto"/>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line="360" w:lineRule="auto"/>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4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pStyle w:val="Heading1"/>
      </w:pPr>
      <w:r>
        <w:rPr>
          <w:rFonts w:ascii="Times New Roman" w:hAnsi="Times New Roman"/>
          <w:b/>
          <w:color w:val="2F5496"/>
          <w:sz w:val="28"/>
        </w:rPr>
        <w:t>Appendix F: Workload Classification</w:t>
      </w:r>
    </w:p>
    <w:p>
      <w:pPr>
        <w:spacing w:before="0" w:after="160" w:line="360" w:lineRule="auto"/>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line="360" w:lineRule="auto"/>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4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p>
      <w:pPr>
        <w:pStyle w:val="Heading1"/>
      </w:pPr>
      <w:r>
        <w:rPr>
          <w:rFonts w:ascii="Times New Roman" w:hAnsi="Times New Roman"/>
          <w:b/>
          <w:color w:val="2F5496"/>
          <w:sz w:val="28"/>
        </w:rPr>
        <w:t>Appendix G: Symmetric LRMC Construction</w:t>
      </w:r>
    </w:p>
    <w:p>
      <w:pPr>
        <w:spacing w:before="0" w:after="160" w:line="360" w:lineRule="auto"/>
        <w:ind w:firstLine="0"/>
        <w:jc w:val="both"/>
      </w:pPr>
      <w:r>
        <w:t xml:space="preserve">The cost-recovery specification in earlier versions of this paper adjusted electricity prices downward for thirteen developing countries whose observed industrial tariffs reflect explicit fossil-fuel subsidies (</w:t>
      </w:r>
      <w:bookmarkStart w:id="243" w:name="IMF2025txt"/>
      <w:hyperlink w:anchor="IMF2025" w:history="1">
        <w:r>
          <w:rPr>
            <w:color w:val="1F3864"/>
            <w:u w:val="single"/>
          </w:rPr>
          <w:t xml:space="preserve">IMF 2025</w:t>
        </w:r>
      </w:hyperlink>
      <w:bookmarkEnd w:id="243"/>
      <w:r>
        <w:t xml:space="preserve">), replacing subsidized tariffs with the estimated long-run marginal cost of the dominant generation technology at opportunity-cost fuel prices. No symmetric correction was applied to OECD and high-income tariffs, which also embed distortions: emissions externalities not priced at the retail meter, industrial cross-subsidies financed by residential and commercial rate classes, and regulated-access privileges for incumbents. The asymmetry biases the cross-country cost spread in favor of OECD economies. This appendix constructs a symmetric LRMC specification that corrects distortions on both sides.</w:t>
      </w:r>
    </w:p>
    <w:p>
      <w:pPr>
        <w:spacing w:before="0" w:after="160" w:line="360" w:lineRule="auto"/>
        <w:ind w:firstLine="0"/>
        <w:jc w:val="both"/>
      </w:pPr>
      <w:r>
        <w:t>Of the 85 calibrated countries, 13 retain the IMF-based LRMC replacement used throughout the paper (Iran, Turkmenistan, Algeria, Egypt, Qatar, Saudi Arabia, United Arab Emirates, Russia, Kazakhstan, Nigeria, South Africa, Ethiopia, and Uzbekistan). Forty-three OECD, EU non-OECD, and high-income non-OECD countries receive a symmetric adjustment. Twenty-nine middle-income developing economies whose observed industrial tariffs already approximate long-run marginal cost retain their observed prices. Three countries (Qatar, Saudi Arabia, United Arab Emirates) appear in both the developing-country subsidy set and the high-income non-OECD set; the IMF-based treatment dominates and no layering is applied.</w:t>
      </w:r>
    </w:p>
    <w:p>
      <w:pPr>
        <w:spacing w:before="0" w:after="160" w:line="360" w:lineRule="auto"/>
        <w:ind w:firstLine="0"/>
        <w:jc w:val="both"/>
      </w:pPr>
      <w:r>
        <w:t>The carbon-price adder equals the 2024 grid carbon intensity in grams of CO₂ per kilowatt-hour (EMBER Yearly Electricity Data 2025 release) multiplied by the 2024 annual-average price under the applicable emissions-trading or carbon-tax regime: EU ETS ($70.94 per tonne, applied to EU27 plus Norway, Iceland, and Switzerland via the linked Swiss ETS), UK ETS ($47.32), Canadian federal backstop ($58.48), California Cap-and-Trade plus RGGI coverage-weighted for the United States ($3.81 effective national average), New Zealand ETS ($39.50), and Singapore carbon tax ($18.60). Nominal instruments with effective prices below ten dollars per tonne (Korea K-ETS, Japanese carbon tax, Australian safeguard mechanism, Israel, Chile, Mexico, Turkey, Colombia) are set to zero.</w:t>
      </w:r>
    </w:p>
    <w:p>
      <w:pPr>
        <w:spacing w:before="0" w:after="160" w:line="360" w:lineRule="auto"/>
        <w:ind w:firstLine="0"/>
        <w:jc w:val="both"/>
      </w:pPr>
      <w:r>
        <w:t>Only well-documented, quantified industrial cross-subsidies exceeding $0.005 per kilowatt-hour are included. Germany receives the largest add-back ($0.038/kWh) reflecting the EEG renewables-surcharge exemption and grid-fee exemption for energy-intensive industry (Agora Energiewende; BDEW). France receives $0.015/kWh for post-ARENH regulated nuclear access. Spain, Italy, the Netherlands, and Belgium receive $0.010/kWh each from the Eurostat nrg_pc_205 subsidies column (industrial band IB6). The United States receives $0.015/kWh reflecting the industrial–residential rate differential in excess of cost-of-service documented by Borenstein (2012) and Davis and Hausman (2016). Korea receives $0.020/kWh reflecting KEPCO industrial tariffs below cost-of-service (OECD Energy Policy Review). All other countries receive zero.</w:t>
      </w:r>
    </w:p>
    <w:p>
      <w:pPr>
        <w:spacing w:before="0" w:after="160" w:line="360" w:lineRule="auto"/>
        <w:ind w:firstLine="0"/>
        <w:jc w:val="both"/>
      </w:pPr>
      <w:r>
        <w:t>Three choices warrant note. First, the carbon adder uses 2024 annual-average market prices, not the social cost of carbon; using US EPA (2023) social-cost values would widen the OECD adjustment further. Second, we use existing-asset variable cost rather than replacement-cost capital for OECD nuclear and hydro; a replacement-cost treatment would raise Norwegian and French LRMCs materially. Third, the largest ten changes in per-kWh prices occur in Germany, Poland, Cyprus, Estonia, Netherlands, Czechia, Italy, Bulgaria, Malta, and Greece; the corresponding rank shifts in Table A1 illustrate how the symmetric specification reallocates comparative advantage toward countries with cleaner grids or cost-reflective tariffs rather than toward those with below-marginal-cost industrial rates.</w:t>
      </w:r>
    </w:p>
    <w:p>
      <w:pPr>
        <w:spacing w:before="0" w:after="160" w:line="360" w:lineRule="auto"/>
        <w:ind w:firstLine="0"/>
        <w:jc w:val="both"/>
      </w:pPr>
      <w:r>
        <w:t>Under the symmetric LRMC specification, the five cheapest producers are Kyrgyzstan, Ethiopia, Kosovo, Canada, and Tajikistan. Canada drops from rank 2 to rank 4 on a small $0.008 per kilowatt-hour carbon adder. Poland falls 21 positions, Germany 10, the United States 10, and France 12. Nordic low-carbon grids and Switzerland move by two positions or fewer. The qualitative conclusion is strengthened, not overturned: countries with cheap, clean electricity retain their cost advantage once both sides of the distortion are corrected.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 I thank Ivan Torre, Christine Ann McDaniel, and Erhan Artuc for their constructive comments.</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7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At the same time,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3">
    <w:p>
      <w:pPr>
        <w:pStyle w:val="FootnoteText"/>
      </w:pPr>
      <w:r>
        <w:rPr>
          <w:rStyle w:val="FootnoteReference"/>
        </w:rPr>
        <w:footnoteRef/>
      </w:r>
      <w:r>
        <w:t xml:space="preserve"> The nesting result assumes that the training exporter’s latency cone is non-empty. Formally, country j has a non-empty latency cone if there exists some country </w:t>
      </w:r>
      <m:oMath>
        <m:r>
          <m:rPr>
            <m:sty m:val="p"/>
          </m:rPr>
          <w:rPr>
            <w:rFonts w:ascii="Cambria Math" w:hAnsi="Cambria Math"/>
          </w:rPr>
          <m:t xml:space="preserve">∃k</m:t>
        </m:r>
      </m:oMath>
      <w:r>
        <w:t xml:space="preserve"> such that </w:t>
      </w: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&gt; 0</m:t>
        </m:r>
      </m:oMath>
      <w:r>
        <w:t xml:space="preserve"> and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A hypothetical country with the globally lowest production cost but round-trip latency exceeding </w:t>
      </w:r>
      <m:oMath>
        <m:bar>
          <m:barPr>
            <m:pos m:val="top"/>
          </m:barPr>
          <m:e>
            <m:r>
              <m:rPr>
                <m:sty m:val="i"/>
              </m:rPr>
              <w:rPr>
                <w:rFonts w:ascii="Cambria Math" w:hAnsi="Cambria Math"/>
              </w:rPr>
              <m:t xml:space="preserve">l</m:t>
            </m:r>
          </m:e>
        </m:bar>
      </m:oMath>
      <w:r>
        <w:t xml:space="preserve"> to every country with positive compute demand would export training (which is latency-insensitive) yet be unable to serve any inference market, a “pure training exporter” regime not listed in Table 1. This case is empirically negligible in the calibration: any country remote enough to have an empty latency cone (e.g., a mid-Pacific island) typically also faces prohibitive governance and construction cost penalties that exclude it from the training market.</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capture the geopolitical and data-governance components of services trade costs, which constitute a subset of the full regulatory barriers estimated at approximately 16% for communication services (</w:t>
      </w:r>
      <w:hyperlink w:anchor="BenzJaax2020" w:history="1">
        <w:r>
          <w:rPr>
            <w:color w:val="1F3864"/>
            <w:u w:val="single"/>
          </w:rPr>
          <w:t xml:space="preserve">Benz and Jaax 2020</w:t>
        </w:r>
      </w:hyperlink>
      <w:r>
        <w:t xml:space="preserve">).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Ethiopia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