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17:42</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four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28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−1.3%</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−1.7%</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(6) of </w:t>
      </w:r>
      <w:hyperlink w:anchor="Table3b" w:history="1">
        <w:r>
          <w:rPr>
            <w:color w:val="1F3864"/>
            <w:u w:val="single"/>
          </w:rPr>
          <w:t xml:space="preserve">Table 3b</w:t>
        </w:r>
      </w:hyperlink>
      <w:r>
        <w:t xml:space="preserve"> reports regime assignments under the FDI specification. Under bilateral sovereignty (column 3), only Canada exports; all other countries either produce domestically or import. Under hyperscaler FDI (column 6), 6 countries become exporters, 4 of them developing economies: Ethiopia, Kosovo, Kyrgyzstan,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(6)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1.7%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(5)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(3) and (4)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1.7% of compute spending. The resolution lies in the hyperscaler FDI channel: when a trusted cloud provider operates the facility, the buyer’s sovereignty concern attaches to the operator, not the host country. Under this specification, four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(6)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four-column progression in Table 3b makes the policy challenge concrete: cheap energy gets a country into the cost-feasible set (column 2), but bilateral trust eliminates the opportunity (column 3), and only hyperscaler intermediation restores it (column 6).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(3)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Azerbaijan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Algeria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Brazil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Indonesia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Kazakhstan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20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-5</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(2) and (3) are the same, because the sovereignty premium does not affect production costs or cost rankings; it reshapes regime assignments. Δ = rank change from (1) to (2);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(3)/(4)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(5)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(6)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Rank₅</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0.3%</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Tajikistan</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1.8%</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2.3%</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Ukraine</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Azerbaijan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Algeria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Russia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2.8%</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Egypt</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3.1%</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Turkmenistan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Brazil</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Iran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3.7%</w:t>
            </w:r>
          </w:p>
        </w:tc>
      </w:tr>
      <w:tr>
        <w:tc>
          <w:tcPr>
            <w:tcW w:w="2000" w:type="dxa"/>
          </w:tcPr>
          <w:p>
            <w:pPr>
              <w:jc w:val="left"/>
              <w:spacing w:before="10" w:after="10"/>
            </w:pPr>
            <w:r/>
            <w:r>
              <w:rPr>
                <w:rFonts w:ascii="Times New Roman" w:hAnsi="Times New Roman"/>
                <w:sz w:val="16"/>
              </w:rPr>
              <w:t>Indonesia</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Kazakhstan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3.9%</w:t>
            </w:r>
          </w:p>
        </w:tc>
      </w:tr>
      <w:tr>
        <w:tc>
          <w:tcPr>
            <w:tcBorders>
              <w:bottom w:val="double" w:sz="4" w:space="0" w:color="auto"/>
            </w:tcBorders>
            <w:tcW w:w="2000" w:type="dxa"/>
          </w:tcPr>
          <w:p>
            <w:pPr>
              <w:jc w:val="left"/>
              <w:spacing w:before="10" w:after="10"/>
            </w:pPr>
            <w:r/>
            <w:r>
              <w:rPr>
                <w:rFonts w:ascii="Times New Roman" w:hAnsi="Times New Roman"/>
                <w:sz w:val="16"/>
              </w:rPr>
              <w:t>Uzbekistan</w:t>
            </w:r>
          </w:p>
        </w:tc>
        <w:tc>
          <w:tcPr>
            <w:tcBorders>
              <w:bottom w:val="double" w:sz="4" w:space="0" w:color="auto"/>
            </w:tcBorders>
            <w:tcW w:w="1100" w:type="dxa"/>
          </w:tcPr>
          <w:p>
            <w:pPr>
              <w:jc w:val="center"/>
              <w:spacing w:before="10" w:after="10"/>
            </w:pPr>
            <w:r/>
            <w:r>
              <w:rPr>
                <w:rFonts w:ascii="Times New Roman" w:hAnsi="Times New Roman"/>
                <w:sz w:val="16"/>
              </w:rPr>
              <w:t>$1.65</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center"/>
              <w:spacing w:before="10" w:after="10"/>
            </w:pPr>
            <w:r/>
            <w:r>
              <w:rPr>
                <w:rFonts w:ascii="Times New Roman" w:hAnsi="Times New Roman"/>
                <w:sz w:val="16"/>
              </w:rPr>
              <w:t>3.9%</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(3)/(4)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(5) Uniform: uniform λ = 10% premium (robustness check). (6)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(3)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0</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(2) rank (ascending). Column (3)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