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r>
    </w:p>
    <w:p>
      <w:pPr>
        <w:spacing w:before="40" w:after="240" w:line="360" w:lineRule="auto"/>
        <w:ind w:firstLine="0"/>
        <w:jc w:val="center"/>
      </w:pPr>
      <w:r>
        <w:rPr>
          <w:rFonts w:ascii="Times New Roman" w:hAnsi="Times New Roman"/>
          <w:color w:val="808080"/>
          <w:sz w:val="18"/>
        </w:rPr>
      </w:r>
    </w:p>
    <w:p>
      <w:pPr>
        <w:spacing w:before="240" w:after="0" w:line="240" w:lineRule="auto"/>
        <w:ind w:firstLine="0" w:left="720" w:right="720"/>
        <w:jc w:val="both"/>
      </w:pPr>
      <w:r>
        <w:rPr>
          <w:b/>
        </w:rPr>
        <w:t>Abstract</w:t>
      </w:r>
      <w:r>
        <w:t>: Can energy-rich developing countries turn cheap electricity into AI compute exports? We develop a capacity-constrained trade model of AI compute services with bilateral frictions in delivery, regulation, and trust. Calibrating the model across 85 countries shows that several developing economies can produce compute at low cost, but this advantage rarely becomes export competitiveness. Hardware dominates unit costs and is globally priced, leaving only a 12–20 percent cross-country production-cost spread. Modest regulatory, financing, and trust frictions can therefore erase the gains from cheap power. The binding constraint is institutional credibility rather than electricity prices: enforceable data governance, stable regulation, credible power contracts, access to finance, and geopolitical alignment with buyers.</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developing countries</w:t>
      </w:r>
    </w:p>
    <w:p>
      <w:pPr>
        <w:spacing w:before="0" w:after="0"/>
      </w:pPr>
      <w:r>
        <w:br w:type="page"/>
      </w:r>
    </w:p>
    <w:p>
      <w:pPr>
        <w:pStyle w:val="Heading1"/>
      </w:pPr>
      <w:r>
        <w:rPr>
          <w:rFonts w:ascii="Times New Roman" w:hAnsi="Times New Roman"/>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machine-learning models (ML) has doubled every six months since 2010 (</w:t>
      </w:r>
      <w:bookmarkStart w:id="200" w:name="SevillaEtAl2022txt"/>
      <w:hyperlink w:anchor="SevillaEtAl2022" w:history="1">
        <w:r>
          <w:rPr>
            <w:color w:val="1F3864"/>
            <w:u w:val="single"/>
          </w:rPr>
          <w:t xml:space="preserve">Sevilla et al. 2022</w:t>
        </w:r>
      </w:hyperlink>
      <w:bookmarkEnd w:id="200"/>
      <w:r>
        <w:t xml:space="preserve">). In 2024, data centers accounted for approximately 1.5 percent of global electricity demand, and that share is projected to exceed 3 percent by 2030 (</w:t>
      </w:r>
      <w:bookmarkStart w:id="245" w:name="IEA2025txt"/>
      <w:hyperlink w:anchor="IEA2025" w:history="1">
        <w:r>
          <w:rPr>
            <w:color w:val="1F3864"/>
            <w:u w:val="single"/>
          </w:rPr>
          <w:t xml:space="preserve">IEA 2025</w:t>
        </w:r>
      </w:hyperlink>
      <w:bookmarkEnd w:id="245"/>
      <w:r>
        <w:t xml:space="preserve">). Rising compute demand creates a new kind of export opportunity: countries can sell computational work across borders. In this paper, we call this FLOP exporting because the service being traded is measured in floating-point operations, the standard unit of computational work. For energy-rich developing countries, this creates a potential path from raw energy exports to higher-value digital services.</w:t>
      </w:r>
    </w:p>
    <w:p>
      <w:pPr>
        <w:spacing w:before="0" w:after="160" w:line="360" w:lineRule="auto"/>
        <w:ind w:firstLine="0"/>
        <w:jc w:val="both"/>
      </w:pPr>
      <w:r>
        <w:t xml:space="preserve">Several megaprojects suggest that FLOP exporting is technically and commercially feasible. Armenia is deploying 50,000 GPUs as part of a $4 billion investment (</w:t>
      </w:r>
      <w:bookmarkStart w:id="246" w:name="Firebird2026txt"/>
      <w:hyperlink w:anchor="Firebird2026" w:history="1">
        <w:r>
          <w:rPr>
            <w:color w:val="1F3864"/>
            <w:u w:val="single"/>
          </w:rPr>
          <w:t xml:space="preserve">Firebird 2026</w:t>
        </w:r>
      </w:hyperlink>
      <w:bookmarkEnd w:id="246"/>
      <w:r>
        <w:t xml:space="preserve">). Kenya, Saudi Arabia, and Malaysia have attracted billion-dollar investments in data centers.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Global data-center FDI reached over $310 billion in 2025 (</w:t>
      </w:r>
      <w:bookmarkStart w:id="247" w:name="AykutEtAl2026txt"/>
      <w:hyperlink w:anchor="AykutEtAl2026" w:history="1">
        <w:r>
          <w:rPr>
            <w:color w:val="1F3864"/>
            <w:u w:val="single"/>
          </w:rPr>
          <w:t xml:space="preserve">Aykut et al. 2026</w:t>
        </w:r>
      </w:hyperlink>
      <w:bookmarkEnd w:id="247"/>
      <w:r>
        <w:t xml:space="preserve">) and annual cloud computing exports exceeded $9 billion (</w:t>
      </w:r>
      <w:bookmarkStart w:id="263" w:name="WorldBank2025txt"/>
      <w:hyperlink w:anchor="WorldBank2025" w:history="1">
        <w:r>
          <w:rPr>
            <w:color w:val="1F3864"/>
            <w:u w:val="single"/>
          </w:rPr>
          <w:t xml:space="preserve">World Bank 2025</w:t>
        </w:r>
      </w:hyperlink>
      <w:bookmarkEnd w:id="263"/>
      <w:r>
        <w:t xml:space="preserve">).</w:t>
      </w:r>
    </w:p>
    <w:p>
      <w:pPr>
        <w:spacing w:before="0" w:after="160" w:line="360" w:lineRule="auto"/>
        <w:ind w:firstLine="0"/>
        <w:jc w:val="both"/>
      </w:pPr>
      <w:r>
        <w:t xml:space="preserve">Yet the cheapest locations are not the places attracting the most investment. The cheapest potential producer in our calibration, Kyrgyzstan, has 5 MW of installed capacity and virtually no data-center FDI, while the largest recipients among developing economies (Malaysia, India, Brazil) sit in the middle of the cost ranking (</w:t>
      </w:r>
      <w:bookmarkStart w:id="202" w:name="AykutEtAl2026txt"/>
      <w:hyperlink w:anchor="AykutEtAl2026" w:history="1">
        <w:r>
          <w:rPr>
            <w:color w:val="1F3864"/>
            <w:u w:val="single"/>
          </w:rPr>
          <w:t xml:space="preserve">Aykut et al. 2026</w:t>
        </w:r>
      </w:hyperlink>
      <w:bookmarkEnd w:id="202"/>
      <w:r>
        <w:t xml:space="preserve">). Cheap electricity is not creating compute exports. The central question, then, is why low-cost countries fail to attract compute investment and what conditions would allow them to convert cheap power into export capacity.</w:t>
      </w:r>
    </w:p>
    <w:p>
      <w:pPr>
        <w:spacing w:before="0" w:after="160" w:line="360" w:lineRule="auto"/>
        <w:ind w:firstLine="0"/>
        <w:jc w:val="both"/>
      </w:pPr>
      <w:r>
        <w:t xml:space="preserve">Recent work examines compute governance and the geography of AI infrastructure (</w:t>
      </w:r>
      <w:bookmarkStart w:id="248" w:name="Sastry2024txt"/>
      <w:hyperlink w:anchor="Sastry2024" w:history="1">
        <w:r>
          <w:rPr>
            <w:color w:val="1F3864"/>
            <w:u w:val="single"/>
          </w:rPr>
          <w:t xml:space="preserve">Sastry et al. 2024</w:t>
        </w:r>
      </w:hyperlink>
      <w:bookmarkEnd w:id="248"/>
      <w:r>
        <w:t xml:space="preserve">, </w:t>
      </w:r>
      <w:bookmarkStart w:id="203" w:name="Lehdonvirta2024txt"/>
      <w:hyperlink w:anchor="Lehdonvirta2024" w:history="1">
        <w:r>
          <w:rPr>
            <w:color w:val="1F3864"/>
            <w:u w:val="single"/>
          </w:rPr>
          <w:t xml:space="preserve">Lehdonvirta et al. 2024</w:t>
        </w:r>
      </w:hyperlink>
      <w:bookmarkEnd w:id="203"/>
      <w:r>
        <w:t xml:space="preserve">, </w:t>
      </w:r>
      <w:bookmarkStart w:id="249" w:name="Pilz2025txt"/>
      <w:hyperlink w:anchor="Pilz2025" w:history="1">
        <w:r>
          <w:rPr>
            <w:color w:val="1F3864"/>
            <w:u w:val="single"/>
          </w:rPr>
          <w:t xml:space="preserve">Pilz et al. 2025</w:t>
        </w:r>
      </w:hyperlink>
      <w:bookmarkEnd w:id="249"/>
      <w:r>
        <w:t xml:space="preserve">), but no formal trade model of compute has been developed. This paper offers the first such model and makes three contributions. First, we develop a capacity-constrained Ricardian model of compute trade. The model treats latency as an iceberg trade cost and geopolitical distrust as a bilateral sovereignty premium. Second, we calibrate the model across 85 countries, correcting for energy subsidies that distort headline cost rankings. Third, we characterize the resulting trade regimes and quantify the welfare cost of sovereignty premia.</w:t>
      </w:r>
    </w:p>
    <w:p>
      <w:pPr>
        <w:spacing w:before="0" w:after="160" w:line="360" w:lineRule="auto"/>
        <w:ind w:firstLine="0"/>
        <w:jc w:val="both"/>
      </w:pPr>
      <w:r>
        <w:t xml:space="preserve">Cheap power and favorable cooling conditions do not automatically translate into compute exports. Hardware amortization accounts for roughly 90 percent of the unit cost and is priced globally, so cross-country production cost differences are limited to 12–20 percent. This narrow spread leaves little room for institutional frictions. Under cost-recovery pricing, several developing countries rank among the lowest-cost producers. However, when bilateral sovereignty frictions are introduced, trust deficits with OECD buyers eliminate nearly all of their export potential. Financing costs reinforce this result: a 10-percentage-point WACC gap between OECD hyperscalers and locally financed developing-country operators adds about $0.29 per GPU-hour to unit cost, roughly four times the electricity-cost spread among the top twenty producers (</w:t>
      </w:r>
      <w:bookmarkStart w:id="204" w:name="Calcaterra2024txt"/>
      <w:hyperlink w:anchor="Calcaterra2024" w:history="1">
        <w:r>
          <w:rPr>
            <w:color w:val="1F3864"/>
            <w:u w:val="single"/>
          </w:rPr>
          <w:t xml:space="preserve">Calcaterra et al. 2024</w:t>
        </w:r>
      </w:hyperlink>
      <w:bookmarkEnd w:id="204"/>
      <w:r>
        <w:t xml:space="preserve">). </w:t>
      </w:r>
    </w:p>
    <w:p>
      <w:pPr>
        <w:pStyle w:val="Heading1"/>
      </w:pPr>
      <w:r>
        <w:rPr>
          <w:rFonts w:ascii="Times New Roman" w:hAnsi="Times New Roman"/>
          <w:color w:val="2F5496"/>
          <w:sz w:val="28"/>
        </w:rPr>
        <w:t>2. Related Literature</w:t>
      </w:r>
    </w:p>
    <w:p>
      <w:pPr>
        <w:spacing w:before="0" w:after="160" w:line="360" w:lineRule="auto"/>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data and human capital. Our model highlights a different margin: compute production depends heavily on electricity costs and climate. Resource-rich countries could therefore export compute even without large domestic AI industries. </w:t>
      </w:r>
      <w:bookmarkStart w:id="250" w:name="Korinek2021txt"/>
      <w:hyperlink w:anchor="Korinek2021" w:history="1">
        <w:r>
          <w:rPr>
            <w:color w:val="1F3864"/>
            <w:u w:val="single"/>
          </w:rPr>
          <w:t xml:space="preserve">Korinek and Stiglitz (2021)</w:t>
        </w:r>
      </w:hyperlink>
      <w:bookmarkEnd w:id="250"/>
      <w:r>
        <w:t xml:space="preserve"> warn that developing countries may be left behind in the AI revolution; FLOP exporting offers a route in. The concept relates to </w:t>
      </w:r>
      <w:bookmarkStart w:id="270" w:name="Hausmann2007txt"/>
      <w:hyperlink w:anchor="Hausmann2007" w:history="1">
        <w:r>
          <w:rPr>
            <w:color w:val="1F3864"/>
            <w:u w:val="single"/>
          </w:rPr>
          <w:t xml:space="preserve">Hausmann et al. (2007)</w:t>
        </w:r>
      </w:hyperlink>
      <w:bookmarkEnd w:id="270"/>
      <w:r>
        <w:t xml:space="preserve"> on export composition and growth, and to </w:t>
      </w:r>
      <w:bookmarkStart w:id="264" w:name="Limao2001txt"/>
      <w:hyperlink w:anchor="Limao2001" w:history="1">
        <w:r>
          <w:rPr>
            <w:color w:val="1F3864"/>
            <w:u w:val="single"/>
          </w:rPr>
          <w:t xml:space="preserve">Limão and Venables (2001)</w:t>
        </w:r>
      </w:hyperlink>
      <w:bookmarkEnd w:id="264"/>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6" w:name="Blinder2006txt"/>
      <w:hyperlink w:anchor="Blinder2006" w:history="1">
        <w:r>
          <w:rPr>
            <w:color w:val="1F3864"/>
            <w:u w:val="single"/>
          </w:rPr>
          <w:t xml:space="preserve">Blinder 2006</w:t>
        </w:r>
      </w:hyperlink>
      <w:bookmarkEnd w:id="206"/>
      <w:r>
        <w:t xml:space="preserve">). FLOP exporting differs from traditional IT services offshoring in factor intensity. It is capital- and energy-intensive rather than labor-intensive, so likely exporters are energy-rich countries rather than labor-abundant ones. The structural difference is that GPUs, the main traded input, are priced globally. Cross-country cost variation therefore comes primarily from electricity and facility costs, which together account for only a small share of unit cost. Comparative advantage in compute is consequently narrower and more fragile than in services offshoring, where labor-cost differences are larger.</w:t>
      </w:r>
    </w:p>
    <w:p>
      <w:pPr>
        <w:spacing w:before="0" w:after="160" w:line="360" w:lineRule="auto"/>
        <w:ind w:firstLine="0"/>
        <w:jc w:val="both"/>
      </w:pPr>
      <w:r>
        <w:t xml:space="preserve">Several studies examine where firms should build data centers.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65" w:name="Liu2023txt"/>
      <w:hyperlink w:anchor="Liu2023" w:history="1">
        <w:r>
          <w:rPr>
            <w:color w:val="1F3864"/>
            <w:u w:val="single"/>
          </w:rPr>
          <w:t xml:space="preserve">Liu et al. (2023)</w:t>
        </w:r>
      </w:hyperlink>
      <w:bookmarkEnd w:id="265"/>
      <w:r>
        <w:t xml:space="preserve"> study data center placement under renewable energy constraints. In international trade theory, </w:t>
      </w:r>
      <w:bookmarkStart w:id="271" w:name="Brainard1997txt"/>
      <w:hyperlink w:anchor="Brainard1997" w:history="1">
        <w:r>
          <w:rPr>
            <w:color w:val="1F3864"/>
            <w:u w:val="single"/>
          </w:rPr>
          <w:t xml:space="preserve">Brainard (1997)</w:t>
        </w:r>
      </w:hyperlink>
      <w:bookmarkEnd w:id="271"/>
      <w:r>
        <w:t xml:space="preserve"> formalizes the proximity-concentration trade-off between serving a market locally and concentrating production abroad. </w:t>
      </w:r>
      <w:bookmarkStart w:id="251" w:name="HMY2004txt"/>
      <w:hyperlink w:anchor="HMY2004" w:history="1">
        <w:r>
          <w:rPr>
            <w:color w:val="1F3864"/>
            <w:u w:val="single"/>
          </w:rPr>
          <w:t xml:space="preserve">Helpman et al. (2004)</w:t>
        </w:r>
      </w:hyperlink>
      <w:bookmarkEnd w:id="251"/>
      <w:r>
        <w:t xml:space="preserve"> extend this to heterogeneous firms choosing between exporting and FDI.</w:t>
      </w:r>
    </w:p>
    <w:p>
      <w:pPr>
        <w:spacing w:before="0" w:after="160" w:line="360" w:lineRule="auto"/>
        <w:ind w:firstLine="0"/>
        <w:jc w:val="both"/>
      </w:pPr>
      <w:r>
        <w:t xml:space="preserve">On governance, </w:t>
      </w:r>
      <w:bookmarkStart w:id="252" w:name="Sastry2024txt"/>
      <w:hyperlink w:anchor="Sastry2024" w:history="1">
        <w:r>
          <w:rPr>
            <w:color w:val="1F3864"/>
            <w:u w:val="single"/>
          </w:rPr>
          <w:t xml:space="preserve">Sastry et al. (2024)</w:t>
        </w:r>
      </w:hyperlink>
      <w:bookmarkEnd w:id="252"/>
      <w:r>
        <w:t xml:space="preserve"> argue that compute is well-suited for regulation. </w:t>
      </w:r>
      <w:bookmarkStart w:id="208" w:name="Lehdonvirta2024txt"/>
      <w:hyperlink w:anchor="Lehdonvirta2024" w:history="1">
        <w:r>
          <w:rPr>
            <w:color w:val="1F3864"/>
            <w:u w:val="single"/>
          </w:rPr>
          <w:t xml:space="preserve">Lehdonvirta et al. (2024)</w:t>
        </w:r>
      </w:hyperlink>
      <w:bookmarkEnd w:id="208"/>
      <w:r>
        <w:t xml:space="preserve"> map a “Compute North” with training-capable hardware versus a “Compute South” limited to inference chips. </w:t>
      </w:r>
      <w:bookmarkStart w:id="266" w:name="Pilz2025txt"/>
      <w:hyperlink w:anchor="Pilz2025" w:history="1">
        <w:r>
          <w:rPr>
            <w:color w:val="1F3864"/>
            <w:u w:val="single"/>
          </w:rPr>
          <w:t xml:space="preserve">Pilz et al. (2025)</w:t>
        </w:r>
      </w:hyperlink>
      <w:bookmarkEnd w:id="266"/>
      <w:r>
        <w:t xml:space="preserve"> project that data center power demand could reach 327 GW by 2030. The </w:t>
      </w:r>
      <w:bookmarkStart w:id="272" w:name="WorldBank2025txt"/>
      <w:hyperlink w:anchor="WorldBank2025" w:history="1">
        <w:r>
          <w:rPr>
            <w:color w:val="1F3864"/>
            <w:u w:val="single"/>
          </w:rPr>
          <w:t xml:space="preserve">World Bank (2025)</w:t>
        </w:r>
      </w:hyperlink>
      <w:bookmarkEnd w:id="272"/>
      <w:r>
        <w:t xml:space="preserve"> documents the resulting divide (high-income countries hold 77 percent of colocation capacity), but does not offer a formal framework linking costs to trade patterns. </w:t>
      </w:r>
      <w:bookmarkStart w:id="253" w:name="Biglaiser2024txt"/>
      <w:hyperlink w:anchor="Biglaiser2024" w:history="1">
        <w:r>
          <w:rPr>
            <w:color w:val="1F3864"/>
            <w:u w:val="single"/>
          </w:rPr>
          <w:t xml:space="preserve">Biglaiser et al. (2024)</w:t>
        </w:r>
      </w:hyperlink>
      <w:bookmarkEnd w:id="253"/>
      <w:r>
        <w:t xml:space="preserve"> survey the cloud market in IO, and </w:t>
      </w:r>
      <w:bookmarkStart w:id="267" w:name="Stojkoski2024txt"/>
      <w:hyperlink w:anchor="Stojkoski2024" w:history="1">
        <w:r>
          <w:rPr>
            <w:color w:val="1F3864"/>
            <w:u w:val="single"/>
          </w:rPr>
          <w:t xml:space="preserve">Stojkoski et al. (2024)</w:t>
        </w:r>
      </w:hyperlink>
      <w:bookmarkEnd w:id="267"/>
      <w:r>
        <w:t xml:space="preserve"> estimate cloud export geography but treat services as homogeneous. Our model adds supply-side cost structure and a training–inference distinction.</w:t>
      </w:r>
    </w:p>
    <w:p>
      <w:pPr>
        <w:pStyle w:val="Heading1"/>
      </w:pPr>
      <w:r>
        <w:rPr>
          <w:rFonts w:ascii="Times New Roman" w:hAnsi="Times New Roman"/>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construction-cost estimates are described in Appendix E.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 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The cost structure is Ricardian: countries differ in production costs because they differ in technology and input prices. The intuition for resource-rich comparative advantage, however, is closer to Heckscher–Ohlin with countries exporting goods intensive in their abundant factors (</w:t>
      </w:r>
      <w:bookmarkStart w:id="209" w:name="Heckscher1919txt"/>
      <w:hyperlink w:anchor="Heckscher1919" w:history="1">
        <w:r>
          <w:rPr>
            <w:color w:val="1F3864"/>
            <w:u w:val="single"/>
          </w:rPr>
          <w:t xml:space="preserve">Heckscher 1919</w:t>
        </w:r>
      </w:hyperlink>
      <w:bookmarkEnd w:id="209"/>
      <w:r>
        <w:t xml:space="preserve">, </w:t>
      </w:r>
      <w:bookmarkStart w:id="254" w:name="Ohlin1933txt"/>
      <w:hyperlink w:anchor="Ohlin1933" w:history="1">
        <w:r>
          <w:rPr>
            <w:color w:val="1F3864"/>
            <w:u w:val="single"/>
          </w:rPr>
          <w:t xml:space="preserve">Ohlin 1933</w:t>
        </w:r>
      </w:hyperlink>
      <w:bookmarkEnd w:id="254"/>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the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 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r>
                <m:rPr>
                  <m:sty m:val="p"/>
                </m:rPr>
                <w:rPr>
                  <w:rFonts w:ascii="Cambria Math" w:hAnsi="Cambria Math"/>
                </w:rPr>
                <m:t xml:space="preserve">∞ if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otherwise}.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1" w:name="AndersonVanWincoop2003txt"/>
      <w:hyperlink w:anchor="AndersonVanWincoop2003" w:history="1">
        <w:r>
          <w:rPr>
            <w:color w:val="1F3864"/>
            <w:u w:val="single"/>
          </w:rPr>
          <w:t xml:space="preserve">Anderson and van Wincoop 2003</w:t>
        </w:r>
      </w:hyperlink>
      <w:bookmarkEnd w:id="211"/>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two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and </m:t>
        </m:r>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2" w:name="BenzJaax2020txt"/>
      <w:hyperlink w:anchor="BenzJaax2020" w:history="1">
        <w:r>
          <w:rPr>
            <w:color w:val="1F3864"/>
            <w:u w:val="single"/>
          </w:rPr>
          <w:t xml:space="preserve">Benz and Jaax (2020)</w:t>
        </w:r>
      </w:hyperlink>
      <w:bookmarkEnd w:id="212"/>
      <w:r>
        <w:t xml:space="preserve">.</w:t>
      </w:r>
    </w:p>
    <w:p>
      <w:pPr>
        <w:spacing w:before="0" w:after="80" w:line="360" w:lineRule="auto"/>
        <w:ind w:firstLine="0"/>
        <w:jc w:val="both"/>
      </w:pPr>
      <w:r>
        <w:t xml:space="preserve">The wedge dependence on bilateral institutional alignment follows from the incomplete-contracts theory (</w:t>
      </w:r>
      <w:bookmarkStart w:id="213" w:name="AndersonMarcouiller2002txt"/>
      <w:hyperlink w:anchor="AndersonMarcouiller2002" w:history="1">
        <w:r>
          <w:rPr>
            <w:color w:val="1F3864"/>
            <w:u w:val="single"/>
          </w:rPr>
          <w:t xml:space="preserve">Anderson and Marcouiller 2002</w:t>
        </w:r>
      </w:hyperlink>
      <w:bookmarkEnd w:id="213"/>
      <w:r>
        <w:t xml:space="preserve">, </w:t>
      </w:r>
      <w:bookmarkStart w:id="255" w:name="Antras2003txt"/>
      <w:hyperlink w:anchor="Antras2003" w:history="1">
        <w:r>
          <w:rPr>
            <w:color w:val="1F3864"/>
            <w:u w:val="single"/>
          </w:rPr>
          <w:t xml:space="preserve">Antràs 2003</w:t>
        </w:r>
      </w:hyperlink>
      <w:bookmarkEnd w:id="255"/>
      <w:r>
        <w:t xml:space="preserve">). Compute trade is contract-intensive. A buyer sends sensitive data to a remote seller and depends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 </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We treat governance quality, grid reliability, and similar institutional risks as demand-side frictions. They enter through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That activity is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Whether these countries attract investment also depends on agglomeration economies, hyperscaler market structure, and network connectivity (</w:t>
      </w:r>
      <w:bookmarkStart w:id="214" w:name="Krugman1991txt"/>
      <w:hyperlink w:anchor="Krugman1991" w:history="1">
        <w:r>
          <w:rPr>
            <w:color w:val="1F3864"/>
            <w:u w:val="single"/>
          </w:rPr>
          <w:t xml:space="preserve">Krugman 1991</w:t>
        </w:r>
      </w:hyperlink>
      <w:bookmarkEnd w:id="214"/>
      <w:r>
        <w:t xml:space="preserve">). In practice, AWS, Azure, and Google Cloud dominate the cloud compute market, and their location choices reflect scale economies and colocation effects that the competitive model does not capture.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in more detail.</w:t>
      </w:r>
    </w:p>
    <w:p>
      <w:pPr>
        <w:pStyle w:val="Heading1"/>
      </w:pPr>
      <w:r>
        <w:rPr>
          <w:rFonts w:ascii="Times New Roman" w:hAnsi="Times New Roman"/>
          <w:color w:val="2F5496"/>
          <w:sz w:val="28"/>
        </w:rPr>
        <w:t>4. Equilibrium Properties</w:t>
      </w:r>
    </w:p>
    <w:p>
      <w:pPr>
        <w:spacing w:before="0" w:after="160" w:line="360" w:lineRule="auto"/>
        <w:ind w:firstLine="0"/>
        <w:jc w:val="both"/>
      </w:pPr>
      <w:r>
        <w:t>This section derives the properties of the capacity-constrained equilibrium introduced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model rules out the remaining four combinations. A training exporter cannot simultaneously produce inference domestically or import inference.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The sovereignty premium that justifies domestic training also justifies domestic inference production, which faces latency degradation when imported. A country that produces training domestically while exporting inference would need both a strong domestic-sovereignty motive and very low costs. The model’s cost ordering rules out that combination.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In the training market, define the Herfindahl–Hirschman Index (HHI) as a measure of market concentration that is equal to the sum of squared market shares: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When low-cost producers reach capacity limits, residual demand shifts to higher-cost suppliers, reducing market concentration.</w:t>
      </w:r>
    </w:p>
    <w:p>
      <w:pPr>
        <w:spacing w:before="0" w:after="160" w:line="360" w:lineRule="auto"/>
        <w:ind w:firstLine="0"/>
        <w:jc w:val="both"/>
      </w:pPr>
      <w:r>
        <w:rPr>
          <w:b/>
          <w:i/>
        </w:rPr>
        <w:t xml:space="preserve">Proposition 3 (Sovereignty Switching Threshold). </w:t>
      </w:r>
      <w:r>
        <w:t xml:space="preserve">A country produces AI training domestically only when the sovereignty premium is large enough to offset the higher domestic cost.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Training exporters therefore also export inference to nearby demand centers, provided that latency remains below the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5" w:name="Eurostat2025txt"/>
      <w:hyperlink w:anchor="Eurostat2025" w:history="1">
        <w:r>
          <w:rPr>
            <w:color w:val="1F3864"/>
            <w:u w:val="single"/>
          </w:rPr>
          <w:t xml:space="preserve">Eurostat 2025</w:t>
        </w:r>
      </w:hyperlink>
      <w:bookmarkEnd w:id="215"/>
      <w:r>
        <w:t xml:space="preserve">). For non-European countries, prices are sourced from national regulatory tariff sheets and secondary sources. These include the U.S. Energy Information Administration (</w:t>
      </w:r>
      <w:bookmarkStart w:id="256" w:name="EIA2025txt"/>
      <w:hyperlink w:anchor="EIA2025" w:history="1">
        <w:r>
          <w:rPr>
            <w:color w:val="1F3864"/>
            <w:u w:val="single"/>
          </w:rPr>
          <w:t xml:space="preserve">EIA 2025</w:t>
        </w:r>
      </w:hyperlink>
      <w:bookmarkEnd w:id="256"/>
      <w:r>
        <w:t xml:space="preserve">) for the United States, KEPCO for South Korea,</w:t>
      </w:r>
      <w:r>
        <w:rPr>
          <w:rStyle w:val="FootnoteReference"/>
        </w:rPr>
        <w:footnoteReference w:id="24"/>
      </w:r>
      <w:r>
        <w:t xml:space="preserve"> national utility tariffs for Central Asian countries, and </w:t>
      </w:r>
      <w:bookmarkStart w:id="216" w:name="GlobalPetrolPrices2025txt"/>
      <w:hyperlink w:anchor="GlobalPetrolPrices2025" w:history="1">
        <w:r>
          <w:rPr>
            <w:color w:val="1F3864"/>
            <w:u w:val="single"/>
          </w:rPr>
          <w:t xml:space="preserve">GlobalPetrolPrices (2025)</w:t>
        </w:r>
      </w:hyperlink>
      <w:bookmarkEnd w:id="216"/>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7" w:name="Hersbach2020txt"/>
      <w:hyperlink w:anchor="Hersbach2020" w:history="1">
        <w:r>
          <w:rPr>
            <w:color w:val="1F3864"/>
            <w:u w:val="single"/>
          </w:rPr>
          <w:t xml:space="preserve">Hersbach et al. 2020</w:t>
        </w:r>
      </w:hyperlink>
      <w:bookmarkEnd w:id="217"/>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8" w:name="TurnerTownsend2025txt"/>
      <w:hyperlink w:anchor="TurnerTownsend2025" w:history="1">
        <w:r>
          <w:rPr>
            <w:color w:val="1F3864"/>
            <w:u w:val="single"/>
          </w:rPr>
          <w:t xml:space="preserve">Turner &amp; Townsend 2025</w:t>
        </w:r>
      </w:hyperlink>
      <w:bookmarkEnd w:id="218"/>
      <w:r>
        <w:t xml:space="preserve">), for 37 countries. For the remaining countries, costs are predicted (Appendix E). Since construction is only 3–6 percent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9" w:name="WonderNetwork2024txt"/>
      <w:hyperlink w:anchor="WonderNetwork2024" w:history="1">
        <w:r>
          <w:rPr>
            <w:color w:val="1F3864"/>
            <w:u w:val="single"/>
          </w:rPr>
          <w:t xml:space="preserve">WonderNetwork 2024</w:t>
        </w:r>
      </w:hyperlink>
      <w:bookmarkEnd w:id="219"/>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20" w:name="Cloudscene2025txt"/>
      <w:hyperlink w:anchor="Cloudscene2025" w:history="1">
        <w:r>
          <w:rPr>
            <w:color w:val="1F3864"/>
            <w:u w:val="single"/>
          </w:rPr>
          <w:t xml:space="preserve">Cloudscene 2025</w:t>
        </w:r>
      </w:hyperlink>
      <w:bookmarkEnd w:id="220"/>
      <w:r>
        <w:t xml:space="preserve">) and regional averages.</w:t>
      </w:r>
    </w:p>
    <w:p>
      <w:pPr>
        <w:spacing w:before="0" w:after="160" w:line="360" w:lineRule="auto"/>
        <w:ind w:firstLine="0"/>
        <w:jc w:val="both"/>
      </w:pPr>
      <w:r>
        <w:t>Bilateral compute-trade data are not yet available, so we calibrate the model from hardware prices, electricity tariffs, and facility-cost coefficients rather than estimating it from observed trade flows. The calibration identifies the conditions under which FLOP exporting becomes viable. It also provides a framework that can be taken to gravity-style estimation as transaction-level data emerge.</w:t>
      </w:r>
    </w:p>
    <w:p>
      <w:pPr>
        <w:pStyle w:val="Heading1"/>
      </w:pPr>
      <w:r>
        <w:rPr>
          <w:rFonts w:ascii="Times New Roman" w:hAnsi="Times New Roman"/>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1" w:name="Google2024txt"/>
      <w:hyperlink w:anchor="Google2024" w:history="1">
        <w:r>
          <w:rPr>
            <w:color w:val="1F3864"/>
            <w:u w:val="single"/>
          </w:rPr>
          <w:t xml:space="preserve">Google 2024</w:t>
        </w:r>
      </w:hyperlink>
      <w:bookmarkEnd w:id="221"/>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2" w:name="Liu2023txt"/>
      <w:hyperlink w:anchor="Liu2023" w:history="1">
        <w:r>
          <w:rPr>
            <w:color w:val="1F3864"/>
            <w:u w:val="single"/>
          </w:rPr>
          <w:t xml:space="preserve">Liu et al. 2023</w:t>
        </w:r>
      </w:hyperlink>
      <w:bookmarkEnd w:id="222"/>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outdoor temperature above which mechanical cooling is needed, below which free-air cooling suffices. These assumptions yield PUE values from 1.08 (Iceland, Scandinavia) to 1.41 (UAE), consistent with the industry average of 1.56 (</w:t>
      </w:r>
      <w:bookmarkStart w:id="223" w:name="UptimeInstitute2024txt"/>
      <w:hyperlink w:anchor="UptimeInstitute2024" w:history="1">
        <w:r>
          <w:rPr>
            <w:color w:val="1F3864"/>
            <w:u w:val="single"/>
          </w:rPr>
          <w:t xml:space="preserve">Uptime Institute 2024</w:t>
        </w:r>
      </w:hyperlink>
      <w:bookmarkEnd w:id="223"/>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of 70 percent (</w:t>
      </w:r>
      <w:bookmarkStart w:id="224" w:name="Barroso2018txt"/>
      <w:hyperlink w:anchor="Barroso2018" w:history="1">
        <w:r>
          <w:rPr>
            <w:color w:val="1F3864"/>
            <w:u w:val="single"/>
          </w:rPr>
          <w:t xml:space="preserve">Barroso et al. 2018</w:t>
        </w:r>
      </w:hyperlink>
      <w:bookmarkEnd w:id="224"/>
      <w:r>
        <w:t xml:space="preserve">). The calibration implies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This amortization is straight-line and includes no cost of capital. Columns (1)–(3) of Table 3 therefore hold financing costs at zero, so the cross-country spread reflects only electricity, climate, and construction; column (4) adds country-specific financing through the WACC adjustment of Section 7.2.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5" w:name="Barroso2018txt"/>
      <w:hyperlink w:anchor="Barroso2018" w:history="1">
        <w:r>
          <w:rPr>
            <w:color w:val="1F3864"/>
            <w:u w:val="single"/>
          </w:rPr>
          <w:t xml:space="preserve">Barroso et al. 2018</w:t>
        </w:r>
      </w:hyperlink>
      <w:bookmarkEnd w:id="225"/>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percent, consistent with the finding in </w:t>
      </w:r>
      <w:bookmarkStart w:id="226" w:name="Deloitte2020txt"/>
      <w:hyperlink w:anchor="Deloitte2020" w:history="1">
        <w:r>
          <w:rPr>
            <w:color w:val="1F3864"/>
            <w:u w:val="single"/>
          </w:rPr>
          <w:t xml:space="preserve">Deloitte and Google (2020)</w:t>
        </w:r>
      </w:hyperlink>
      <w:bookmarkEnd w:id="226"/>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 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for non-adversarial services trade remains below </w:t>
      </w:r>
      <w:bookmarkStart w:id="227" w:name="BenzJaax2020txt"/>
      <w:hyperlink w:anchor="BenzJaax2020" w:history="1">
        <w:r>
          <w:rPr>
            <w:color w:val="1F3864"/>
            <w:u w:val="single"/>
          </w:rPr>
          <w:t xml:space="preserve">Benz and Jaax (2020)</w:t>
        </w:r>
      </w:hyperlink>
      <w:bookmarkEnd w:id="227"/>
      <w:r>
        <w:t xml:space="preserve"> 16 percent upper bound for regulatory barriers in communication services.</w:t>
      </w:r>
      <w:r>
        <w:rPr>
          <w:rStyle w:val="FootnoteReference"/>
        </w:rPr>
        <w:footnoteReference w:id="15"/>
      </w:r>
      <w:r>
        <w:t xml:space="preserve"> Table 3 also reports results under a uniform premium </w:t>
      </w:r>
      <m:oMath>
        <m:r>
          <m:rPr>
            <m:sty m:val="i"/>
          </m:rPr>
          <w:rPr>
            <w:rFonts w:ascii="Cambria Math" w:hAnsi="Cambria Math"/>
          </w:rPr>
          <m:t xml:space="preserve">λ</m:t>
        </m:r>
        <m:r>
          <m:rPr>
            <m:sty m:val="p"/>
          </m:rPr>
          <w:rPr>
            <w:rFonts w:ascii="Cambria Math" w:hAnsi="Cambria Math"/>
          </w:rPr>
          <m:t xml:space="preserve"> = 10 percent</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8" w:name="Deloitte2025txt"/>
      <w:hyperlink w:anchor="Deloitte2025" w:history="1">
        <w:r>
          <w:rPr>
            <w:color w:val="1F3864"/>
            <w:u w:val="single"/>
          </w:rPr>
          <w:t xml:space="preserve">Deloitte 2025</w:t>
        </w:r>
      </w:hyperlink>
      <w:bookmarkEnd w:id="228"/>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 xml:space="preserve"> (Appendix A).</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We first correct electricity prices for subsidies, then add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This ranking, however, overstates the role of production-cost advantage.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57" w:name="IMF2025txt"/>
      <w:hyperlink w:anchor="IMF2025" w:history="1">
        <w:r>
          <w:rPr>
            <w:color w:val="1F3864"/>
            <w:u w:val="single"/>
          </w:rPr>
          <w:t xml:space="preserve">IMF 2025</w:t>
        </w:r>
      </w:hyperlink>
      <w:bookmarkEnd w:id="257"/>
      <w:r>
        <w:t xml:space="preserve">, </w:t>
      </w:r>
      <w:bookmarkStart w:id="229" w:name="Lazard2025txt"/>
      <w:hyperlink w:anchor="Lazard2025" w:history="1">
        <w:r>
          <w:rPr>
            <w:color w:val="1F3864"/>
            <w:u w:val="single"/>
          </w:rPr>
          <w:t xml:space="preserve">Lazard 2025</w:t>
        </w:r>
      </w:hyperlink>
      <w:bookmarkEnd w:id="229"/>
      <w:r>
        <w:t xml:space="preserve">). We apply this adjustment to 13 countries whose retail electricity prices fall below the estimated LRMC.</w:t>
      </w:r>
      <w:r>
        <w:rPr>
          <w:rStyle w:val="FootnoteReference"/>
        </w:rPr>
        <w:footnoteReference w:id="16"/>
      </w:r>
      <w:r>
        <w:t xml:space="preserve"> Appendix G develops a symmetric specification that additionally corrects OECD and high-income tariff distortions—carbon externalities and industrial cross-subsidies—and confirms that the qualitative ranking is reinforced rather than overturned.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cost ranking diverges sharply from observed investment patterns. Eight of the twenty cheapest producers have under 100 MW of installed capacity (e.g., Kyrgyzstan: rank 1, 5 MW), while countries outside the top twenty host large clusters (Netherlands: rank 67, 1,800 MW; Ireland: rank 83, 1,260 MW). Thus, the cost ranking should be interpreted as the set of feasible exporters, not as a prediction of realized investment.</w:t>
      </w:r>
    </w:p>
    <w:p>
      <w:pPr>
        <w:spacing w:before="0" w:after="160" w:line="360" w:lineRule="auto"/>
        <w:ind w:firstLine="0"/>
        <w:jc w:val="both"/>
      </w:pPr>
      <w:r>
        <w:t xml:space="preserve">Data-center FDI patterns support this interpretation.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68" w:name="AykutEtAl2026txt"/>
      <w:hyperlink w:anchor="AykutEtAl2026" w:history="1">
        <w:r>
          <w:rPr>
            <w:color w:val="1F3864"/>
            <w:u w:val="single"/>
          </w:rPr>
          <w:t xml:space="preserve">Aykut et al. 2026</w:t>
        </w:r>
      </w:hyperlink>
      <w:bookmarkEnd w:id="268"/>
      <w:r>
        <w:t xml:space="preserve">). Most investment flows occur between geopolitical allies. This pattern is consistent with the bilateral sovereignty premium and suggests that cost alone does not determine where capacity is built (</w:t>
      </w:r>
      <w:bookmarkStart w:id="258" w:name="StraubEtAl2026txt"/>
      <w:hyperlink w:anchor="StraubEtAl2026" w:history="1">
        <w:r>
          <w:rPr>
            <w:color w:val="1F3864"/>
            <w:u w:val="single"/>
          </w:rPr>
          <w:t xml:space="preserve">Straub et al. 2026</w:t>
        </w:r>
      </w:hyperlink>
      <w:bookmarkEnd w:id="258"/>
      <w:r>
        <w:t xml:space="preserve">). Econometric evidence shows that electricity costs do not predict data-center location once market size and the regulatory environment are controlled for (</w:t>
      </w:r>
      <w:bookmarkStart w:id="230" w:name="CaouiSteck2025txt"/>
      <w:hyperlink w:anchor="CaouiSteck2025" w:history="1">
        <w:r>
          <w:rPr>
            <w:color w:val="1F3864"/>
            <w:u w:val="single"/>
          </w:rPr>
          <w:t xml:space="preserve">Caoui and Steck 2025</w:t>
        </w:r>
      </w:hyperlink>
      <w:bookmarkEnd w:id="230"/>
      <w:r>
        <w:t xml:space="preserve">).</w:t>
      </w:r>
    </w:p>
    <w:p>
      <w:pPr>
        <w:spacing w:before="0" w:after="160" w:line="360" w:lineRule="auto"/>
        <w:ind w:firstLine="0"/>
        <w:jc w:val="both"/>
      </w:pPr>
      <w:r>
        <w:t xml:space="preserve">Policy-readiness indicators reinforce this interpretation. Economies with advanced AI and cloud strategies—such as Singapore, Australia, Japan, and South Korea—record estimated economic impacts from AI and cloud investment of 3–4 percent of GDP, compared with less than 1 percent in Indonesia and Viet Nam (</w:t>
      </w:r>
      <w:bookmarkStart w:id="259" w:name="KatzEtAl2025txt"/>
      <w:hyperlink w:anchor="KatzEtAl2025" w:history="1">
        <w:r>
          <w:rPr>
            <w:color w:val="1F3864"/>
            <w:u w:val="single"/>
          </w:rPr>
          <w:t xml:space="preserve">Katz et al. 2025</w:t>
        </w:r>
      </w:hyperlink>
      <w:bookmarkEnd w:id="259"/>
      <w:r>
        <w:t xml:space="preserve">). In the model, institutional quality stands in for the complementary investments that separate these groups: digital skills, regulatory predictability, and grid modernization. Countries that align digital strategies with energy-sector planning are becoming preferred destinations for hyperscalers. Examples include Malaysia’s National Energy Transition Roadmap, Brazil’s electricity mix of more than 80 percent renewables, and the UAE’s nuclear- and solar-powered AI hubs. These cases are consistent with the model’s prediction that moderate costs can attract investment when paired with credible institutions (</w:t>
      </w:r>
      <w:bookmarkStart w:id="231" w:name="AykutEtAl2026txt"/>
      <w:hyperlink w:anchor="AykutEtAl2026" w:history="1">
        <w:r>
          <w:rPr>
            <w:color w:val="1F3864"/>
            <w:u w:val="single"/>
          </w:rPr>
          <w:t xml:space="preserve">Aykut et al. 2026</w:t>
        </w:r>
      </w:hyperlink>
      <w:bookmarkEnd w:id="231"/>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has the strongest effect on inference. Within Europe, latency raises costs by 1–3 percent, so a small sovereignty premium can shift sourcing from foreign suppliers to domestic production.</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When bilateral sovereignty premia are added, most countries switch to domestic training. The remaining export market is served by a single exporter at $1.58 per GPU-hour.</w:t>
      </w:r>
    </w:p>
    <w:p>
      <w:pPr>
        <w:spacing w:before="0" w:after="160" w:line="360" w:lineRule="auto"/>
        <w:ind w:firstLine="0"/>
        <w:jc w:val="both"/>
      </w:pPr>
      <w:r>
        <w:t xml:space="preserve">Inference exports are more dispersed, with the top five exporters being Canada (43 percent), Kyrgyzstan (26 percent), Kosovo (10 percent), Indonesia (0.9 percent), and Ukraine (0.5 percent), collectively accounting for 80 percent of cross-border inference demand (HHI = 0.265). </w:t>
      </w:r>
    </w:p>
    <w:p>
      <w:pPr>
        <w:spacing w:before="0" w:after="160" w:line="360" w:lineRule="auto"/>
        <w:ind w:firstLine="0"/>
        <w:jc w:val="both"/>
      </w:pPr>
      <w:r>
        <w:t xml:space="preserve">Among developing countries, Kyrgyzstan captures 26 percent of global inference demand by serving China, Kazakhstan, and Uzbekistan, a large share for a country with a GDP of under $15 billion. </w:t>
      </w:r>
      <w:r>
        <w:t xml:space="preserve">Kosovo serves as an inference hub for 21 countries, accounting for 10 percent of global inference demand. </w:t>
      </w:r>
    </w:p>
    <w:p>
      <w:pPr>
        <w:spacing w:before="0" w:after="160" w:line="360" w:lineRule="auto"/>
        <w:ind w:firstLine="0"/>
        <w:jc w:val="both"/>
      </w:pPr>
      <w:r>
        <w:rPr>
          <w:rFonts w:ascii="Times New Roman" w:hAnsi="Times New Roman"/>
          <w:b w:val="0"/>
          <w:i/>
          <w:sz w:val="24"/>
        </w:rPr>
        <w:t xml:space="preserve">Major demand centers. </w:t>
      </w:r>
      <w:r>
        <w:t xml:space="preserve">The model’s predictions differ across major AI demand centers because each faces a distinct latency geography. For the United States, the cost-recovery equilibrium sources training from the lowest-cost available producer and inference from Canada. </w:t>
      </w:r>
      <w:r>
        <w:t xml:space="preserve">For Germany, France, and the United Kingdom, inference is sourced from Kosovo. </w:t>
      </w:r>
      <w:r>
        <w:t>For China, the lowest-cost foreign inference supplier is Kyrgyzstan. Inference supply therefore clusters around latency-constrained regional hubs, with each major market served by a nearby low-cost producer.</w:t>
      </w:r>
    </w:p>
    <w:p>
      <w:pPr>
        <w:spacing w:before="0" w:after="160" w:line="360" w:lineRule="auto"/>
        <w:ind w:firstLine="0"/>
        <w:jc w:val="both"/>
      </w:pPr>
      <w:r>
        <w:t xml:space="preserve">Among these demand centers, China illustrates the DD regime. China hosts one of the world’s largest data-center markets. Yet almost all capacity is built and financed by domestic technology firms and state-owned operators, including Alibaba Cloud, Tencent, Baidu, and China Telecom (</w:t>
      </w:r>
      <w:bookmarkStart w:id="232" w:name="AykutEtAl2026txt"/>
      <w:hyperlink w:anchor="AykutEtAl2026" w:history="1">
        <w:r>
          <w:rPr>
            <w:color w:val="1F3864"/>
            <w:u w:val="single"/>
          </w:rPr>
          <w:t xml:space="preserve">Aykut et al. 2026</w:t>
        </w:r>
      </w:hyperlink>
      <w:bookmarkEnd w:id="232"/>
      <w:r>
        <w:t xml:space="preserve">). This outcome fits the mechanism above: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support domestic sourcing by shifting energy-intensive computing to western provinces with cheaper power.</w:t>
      </w:r>
    </w:p>
    <w:p>
      <w:pPr>
        <w:spacing w:before="0" w:after="160" w:line="360" w:lineRule="auto"/>
        <w:ind w:firstLine="0"/>
        <w:jc w:val="both"/>
      </w:pPr>
      <w:r>
        <w:t>Raising the uniform premium to 20 percent shifts five additional countries (including Croatia, Cyprus, and Germany) to domestic training, reducing the share of global training demand available to foreign producers from 3 percent to 0 percent. Inference exports respond less to sovereignty premia because nearby suppliers retain a latency advantage.</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percent of total compute spending, in the range of the welfare gains from trade in goods estimated in the quantitative trade literature, which range from roughly 0.2 percent to 10 percent depending on country size and specification (</w:t>
      </w:r>
      <w:bookmarkStart w:id="233" w:name="EatonKortum2002txt"/>
      <w:hyperlink w:anchor="EatonKortum2002" w:history="1">
        <w:r>
          <w:rPr>
            <w:color w:val="1F3864"/>
            <w:u w:val="single"/>
          </w:rPr>
          <w:t xml:space="preserve">Eaton and Kortum 2002</w:t>
        </w:r>
      </w:hyperlink>
      <w:bookmarkEnd w:id="233"/>
      <w:r>
        <w:t xml:space="preserve">, </w:t>
      </w:r>
      <w:bookmarkStart w:id="260" w:name="ACR2012txt"/>
      <w:hyperlink w:anchor="ACR2012" w:history="1">
        <w:r>
          <w:rPr>
            <w:color w:val="1F3864"/>
            <w:u w:val="single"/>
          </w:rPr>
          <w:t xml:space="preserve">Arkolakis et al. 2012</w:t>
        </w:r>
      </w:hyperlink>
      <w:bookmarkEnd w:id="260"/>
      <w:r>
        <w:t xml:space="preserve">). At current demand levels (approximately 6 × 10¹⁰ GPU-hours at $1.50/hr), this amounts to roughly $1.44 billion per year. At this scale, governments can rationally choose domestic production for sensitive workloads. Examples include military applications, health records, and national statistical systems.</w:t>
      </w:r>
    </w:p>
    <w:p>
      <w:pPr>
        <w:spacing w:before="0" w:after="160" w:line="360" w:lineRule="auto"/>
        <w:ind w:firstLine="0"/>
        <w:jc w:val="both"/>
      </w:pPr>
      <w:r>
        <w:t>The welfare implications depend on whether the sovereignty premium reflects genuine security concerns or overly broad regulation. Domestic processing may be justified for confidential data, but current policy often extends sovereignty logic to routine commercial computation. In the model, the bilateral premium shifts most countries toward domestic production, reducing the gains from specialization. The welfare cost is large in dollar terms but small relative to total compute spending. Because part of the premium reflects weak international data governance, enforceable data-protection agreements, such as those within the EU, reduce it. In their absence, even commercial buyers have reason to choose domestic processing over cheaper foreign supply.</w:t>
      </w:r>
    </w:p>
    <w:p>
      <w:pPr>
        <w:spacing w:before="0" w:after="160" w:line="360" w:lineRule="auto"/>
        <w:ind w:firstLine="0"/>
        <w:jc w:val="both"/>
      </w:pPr>
      <w:r>
        <w:t xml:space="preserve">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4" w:name="WorldBank2025txt"/>
      <w:hyperlink w:anchor="WorldBank2025" w:history="1">
        <w:r>
          <w:rPr>
            <w:color w:val="1F3864"/>
            <w:u w:val="single"/>
          </w:rPr>
          <w:t xml:space="preserve">World Bank (2025)</w:t>
        </w:r>
      </w:hyperlink>
      <w:bookmarkEnd w:id="234"/>
      <w:r>
        <w:t xml:space="preserve"> frames this as a core policy trade-off: building domestic capacity versus securing affordable access to international cloud services.</w:t>
      </w:r>
    </w:p>
    <w:p>
      <w:pPr>
        <w:pStyle w:val="Heading1"/>
      </w:pPr>
      <w:r>
        <w:rPr>
          <w:rFonts w:ascii="Times New Roman" w:hAnsi="Times New Roman"/>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(Appendix C) reports results across three robustness specifications that vary the share of hardware costs. A rise in global hardware costs increases the globally priced cost share, compressing the locally 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This expands trade volumes but reduces exporter rents.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changes the composition of the top fifteen countries, but the qualitative result is stable across all specifications.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that combine cheap energy with adequate governance retain their cost advantage regardless of the chosen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cross-country heterogeneity.</w:t>
      </w:r>
    </w:p>
    <w:p>
      <w:pPr>
        <w:spacing w:before="0" w:after="160" w:line="360" w:lineRule="auto"/>
        <w:ind w:firstLine="0"/>
        <w:jc w:val="both"/>
      </w:pPr>
      <w:r>
        <w:rPr>
          <w:rFonts w:ascii="Times New Roman" w:hAnsi="Times New Roman"/>
          <w:b w:val="0"/>
          <w:i/>
          <w:sz w:val="24"/>
        </w:rPr>
        <w:t xml:space="preserve">Sovereignty tiers. </w:t>
      </w:r>
      <w:r>
        <w:t xml:space="preserve">Each country’s demand is divided into three tiers: sovereign workloads (10 percent, domestic only), regulated workloads (20 percent, higher regulatory compatibility weight), and commercial workloads (70 percent,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Tiering primarily affects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percent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fixed. In small countries with low-cost power, a hyperscale facility can be large relative to the host grid — a 100 MW data center would consume roughly 3 percent of Kyrgyzstan’s 3,800 MW national output. At the multi-facility scale, data centers would compete with residential and industrial electricity demand, making regulatory intervention likely.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Allowing electricity supply curves to slope upward would narrow these apparent advantages. Evidence from the US suggests the AI workloads, combined with broader electrification, could raise wholesale electricity prices by roughly 19 percent between 2025 and 2028 (</w:t>
      </w:r>
      <w:bookmarkStart w:id="235" w:name="Chandramowli2024txt"/>
      <w:hyperlink w:anchor="Chandramowli2024" w:history="1">
        <w:r>
          <w:rPr>
            <w:color w:val="1F3864"/>
            <w:u w:val="single"/>
          </w:rPr>
          <w:t xml:space="preserve">Chandramowli et al. 2024</w:t>
        </w:r>
      </w:hyperlink>
      <w:bookmarkEnd w:id="235"/>
      <w:r>
        <w:t xml:space="preserve">), and AI data-center expansion alone could increase retail prices by 8–9 percent by 2030 (</w:t>
      </w:r>
      <w:bookmarkStart w:id="269" w:name="IMF2025txt"/>
      <w:hyperlink w:anchor="IMF2025" w:history="1">
        <w:r>
          <w:rPr>
            <w:color w:val="1F3864"/>
            <w:u w:val="single"/>
          </w:rPr>
          <w:t xml:space="preserve">IMF 2025</w:t>
        </w:r>
      </w:hyperlink>
      <w:bookmarkEnd w:id="269"/>
      <w:r>
        <w:t xml:space="preserve">). </w:t>
      </w:r>
      <w:bookmarkStart w:id="261" w:name="AlvarezEtAl2026txt"/>
      <w:hyperlink w:anchor="AlvarezEtAl2026" w:history="1">
        <w:r>
          <w:rPr>
            <w:color w:val="1F3864"/>
            <w:u w:val="single"/>
          </w:rPr>
          <w:t xml:space="preserve">Alvarez et al. (2026)</w:t>
        </w:r>
      </w:hyperlink>
      <w:bookmarkEnd w:id="261"/>
      <w:r>
        <w:t xml:space="preserve"> find that in the US, a one-unit increase in log cumulative data-center revenue raises local electricity prices by roughly 0.9 percent. Counties that have ever hosted a data center have retail prices about 3.9 percent higher. For small grids such as Kyrgyzstan’s, the proportional impact would likely be larger, further eroding the cost advantages documented above.</w:t>
      </w:r>
    </w:p>
    <w:p>
      <w:pPr>
        <w:spacing w:before="0" w:after="160" w:line="360" w:lineRule="auto"/>
        <w:ind w:firstLine="0"/>
        <w:jc w:val="both"/>
      </w:pPr>
      <w:r>
        <w:t>Newer GPUs, such as NVIDIA’s B200, increase training throughput substantially but also raise power draw to roughly 1 kW. Higher power draw makes electricity prices more important, which modestly strengthens the advantage of low-cost power producers. Because higher capital costs lead developing economies to refresh GPUs less frequently, they are more likely to operate older, less efficient hardware, raising their cost per effective FLOP and partly offsetting their electricity-cost advantage. The qualitative ranking is not driven by the choice of GPU generation.</w:t>
      </w:r>
    </w:p>
    <w:p>
      <w:pPr>
        <w:spacing w:before="0" w:after="160" w:line="360" w:lineRule="auto"/>
        <w:ind w:firstLine="0"/>
        <w:jc w:val="both"/>
      </w:pPr>
      <w:r>
        <w:rPr>
          <w:rFonts w:ascii="Times New Roman" w:hAnsi="Times New Roman"/>
          <w:b w:val="0"/>
          <w:i/>
          <w:sz w:val="24"/>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This specification is standard in the services trade, but it simplifies how sovereignty frictions operate. Many sovereignty frictions are closer to fixed entry costs than to variable markups. Cloud security certifications, sanctions screening, export control compliance, and bilateral digital services agreements all raise the cost of entering a market.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Both extensions would likely make entry harder for developing-country exporters, so they should strengthen rather than weaken the main result.</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cost stack, financing terms can determine the ranking. At an 8 percent WACC, an OECD hyperscaler pays about $1.58 per GPU-hour in hardware costs. At an 18 percent WACC, a locally financed developing-country operator pays $1.87, a $0.29 gap on hardware alone (</w:t>
      </w:r>
      <w:bookmarkStart w:id="236" w:name="Calcaterra2024txt"/>
      <w:hyperlink w:anchor="Calcaterra2024" w:history="1">
        <w:r>
          <w:rPr>
            <w:color w:val="1F3864"/>
            <w:u w:val="single"/>
          </w:rPr>
          <w:t xml:space="preserve">Calcaterra et al. 2024</w:t>
        </w:r>
      </w:hyperlink>
      <w:bookmarkEnd w:id="236"/>
      <w:r>
        <w:t xml:space="preserve">). Column (4) of </w:t>
      </w:r>
      <w:hyperlink w:anchor="Table3" w:history="1">
        <w:r>
          <w:rPr>
            <w:color w:val="1F3864"/>
            <w:u w:val="single"/>
          </w:rPr>
          <w:t xml:space="preserve">Table 3</w:t>
        </w:r>
      </w:hyperlink>
      <w:r>
        <w:t xml:space="preserve"> reports the cost-recovery ranking with hardware amortized at each country’s income-group WACC, using 8 percent for HICs, 12 percent for UMICs, 15 percent for LMICs, and 18 percent for LICs. Once financing costs enter, cheap electricity explains less of the ranking, and several regime classifications shift.</w:t>
      </w:r>
    </w:p>
    <w:p>
      <w:pPr>
        <w:spacing w:before="0" w:after="160" w:line="360" w:lineRule="auto"/>
        <w:ind w:firstLine="0"/>
        <w:jc w:val="both"/>
      </w:pPr>
      <w:r>
        <w:t xml:space="preserve">Institutional credibility enters the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financial channel. If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fully hyperscaler-financed project is therefore best treated as a limiting case rather than the baseline. For this reason, Column (4) is the more realistic benchmark for assessing whether developing countries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Edge computing could relax one of the model’s central constraints. As more AI demand comes from real-time inference on lightweight models deployed on local devices, the capacity constraint for inference becomes less binding: inference need not be concentrated in large data centers but can be distributed across many small nodes connected via existing mobile networks. If this trend accelerates, inference exports may become less concentrated, and more countries could serve regional demand. For EMDEs with weak grid infrastructure but adequate mobile connectivity, edge computing may offer a leapfrogging path that bypasses the grid bottlenecks central to the model (</w:t>
      </w:r>
      <w:bookmarkStart w:id="237" w:name="AykutEtAl2026txt"/>
      <w:hyperlink w:anchor="AykutEtAl2026" w:history="1">
        <w:r>
          <w:rPr>
            <w:color w:val="1F3864"/>
            <w:u w:val="single"/>
          </w:rPr>
          <w:t xml:space="preserve">Aykut et al. 2026</w:t>
        </w:r>
      </w:hyperlink>
      <w:bookmarkEnd w:id="237"/>
      <w:r>
        <w:t xml:space="preserve">). A fuller trade model could distinguish centralized GPU clusters for training from distributed edge nodes for inference.</w:t>
      </w:r>
    </w:p>
    <w:p>
      <w:pPr>
        <w:pStyle w:val="Heading1"/>
      </w:pPr>
      <w:r>
        <w:rPr>
          <w:rFonts w:ascii="Times New Roman" w:hAnsi="Times New Roman"/>
          <w:color w:val="2F5496"/>
          <w:sz w:val="28"/>
        </w:rPr>
        <w:t>8. Conclusion</w:t>
      </w:r>
    </w:p>
    <w:p>
      <w:pPr>
        <w:spacing w:before="0" w:after="160" w:line="360" w:lineRule="auto"/>
        <w:ind w:firstLine="0"/>
        <w:jc w:val="both"/>
      </w:pPr>
      <w:r>
        <w:t>Energy-rich developing countries can produce compute at low cost, but low cost alone does not make them exporters. Training can be traded globally, inference is constrained by latency, and both are affected by bilateral sovereignty frictions. Because hardware is globally priced, electricity and cooling create only a thin cost advantage, while the institutional frictions facing developing-country suppliers are often wider than that advantage.</w:t>
      </w:r>
    </w:p>
    <w:p>
      <w:pPr>
        <w:spacing w:before="0" w:after="160" w:line="360" w:lineRule="auto"/>
        <w:ind w:firstLine="0"/>
        <w:jc w:val="both"/>
      </w:pPr>
      <w:r>
        <w:t>The 85-country calibration shows that hardware dominance compresses cross-country differences in production costs. Cheap electricity and favorable cooling can make countries cost-competitive quickly, but modest frictions, including a sovereignty premium, weak governance, or a higher cost of capital, can erase that advantage. Compute may therefore be unusually accessible on engineering grounds, yet unusually exposed to policy and financing frictions because the production-cost spread is narrow.</w:t>
      </w:r>
    </w:p>
    <w:p>
      <w:pPr>
        <w:spacing w:before="0" w:after="160" w:line="360" w:lineRule="auto"/>
        <w:ind w:firstLine="0"/>
        <w:jc w:val="both"/>
      </w:pPr>
      <w:r>
        <w:t xml:space="preserve">Under the bilateral sovereignty specification, weak institutional credibility eliminates much of the cost advantage that developing countries hold under pure cost-recovery pricing. The binding constraint is often not the electricity price itself but rather non-sanctioned status, credible long-term power contracts, stable network connectivity, enforceable data governance rules, and a regulatory environment that supports capital-intensive investment. Where those conditions are absent, buyers shift toward domestic production despite higher production costs. The resulting welfare loss is large in dollars but modest relative to total compute spending, at about 1.6 percent, so governments with legitimate data-sovereignty objectives may rationally choose domestic supply. </w:t>
      </w:r>
    </w:p>
    <w:p>
      <w:pPr>
        <w:spacing w:before="0" w:after="160" w:line="360" w:lineRule="auto"/>
        <w:ind w:firstLine="0"/>
        <w:jc w:val="both"/>
      </w:pPr>
      <w:r>
        <w:t>For developing countries pursuing compute exports, the binding policy levers lie mostly outside the electricity tariffs. The first is financing. Because hardware dominates the cost stack, differences in the weighted average cost of capital can exceed the energy-cost advantage by several times. Sovereign guarantees, blended finance, multilateral risk insurance, and hyperscaler co-investment can therefore narrow the competitiveness gap more than any feasible reduction in electricity tariffs. The second lever is regulatory credibility. Data-adequacy status, mutual recognition agreements, and recognized cloud security certifications reduce the trust premium applied by foreign buyers. Broad data-localization mandates raise that premium and can foreclose export opportunities.</w:t>
      </w:r>
    </w:p>
    <w:p>
      <w:pPr>
        <w:spacing w:before="0" w:after="160" w:line="360" w:lineRule="auto"/>
        <w:ind w:firstLine="0"/>
        <w:jc w:val="both"/>
      </w:pPr>
      <w:r>
        <w:t>The final policy question is how much surplus the host country captures. The Kyrgyzstan facility in Appendix D is NPV-positive, but under full foreign-hyperscaler ownership, the host country retains little beyond electricity payments and construction-phase jobs. The domestic share of operating surplus depends on taxation, equity participation, and royalty terms. Cheap energy can make a country cost-competitive, but rent capture depends on financing, governance, and ownership.</w:t>
      </w:r>
    </w:p>
    <w:p>
      <w:pPr>
        <w:spacing w:before="0" w:after="160" w:line="360" w:lineRule="auto"/>
        <w:ind w:firstLine="0"/>
        <w:jc w:val="both"/>
      </w:pPr>
      <w:r>
        <w:t>The policy implications differ for training and inference. Restricting training imports raises costs without improving service quality, because training has no meaningful proximity advantage. Domestic inference production is easier to justify, since low latency can provide a genuine quality-of-service benefit, although that rationale weakens for countries located near low-cost regional hubs.</w:t>
      </w:r>
    </w:p>
    <w:p>
      <w:pPr>
        <w:spacing w:before="0" w:after="160" w:line="360" w:lineRule="auto"/>
        <w:ind w:firstLine="0"/>
        <w:jc w:val="both"/>
      </w:pPr>
      <w:r>
        <w:t>FLOP exporting is best understood as capital-intensive resource processing: imported equipment converts local energy into an exportable digital service with minimal domestic labor input. Unlike extractive commodities, the energy input can be renewable, and demand for compute is growing faster than demand for most physical commodities. Still, the resource-curse literature remains relevant because concentrated compute-export revenues can generate exchange-rate pressure, institutional risks, and exposure to demand cycles. Whether these risks materialize depends on ownership structures, fiscal arrangements, and domestic rent capture. As bilateral compute-trade data become available, this framework can be estimated using gravity-style methods.</w:t>
      </w:r>
    </w:p>
    <w:p>
      <w:pPr>
        <w:pStyle w:val="Heading1"/>
        <w:pageBreakBefore/>
      </w:pPr>
      <w:r>
        <w:rPr>
          <w:rFonts w:ascii="Times New Roman" w:hAnsi="Times New Roman"/>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Marcouiller2002"/>
      <w:hyperlink w:anchor="AndersonMarcouiller2002txt" w:history="1">
        <w:r>
          <w:rPr>
            <w:color w:val="1F3864"/>
            <w:u w:val="single"/>
          </w:rPr>
          <w:t xml:space="preserve">Anderson, J.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Costinot, A.,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Ozyurt, S., Jung, K., and E. Vergara Cobos. (2026). </w:t>
        </w:r>
      </w:hyperlink>
      <w:r>
        <w:t xml:space="preserve">“Data Center and AI Investment in EMDEs: Risks and Opportunities.” </w:t>
      </w:r>
      <w:r>
        <w:rPr>
          <w:i/>
        </w:rPr>
        <w:t>Watch This Space</w:t>
      </w:r>
      <w:r>
        <w:t xml:space="preserve">. Washington, DC: </w:t>
      </w:r>
      <w:bookmarkStart w:id="238" w:name="WorldBank2024txt"/>
      <w:hyperlink w:anchor="WorldBank2024" w:history="1">
        <w:r>
          <w:rPr>
            <w:color w:val="1F3864"/>
            <w:u w:val="single"/>
          </w:rPr>
          <w:t xml:space="preserve">World Bank</w:t>
        </w:r>
      </w:hyperlink>
      <w:bookmarkEnd w:id="238"/>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Strezhnev, A.,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Hölzle, U., and P. Ranganathan. </w:t>
        </w:r>
      </w:hyperlink>
      <w:r>
        <w:t xml:space="preserve">(2018). </w:t>
      </w:r>
      <w:r>
        <w:rPr>
          <w:i/>
        </w:rPr>
        <w:t>The Datacenter as a Computer: Designing Warehouse-Scale Machines</w:t>
      </w:r>
      <w:r>
        <w:t>,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Crémer, J.,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orenstein2012"/>
      <w:hyperlink w:anchor="Borenstein2012txt" w:history="1">
        <w:r>
          <w:rPr>
            <w:color w:val="1F3864"/>
            <w:u w:val="single"/>
          </w:rPr>
          <w:t xml:space="preserve">Borenstein, S. (2012). </w:t>
        </w:r>
      </w:hyperlink>
      <w:r>
        <w:t xml:space="preserve">“The Redistributional Impact of Nonlinear Electricity Pricing.” </w:t>
      </w:r>
      <w:r>
        <w:rPr>
          <w:i/>
        </w:rPr>
        <w:t>American Economic Journal: Economic Policy</w:t>
      </w:r>
      <w:r>
        <w:t>, 4(3): 56–90.</w:t>
      </w:r>
      <w:bookmarkEnd w:id="512"/>
    </w:p>
    <w:p>
      <w:pPr>
        <w:spacing w:before="0" w:after="80" w:line="240" w:lineRule="exact"/>
        <w:ind w:hanging="720" w:left="720"/>
        <w:jc w:val="both"/>
      </w:pPr>
      <w:bookmarkStart w:id="513"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3"/>
    </w:p>
    <w:p>
      <w:pPr>
        <w:spacing w:before="0" w:after="80" w:line="240" w:lineRule="exact"/>
        <w:ind w:hanging="720" w:left="720"/>
        <w:jc w:val="both"/>
      </w:pPr>
      <w:bookmarkStart w:id="514" w:name="Calcaterra2024"/>
      <w:hyperlink w:anchor="Calcaterra2024txt" w:history="1">
        <w:r>
          <w:rPr>
            <w:color w:val="1F3864"/>
            <w:u w:val="single"/>
          </w:rPr>
          <w:t xml:space="preserve">Calcaterra, M., Reis, L., Fragkos, P., Briera, T., Boer, H., Egli, F., et al. (2024). </w:t>
        </w:r>
      </w:hyperlink>
      <w:r>
        <w:t xml:space="preserve">“Reducing the Cost of Capital to Finance the Energy Transition in Developing Countries.” </w:t>
      </w:r>
      <w:r>
        <w:rPr>
          <w:i/>
        </w:rPr>
        <w:t>Nature Energy</w:t>
      </w:r>
      <w:r>
        <w:t>, 9(10): 1241–1251.</w:t>
      </w:r>
      <w:bookmarkEnd w:id="514"/>
    </w:p>
    <w:p>
      <w:pPr>
        <w:spacing w:before="0" w:after="80" w:line="240" w:lineRule="exact"/>
        <w:ind w:hanging="720" w:left="720"/>
        <w:jc w:val="both"/>
      </w:pPr>
      <w:bookmarkStart w:id="515" w:name="CaouiSteck2025"/>
      <w:hyperlink w:anchor="CaouiSteck2025txt" w:history="1">
        <w:r>
          <w:rPr>
            <w:color w:val="1F3864"/>
            <w:u w:val="single"/>
          </w:rPr>
          <w:t xml:space="preserve">Caoui, E., and A. Steck. (2025). </w:t>
        </w:r>
      </w:hyperlink>
      <w:r>
        <w:t xml:space="preserve">“Content Providers and the Deployment of Internet Infrastructure.” </w:t>
      </w:r>
      <w:r>
        <w:rPr>
          <w:i/>
        </w:rPr>
        <w:t>Information Economics and Policy</w:t>
      </w:r>
      <w:r>
        <w:t>. doi:10.1016/j.infoecopol.2025.101134.</w:t>
      </w:r>
      <w:bookmarkEnd w:id="515"/>
    </w:p>
    <w:p>
      <w:pPr>
        <w:spacing w:before="0" w:after="80" w:line="240" w:lineRule="exact"/>
        <w:ind w:hanging="720" w:left="720"/>
        <w:jc w:val="both"/>
      </w:pPr>
      <w:bookmarkStart w:id="516" w:name="Chandramowli2024"/>
      <w:hyperlink w:anchor="Chandramowli2024txt" w:history="1">
        <w:r>
          <w:rPr>
            <w:color w:val="1F3864"/>
            <w:u w:val="single"/>
          </w:rPr>
          <w:t xml:space="preserve">Chandramowli, S., Cook, P., Mackovyak, J., Parmar, H., and M. Scheller. </w:t>
        </w:r>
      </w:hyperlink>
      <w:r>
        <w:t xml:space="preserve">(2024). </w:t>
      </w:r>
      <w:r>
        <w:rPr>
          <w:i/>
        </w:rPr>
        <w:t>Power Surge: Navigating US Electricity Demand Growth</w:t>
      </w:r>
      <w:r>
        <w:t>. ICF.</w:t>
      </w:r>
      <w:bookmarkEnd w:id="516"/>
    </w:p>
    <w:p>
      <w:pPr>
        <w:spacing w:before="0" w:after="80" w:line="240" w:lineRule="exact"/>
        <w:ind w:hanging="720" w:left="720"/>
        <w:jc w:val="both"/>
      </w:pPr>
      <w:bookmarkStart w:id="51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7"/>
    </w:p>
    <w:p>
      <w:pPr>
        <w:spacing w:before="0" w:after="80" w:line="240" w:lineRule="exact"/>
        <w:ind w:hanging="720" w:left="720"/>
        <w:jc w:val="both"/>
      </w:pPr>
      <w:bookmarkStart w:id="518" w:name="DavisHausman2016"/>
      <w:hyperlink w:anchor="DavisHausman2016txt" w:history="1">
        <w:r>
          <w:rPr>
            <w:color w:val="1F3864"/>
            <w:u w:val="single"/>
          </w:rPr>
          <w:t xml:space="preserve">Davis, L., and C. Hausman. (2016). </w:t>
        </w:r>
      </w:hyperlink>
      <w:r>
        <w:t xml:space="preserve">“Market Impacts of a Nuclear Power Plant Closure.” </w:t>
      </w:r>
      <w:r>
        <w:rPr>
          <w:i/>
        </w:rPr>
        <w:t>American Economic Journal: Applied Economics</w:t>
      </w:r>
      <w:r>
        <w:t>, 8(2): 92–122.</w:t>
      </w:r>
      <w:bookmarkEnd w:id="518"/>
    </w:p>
    <w:p>
      <w:pPr>
        <w:spacing w:before="0" w:after="80" w:line="240" w:lineRule="exact"/>
        <w:ind w:hanging="720" w:left="720"/>
        <w:jc w:val="both"/>
      </w:pPr>
      <w:bookmarkStart w:id="51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9"/>
    </w:p>
    <w:p>
      <w:pPr>
        <w:spacing w:before="0" w:after="80" w:line="240" w:lineRule="exact"/>
        <w:ind w:hanging="720" w:left="720"/>
        <w:jc w:val="both"/>
      </w:pPr>
      <w:bookmarkStart w:id="520" w:name="Deloitte2020"/>
      <w:hyperlink w:anchor="Deloitte2020txt" w:history="1">
        <w:r>
          <w:rPr>
            <w:color w:val="1F3864"/>
            <w:u w:val="single"/>
          </w:rPr>
          <w:t xml:space="preserve">Deloitte and Google. (2020). </w:t>
        </w:r>
      </w:hyperlink>
      <w:r>
        <w:t>“Milliseconds Make Millions.” Deloitte Digital and Google.</w:t>
      </w:r>
      <w:bookmarkEnd w:id="520"/>
    </w:p>
    <w:p>
      <w:pPr>
        <w:spacing w:before="0" w:after="80" w:line="240" w:lineRule="exact"/>
        <w:ind w:hanging="720" w:left="720"/>
        <w:jc w:val="both"/>
      </w:pPr>
      <w:bookmarkStart w:id="52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21"/>
    </w:p>
    <w:p>
      <w:pPr>
        <w:spacing w:before="0" w:after="80" w:line="240" w:lineRule="exact"/>
        <w:ind w:hanging="720" w:left="720"/>
        <w:jc w:val="both"/>
      </w:pPr>
      <w:bookmarkStart w:id="52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2"/>
    </w:p>
    <w:p>
      <w:pPr>
        <w:spacing w:before="0" w:after="80" w:line="240" w:lineRule="exact"/>
        <w:ind w:hanging="720" w:left="720"/>
        <w:jc w:val="both"/>
      </w:pPr>
      <w:bookmarkStart w:id="523" w:name="EpochAI2024"/>
      <w:r>
        <w:rPr>
          <w:color w:val="1F3864"/>
          <w:u w:val="single"/>
        </w:rPr>
        <w:t xml:space="preserve">Epoch AI. (2024). </w:t>
      </w:r>
      <w:r>
        <w:t>“The Training Compute of Notable AI Models.” epochai.org.</w:t>
      </w:r>
      <w:bookmarkEnd w:id="523"/>
    </w:p>
    <w:p>
      <w:pPr>
        <w:spacing w:before="0" w:after="80" w:line="240" w:lineRule="exact"/>
        <w:ind w:hanging="720" w:left="720"/>
        <w:jc w:val="both"/>
      </w:pPr>
      <w:bookmarkStart w:id="52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4"/>
    </w:p>
    <w:p>
      <w:pPr>
        <w:spacing w:before="0" w:after="80" w:line="240" w:lineRule="exact"/>
        <w:ind w:hanging="720" w:left="720"/>
        <w:jc w:val="both"/>
      </w:pPr>
      <w:bookmarkStart w:id="52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5"/>
    </w:p>
    <w:p>
      <w:pPr>
        <w:spacing w:before="0" w:after="80" w:line="240" w:lineRule="exact"/>
        <w:ind w:hanging="720" w:left="720"/>
        <w:jc w:val="both"/>
      </w:pPr>
      <w:bookmarkStart w:id="526" w:name="Flucker2013"/>
      <w:hyperlink w:anchor="Flucker2013txt" w:history="1">
        <w:r>
          <w:rPr>
            <w:color w:val="1F3864"/>
            <w:u w:val="single"/>
          </w:rPr>
          <w:t xml:space="preserve">Flucker, S., Tozer, R., and R. Whitehead. (2013). </w:t>
        </w:r>
      </w:hyperlink>
      <w:r>
        <w:t xml:space="preserve">“Data Centre Energy Efficiency Analysis to Minimize Total Cost of Ownership.” </w:t>
      </w:r>
      <w:r>
        <w:rPr>
          <w:i/>
        </w:rPr>
        <w:t>Building Services Engineering Research and Technology</w:t>
      </w:r>
      <w:r>
        <w:t>, 34(1): 103–117.</w:t>
      </w:r>
      <w:bookmarkEnd w:id="526"/>
    </w:p>
    <w:p>
      <w:pPr>
        <w:spacing w:before="0" w:after="80" w:line="240" w:lineRule="exact"/>
        <w:ind w:hanging="720" w:left="720"/>
        <w:jc w:val="both"/>
      </w:pPr>
      <w:bookmarkStart w:id="527"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7"/>
    </w:p>
    <w:p>
      <w:pPr>
        <w:spacing w:before="0" w:after="80" w:line="240" w:lineRule="exact"/>
        <w:ind w:hanging="720" w:left="720"/>
        <w:jc w:val="both"/>
      </w:pPr>
      <w:bookmarkStart w:id="528"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8"/>
    </w:p>
    <w:p>
      <w:pPr>
        <w:spacing w:before="0" w:after="80" w:line="240" w:lineRule="exact"/>
        <w:ind w:hanging="720" w:left="720"/>
        <w:jc w:val="both"/>
      </w:pPr>
      <w:bookmarkStart w:id="529" w:name="Google2024"/>
      <w:hyperlink w:anchor="Google2024txt" w:history="1">
        <w:r>
          <w:rPr>
            <w:color w:val="1F3864"/>
            <w:u w:val="single"/>
          </w:rPr>
          <w:t xml:space="preserve">Google. </w:t>
        </w:r>
      </w:hyperlink>
      <w:r>
        <w:t xml:space="preserve">(2024). </w:t>
      </w:r>
      <w:r>
        <w:rPr>
          <w:i/>
        </w:rPr>
        <w:t>2024 Environmental Report</w:t>
      </w:r>
      <w:r>
        <w:t>. sustainability.google.</w:t>
      </w:r>
      <w:bookmarkEnd w:id="529"/>
    </w:p>
    <w:p>
      <w:pPr>
        <w:spacing w:before="0" w:after="80" w:line="240" w:lineRule="exact"/>
        <w:ind w:hanging="720" w:left="720"/>
        <w:jc w:val="both"/>
      </w:pPr>
      <w:bookmarkStart w:id="530" w:name="Hausmann2007"/>
      <w:hyperlink w:anchor="Hausmann2007txt" w:history="1">
        <w:r>
          <w:rPr>
            <w:color w:val="1F3864"/>
            <w:u w:val="single"/>
          </w:rPr>
          <w:t xml:space="preserve">Hausmann, R., Hwang, J., and D. Rodrik. (2007). </w:t>
        </w:r>
      </w:hyperlink>
      <w:r>
        <w:t xml:space="preserve">“What You Export Matters.” </w:t>
      </w:r>
      <w:r>
        <w:rPr>
          <w:i/>
        </w:rPr>
        <w:t>Journal of Economic Growth</w:t>
      </w:r>
      <w:r>
        <w:t>, 12(1): 1–25.</w:t>
      </w:r>
      <w:bookmarkEnd w:id="530"/>
    </w:p>
    <w:p>
      <w:pPr>
        <w:spacing w:before="0" w:after="80" w:line="240" w:lineRule="exact"/>
        <w:ind w:hanging="720" w:left="720"/>
        <w:jc w:val="both"/>
      </w:pPr>
      <w:bookmarkStart w:id="531"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31"/>
    </w:p>
    <w:p>
      <w:pPr>
        <w:spacing w:before="0" w:after="80" w:line="240" w:lineRule="exact"/>
        <w:ind w:hanging="720" w:left="720"/>
        <w:jc w:val="both"/>
      </w:pPr>
      <w:bookmarkStart w:id="532" w:name="HMY2004"/>
      <w:hyperlink w:anchor="HMY2004txt" w:history="1">
        <w:r>
          <w:rPr>
            <w:color w:val="1F3864"/>
            <w:u w:val="single"/>
          </w:rPr>
          <w:t xml:space="preserve">Helpman, E., Melitz, M., and S. Yeaple. (2004). </w:t>
        </w:r>
      </w:hyperlink>
      <w:r>
        <w:t xml:space="preserve">“Export Versus FDI with Heterogeneous Firms.” </w:t>
      </w:r>
      <w:r>
        <w:rPr>
          <w:i/>
        </w:rPr>
        <w:t>American Economic Review</w:t>
      </w:r>
      <w:r>
        <w:t>, 94(1): 300–316.</w:t>
      </w:r>
      <w:bookmarkEnd w:id="532"/>
    </w:p>
    <w:p>
      <w:pPr>
        <w:spacing w:before="0" w:after="80" w:line="240" w:lineRule="exact"/>
        <w:ind w:hanging="720" w:left="720"/>
        <w:jc w:val="both"/>
      </w:pPr>
      <w:bookmarkStart w:id="53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3"/>
    </w:p>
    <w:p>
      <w:pPr>
        <w:spacing w:before="0" w:after="80" w:line="240" w:lineRule="exact"/>
        <w:ind w:hanging="720" w:left="720"/>
        <w:jc w:val="both"/>
      </w:pPr>
      <w:bookmarkStart w:id="534" w:name="IEA2025"/>
      <w:hyperlink w:anchor="IEA2025txt" w:history="1">
        <w:r>
          <w:rPr>
            <w:color w:val="1F3864"/>
            <w:u w:val="single"/>
          </w:rPr>
          <w:t xml:space="preserve">IEA. (2025). </w:t>
        </w:r>
      </w:hyperlink>
      <w:r>
        <w:t>“Energy Demand from AI.” Published online at iea.org.</w:t>
      </w:r>
      <w:bookmarkEnd w:id="534"/>
    </w:p>
    <w:p>
      <w:pPr>
        <w:spacing w:before="0" w:after="80" w:line="240" w:lineRule="exact"/>
        <w:ind w:hanging="720" w:left="720"/>
        <w:jc w:val="both"/>
      </w:pPr>
      <w:bookmarkStart w:id="53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5"/>
    </w:p>
    <w:p>
      <w:pPr>
        <w:spacing w:before="0" w:after="80" w:line="240" w:lineRule="exact"/>
        <w:ind w:hanging="720" w:left="720"/>
        <w:jc w:val="both"/>
      </w:pPr>
      <w:bookmarkStart w:id="536" w:name="KatzEtAl2025"/>
      <w:hyperlink w:anchor="KatzEtAl2025txt" w:history="1">
        <w:r>
          <w:rPr>
            <w:color w:val="1F3864"/>
            <w:u w:val="single"/>
          </w:rPr>
          <w:t xml:space="preserve">Katz, R., Jung, K., and F. Callorda. (2025). </w:t>
        </w:r>
      </w:hyperlink>
      <w:r>
        <w:t>“The Economic Impact of AI and Cloud Investment in Asia-Pacific.” Report prepared for the Asian Development Bank.</w:t>
      </w:r>
      <w:bookmarkEnd w:id="536"/>
    </w:p>
    <w:p>
      <w:pPr>
        <w:spacing w:before="0" w:after="80" w:line="240" w:lineRule="exact"/>
        <w:ind w:hanging="720" w:left="720"/>
        <w:jc w:val="both"/>
      </w:pPr>
      <w:bookmarkStart w:id="537" w:name="Korinek2021"/>
      <w:hyperlink w:anchor="Korinek2021txt" w:history="1">
        <w:r>
          <w:rPr>
            <w:color w:val="1F3864"/>
            <w:u w:val="single"/>
          </w:rPr>
          <w:t xml:space="preserve">Korinek, A., and J. Stiglitz. (2021). </w:t>
        </w:r>
      </w:hyperlink>
      <w:r>
        <w:t xml:space="preserve">“Artificial Intelligence, Globalization, and Strategies for Economic Development.” </w:t>
      </w:r>
      <w:r>
        <w:rPr>
          <w:i/>
        </w:rPr>
        <w:t>NBER Working Paper</w:t>
      </w:r>
      <w:r>
        <w:t xml:space="preserve"> No. 28453.</w:t>
      </w:r>
      <w:bookmarkEnd w:id="537"/>
    </w:p>
    <w:p>
      <w:pPr>
        <w:spacing w:before="0" w:after="80" w:line="240" w:lineRule="exact"/>
        <w:ind w:hanging="720" w:left="720"/>
        <w:jc w:val="both"/>
      </w:pPr>
      <w:bookmarkStart w:id="53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8"/>
    </w:p>
    <w:p>
      <w:pPr>
        <w:spacing w:before="0" w:after="80" w:line="240" w:lineRule="exact"/>
        <w:ind w:hanging="720" w:left="720"/>
        <w:jc w:val="both"/>
      </w:pPr>
      <w:bookmarkStart w:id="53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9"/>
    </w:p>
    <w:p>
      <w:pPr>
        <w:spacing w:before="0" w:after="80" w:line="240" w:lineRule="exact"/>
        <w:ind w:hanging="720" w:left="720"/>
        <w:jc w:val="both"/>
      </w:pPr>
      <w:bookmarkStart w:id="540" w:name="Lehdonvirta2024"/>
      <w:hyperlink w:anchor="Lehdonvirta2024txt" w:history="1">
        <w:r>
          <w:rPr>
            <w:color w:val="1F3864"/>
            <w:u w:val="single"/>
          </w:rPr>
          <w:t xml:space="preserve">Lehdonvirta, V., Wu, B.,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40"/>
    </w:p>
    <w:p>
      <w:pPr>
        <w:spacing w:before="0" w:after="80" w:line="240" w:lineRule="exact"/>
        <w:ind w:hanging="720" w:left="720"/>
        <w:jc w:val="both"/>
      </w:pPr>
      <w:bookmarkStart w:id="54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9" w:name="WorldBank2024txt"/>
      <w:hyperlink w:anchor="WorldBank2024" w:history="1">
        <w:r>
          <w:rPr>
            <w:i/>
            <w:color w:val="1F3864"/>
            <w:u w:val="single"/>
          </w:rPr>
          <w:t xml:space="preserve">World Bank</w:t>
        </w:r>
      </w:hyperlink>
      <w:bookmarkEnd w:id="239"/>
      <w:r>
        <w:rPr>
          <w:i/>
        </w:rPr>
        <w:t xml:space="preserve"> Economic Review</w:t>
      </w:r>
      <w:r>
        <w:t>, 15(3): 451–479.</w:t>
      </w:r>
      <w:bookmarkEnd w:id="541"/>
    </w:p>
    <w:p>
      <w:pPr>
        <w:spacing w:before="0" w:after="80" w:line="240" w:lineRule="exact"/>
        <w:ind w:hanging="720" w:left="720"/>
        <w:jc w:val="both"/>
      </w:pPr>
      <w:bookmarkStart w:id="542" w:name="Liu2023"/>
      <w:hyperlink w:anchor="Liu2023txt" w:history="1">
        <w:r>
          <w:rPr>
            <w:color w:val="1F3864"/>
            <w:u w:val="single"/>
          </w:rPr>
          <w:t xml:space="preserve">Liu, Z., Wierman, A., Chen, Y., Raber, B., and J. Moriarty. (2023). </w:t>
        </w:r>
      </w:hyperlink>
      <w:r>
        <w:t xml:space="preserve">“Sustainability of Data Center Digital Twins.” </w:t>
      </w:r>
      <w:r>
        <w:rPr>
          <w:i/>
        </w:rPr>
        <w:t>Proceedings of ACM e-Energy</w:t>
      </w:r>
      <w:r>
        <w:t>, pp. 178–189.</w:t>
      </w:r>
      <w:bookmarkEnd w:id="542"/>
    </w:p>
    <w:p>
      <w:pPr>
        <w:spacing w:before="0" w:after="80" w:line="240" w:lineRule="exact"/>
        <w:ind w:hanging="720" w:left="720"/>
        <w:jc w:val="both"/>
      </w:pPr>
      <w:bookmarkStart w:id="543" w:name="NVIDIA2024"/>
      <w:r>
        <w:rPr>
          <w:color w:val="1F3864"/>
          <w:u w:val="single"/>
        </w:rPr>
        <w:t xml:space="preserve">NVIDIA. </w:t>
      </w:r>
      <w:r>
        <w:t xml:space="preserve">(2024). </w:t>
      </w:r>
      <w:r>
        <w:rPr>
          <w:i/>
        </w:rPr>
        <w:t>NVIDIA H100 Tensor Core GPU Datasheet</w:t>
      </w:r>
      <w:r>
        <w:t>. nvidia.com.</w:t>
      </w:r>
      <w:bookmarkEnd w:id="543"/>
    </w:p>
    <w:p>
      <w:pPr>
        <w:spacing w:before="0" w:after="80" w:line="240" w:lineRule="exact"/>
        <w:ind w:hanging="720" w:left="720"/>
        <w:jc w:val="both"/>
      </w:pPr>
      <w:bookmarkStart w:id="54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4"/>
    </w:p>
    <w:p>
      <w:pPr>
        <w:spacing w:before="0" w:after="80" w:line="240" w:lineRule="exact"/>
        <w:ind w:hanging="720" w:left="720"/>
        <w:jc w:val="both"/>
      </w:pPr>
      <w:bookmarkStart w:id="545" w:name="Pilz2025"/>
      <w:hyperlink w:anchor="Pilz2025txt" w:history="1">
        <w:r>
          <w:rPr>
            <w:color w:val="1F3864"/>
            <w:u w:val="single"/>
          </w:rPr>
          <w:t xml:space="preserve">Pilz, K., Mahmood, Y., and L. Heim. </w:t>
        </w:r>
      </w:hyperlink>
      <w:r>
        <w:t xml:space="preserve">(2025). </w:t>
      </w:r>
      <w:r>
        <w:rPr>
          <w:i/>
        </w:rPr>
        <w:t>AI’s Power Requirements Under Exponential Growth</w:t>
      </w:r>
      <w:r>
        <w:t>. Santa Monica, CA: RAND Corporation, RR-A3572-1.</w:t>
      </w:r>
      <w:bookmarkEnd w:id="545"/>
    </w:p>
    <w:p>
      <w:pPr>
        <w:spacing w:before="0" w:after="80" w:line="240" w:lineRule="exact"/>
        <w:ind w:hanging="720" w:left="720"/>
        <w:jc w:val="both"/>
      </w:pPr>
      <w:bookmarkStart w:id="546" w:name="Sastry2024"/>
      <w:hyperlink w:anchor="Sastry2024txt" w:history="1">
        <w:r>
          <w:rPr>
            <w:color w:val="1F3864"/>
            <w:u w:val="single"/>
          </w:rPr>
          <w:t xml:space="preserve">Sastry, G., Heim, L., Belfield, H., Anderljung, M., Brundage, M., Hazell, J., et al. (2024). </w:t>
        </w:r>
      </w:hyperlink>
      <w:r>
        <w:t>“Computing Power and the Governance of Artificial Intelligence.” arXiv:2402.08797.</w:t>
      </w:r>
      <w:bookmarkEnd w:id="546"/>
    </w:p>
    <w:p>
      <w:pPr>
        <w:spacing w:before="0" w:after="80" w:line="240" w:lineRule="exact"/>
        <w:ind w:hanging="720" w:left="720"/>
        <w:jc w:val="both"/>
      </w:pPr>
      <w:bookmarkStart w:id="547" w:name="SevillaEtAl2022"/>
      <w:hyperlink w:anchor="SevillaEtAl2022txt" w:history="1">
        <w:r>
          <w:rPr>
            <w:color w:val="1F3864"/>
            <w:u w:val="single"/>
          </w:rPr>
          <w:t xml:space="preserve">Sevilla, J., Heim, L., Ho, A., Besiroglu, T., Hobbhahn, M., and P. Villalobos. (2022). </w:t>
        </w:r>
      </w:hyperlink>
      <w:r>
        <w:t>“Compute Trends across Three Eras of Machine Learning.” arXiv Working Paper No. 2202.05924. https://doi.org/10.48550/arXiv.2202.05924.</w:t>
      </w:r>
      <w:bookmarkEnd w:id="547"/>
    </w:p>
    <w:p>
      <w:pPr>
        <w:spacing w:before="0" w:after="80" w:line="240" w:lineRule="exact"/>
        <w:ind w:hanging="720" w:left="720"/>
        <w:jc w:val="both"/>
      </w:pPr>
      <w:bookmarkStart w:id="548" w:name="Stojkoski2024"/>
      <w:hyperlink w:anchor="Stojkoski2024txt" w:history="1">
        <w:r>
          <w:rPr>
            <w:color w:val="1F3864"/>
            <w:u w:val="single"/>
          </w:rPr>
          <w:t xml:space="preserve">Stojkoski, V., Koch, P., Coll, E., and C. Hidalgo. (2024). </w:t>
        </w:r>
      </w:hyperlink>
      <w:r>
        <w:t xml:space="preserve">“Estimating Digital Product Trade through Corporate Revenue Data.” </w:t>
      </w:r>
      <w:r>
        <w:rPr>
          <w:i/>
        </w:rPr>
        <w:t>Nature Communications</w:t>
      </w:r>
      <w:r>
        <w:t>, 15: 5262.</w:t>
      </w:r>
      <w:bookmarkEnd w:id="548"/>
    </w:p>
    <w:p>
      <w:pPr>
        <w:spacing w:before="0" w:after="80" w:line="240" w:lineRule="exact"/>
        <w:ind w:hanging="720" w:left="720"/>
        <w:jc w:val="both"/>
      </w:pPr>
      <w:bookmarkStart w:id="549" w:name="StraubEtAl2026"/>
      <w:hyperlink w:anchor="StraubEtAl2026txt" w:history="1">
        <w:r>
          <w:rPr>
            <w:color w:val="1F3864"/>
            <w:u w:val="single"/>
          </w:rPr>
          <w:t xml:space="preserve">Straub, S., He, H., Li, Y., Lyu, X., Steinbuks, J., Vergara Cobos, E., et al. </w:t>
        </w:r>
      </w:hyperlink>
      <w:r>
        <w:t xml:space="preserve">(2026). </w:t>
      </w:r>
      <w:r>
        <w:rPr>
          <w:i/>
        </w:rPr>
        <w:t>Infrastructure Foundations: From Current Assets to Future Growth</w:t>
      </w:r>
      <w:r>
        <w:t xml:space="preserve">. Sustainable Infrastructure Series. Washington, DC: </w:t>
      </w:r>
      <w:bookmarkStart w:id="240" w:name="WorldBank2024txt"/>
      <w:hyperlink w:anchor="WorldBank2024" w:history="1">
        <w:r>
          <w:rPr>
            <w:color w:val="1F3864"/>
            <w:u w:val="single"/>
          </w:rPr>
          <w:t xml:space="preserve">World Bank</w:t>
        </w:r>
      </w:hyperlink>
      <w:bookmarkEnd w:id="240"/>
      <w:r>
        <w:t xml:space="preserve">.</w:t>
      </w:r>
      <w:bookmarkEnd w:id="549"/>
    </w:p>
    <w:p>
      <w:pPr>
        <w:spacing w:before="0" w:after="80" w:line="240" w:lineRule="exact"/>
        <w:ind w:hanging="720" w:left="720"/>
        <w:jc w:val="both"/>
      </w:pPr>
      <w:bookmarkStart w:id="550"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50"/>
    </w:p>
    <w:p>
      <w:pPr>
        <w:spacing w:before="0" w:after="80" w:line="240" w:lineRule="exact"/>
        <w:ind w:hanging="720" w:left="720"/>
        <w:jc w:val="both"/>
      </w:pPr>
      <w:bookmarkStart w:id="55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51"/>
    </w:p>
    <w:p>
      <w:pPr>
        <w:spacing w:before="0" w:after="80" w:line="240" w:lineRule="exact"/>
        <w:ind w:hanging="720" w:left="720"/>
        <w:jc w:val="both"/>
      </w:pPr>
      <w:bookmarkStart w:id="552"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52"/>
    </w:p>
    <w:p>
      <w:pPr>
        <w:spacing w:before="0" w:after="80" w:line="240" w:lineRule="exact"/>
        <w:ind w:hanging="720" w:left="720"/>
        <w:jc w:val="both"/>
      </w:pPr>
      <w:bookmarkStart w:id="553"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3"/>
    </w:p>
    <w:p>
      <w:pPr>
        <w:spacing w:before="0" w:after="80" w:line="240" w:lineRule="exact"/>
        <w:ind w:hanging="720" w:left="720"/>
        <w:jc w:val="both"/>
      </w:pPr>
      <w:bookmarkStart w:id="554" w:name="WorldBank2025"/>
      <w:hyperlink w:anchor="WorldBank2025txt" w:history="1">
        <w:r>
          <w:rPr>
            <w:color w:val="1F3864"/>
            <w:u w:val="single"/>
          </w:rPr>
          <w:t xml:space="preserve">World Bank. </w:t>
        </w:r>
      </w:hyperlink>
      <w:r>
        <w:t xml:space="preserve">(2025). </w:t>
      </w:r>
      <w:r>
        <w:rPr>
          <w:i/>
        </w:rPr>
        <w:t>Digital Progress and Trends Report 2025: Strengthening AI Foundations</w:t>
      </w:r>
      <w:r>
        <w:t xml:space="preserve">. Washington, DC: </w:t>
      </w:r>
      <w:bookmarkStart w:id="241" w:name="WorldBank2024txt"/>
      <w:hyperlink w:anchor="WorldBank2024" w:history="1">
        <w:r>
          <w:rPr>
            <w:color w:val="1F3864"/>
            <w:u w:val="single"/>
          </w:rPr>
          <w:t xml:space="preserve">World Bank</w:t>
        </w:r>
      </w:hyperlink>
      <w:bookmarkEnd w:id="241"/>
      <w:r>
        <w:t xml:space="preserve">.</w:t>
      </w:r>
      <w:bookmarkEnd w:id="554"/>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columns (1)–(3) suppress by amortizing hardware at a single straight-line ρ with no financing cost.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2" w:name="ADB2020txt"/>
      <w:hyperlink w:anchor="ADB2020" w:history="1">
        <w:r>
          <w:rPr>
            <w:color w:val="1F3864"/>
            <w:u w:val="single"/>
          </w:rPr>
          <w:t xml:space="preserve">ADB 2020</w:t>
        </w:r>
      </w:hyperlink>
      <w:bookmarkEnd w:id="242"/>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6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6 notes this simplification.</w:t>
      </w:r>
    </w:p>
    <w:p>
      <w:pPr>
        <w:pStyle w:val="Heading1"/>
      </w:pPr>
      <w:r>
        <w:rPr>
          <w:rFonts w:ascii="Times New Roman" w:hAnsi="Times New Roman"/>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3" w:name="IMF2025txt"/>
      <w:hyperlink w:anchor="IMF2025" w:history="1">
        <w:r>
          <w:rPr>
            <w:color w:val="1F3864"/>
            <w:u w:val="single"/>
          </w:rPr>
          <w:t xml:space="preserve">IMF 2025</w:t>
        </w:r>
      </w:hyperlink>
      <w:bookmarkEnd w:id="243"/>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 xml:space="preserve">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w:t>
      </w:r>
      <w:bookmarkStart w:id="262" w:name="Borenstein2012txt"/>
      <w:hyperlink w:anchor="Borenstein2012" w:history="1">
        <w:r>
          <w:rPr>
            <w:color w:val="1F3864"/>
            <w:u w:val="single"/>
          </w:rPr>
          <w:t xml:space="preserve">Borenstein (2012)</w:t>
        </w:r>
      </w:hyperlink>
      <w:bookmarkEnd w:id="262"/>
      <w:r>
        <w:t xml:space="preserve"> and </w:t>
      </w:r>
      <w:bookmarkStart w:id="244" w:name="DavisHausman2016txt"/>
      <w:hyperlink w:anchor="DavisHausman2016" w:history="1">
        <w:r>
          <w:rPr>
            <w:color w:val="1F3864"/>
            <w:u w:val="single"/>
          </w:rPr>
          <w:t xml:space="preserve">Davis and Hausman (2016)</w:t>
        </w:r>
      </w:hyperlink>
      <w:bookmarkEnd w:id="244"/>
      <w:r>
        <w:t xml:space="preserve">. Korea receives $0.020/kWh reflecting KEPCO industrial tariffs below cost-of-service (OECD Energy Policy Review). All other countries receive zero.</w:t>
      </w:r>
      <w:r>
        <w:rPr>
          <w:rStyle w:val="FootnoteReference"/>
        </w:rPr>
        <w:footnoteReference w:id="90"/>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lowest-cost producers are Kyrgyzstan, Ethiopia, Kosovo, Canada, and Tajikistan. Canada falls from second to fourth after a modest carbon adder of $0.008 per kilowatt-hour. Poland drops 21 positions, Germany 10, the United States 10, and France 12, while Nordic low-carbon grids and Switzerland move by two positions or fewer. The qualitative conclusion is therefore reinforced rather than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At the same time,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there exists some country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Ethiopia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 w:id="90">
    <w:p>
      <w:pPr>
        <w:pStyle w:val="FootnoteText"/>
      </w:pPr>
      <w:r>
        <w:rPr>
          <w:rStyle w:val="FootnoteReference"/>
        </w:rPr>
        <w:footnoteRef/>
      </w:r>
      <w:r>
        <w:t xml:space="preserve"> Data sources for the carbon-price and cross-subsidy adjustments: EMBER, Yearly Electricity Data (2025 release); Agora Energiewende and BDEW industrial electricity-price analyses; and OECD, Energy Policy Reviews: Korea.</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