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B5E91"/>
          <w:sz w:val="72"/>
        </w:rPr>
        <w:t>ITO CLOUD</w:t>
      </w:r>
    </w:p>
    <w:p>
      <w:pPr>
        <w:jc w:val="center"/>
      </w:pPr>
      <w:r>
        <w:rPr>
          <w:color w:val="0D47A1"/>
          <w:sz w:val="36"/>
        </w:rPr>
        <w:t>Plataforma de Inspección Técnica de Obras</w:t>
      </w:r>
    </w:p>
    <w:p/>
    <w:p>
      <w:pPr>
        <w:jc w:val="center"/>
      </w:pPr>
      <w:r>
        <w:rPr>
          <w:b/>
          <w:color w:val="333333"/>
          <w:sz w:val="44"/>
        </w:rPr>
        <w:t>ROADMAP DE SOLUCIÓN</w:t>
      </w:r>
    </w:p>
    <w:p/>
    <w:p>
      <w:pPr>
        <w:jc w:val="center"/>
      </w:pPr>
      <w:r>
        <w:rPr>
          <w:i/>
          <w:color w:val="666666"/>
          <w:sz w:val="22"/>
        </w:rPr>
        <w:t>Versión 1.0  |  Fecha: 18/03/2026</w:t>
      </w:r>
    </w:p>
    <w:p/>
    <w:p>
      <w:pPr>
        <w:jc w:val="center"/>
      </w:pPr>
      <w:r>
        <w:rPr>
          <w:color w:val="555555"/>
          <w:sz w:val="24"/>
        </w:rPr>
        <w:t>SaaS B2B Multiempresa — Construcción e Inmobiliaria</w:t>
      </w:r>
    </w:p>
    <w:p>
      <w:r>
        <w:br w:type="page"/>
      </w:r>
    </w:p>
    <w:p>
      <w:pPr>
        <w:spacing w:before="320" w:after="120"/>
      </w:pPr>
      <w:r>
        <w:rPr>
          <w:b/>
          <w:color w:val="1B5E91"/>
          <w:sz w:val="32"/>
        </w:rPr>
        <w:t>1. Resumen Ejecutivo</w:t>
      </w:r>
    </w:p>
    <w:p>
      <w:pPr>
        <w:spacing w:before="40" w:after="40"/>
        <w:pBdr>
          <w:bottom w:val="single" w:sz="6" w:space="1" w:color="1B5E91"/>
        </w:pBdr>
      </w:pPr>
    </w:p>
    <w:p>
      <w:pPr>
        <w:spacing w:before="40" w:after="80"/>
      </w:pPr>
      <w:r>
        <w:rPr>
          <w:sz w:val="20"/>
        </w:rPr>
        <w:t>ITO Cloud es una plataforma SaaS B2B multiempresa diseñada para digitalizar y gestionar el proceso completo de Inspección Técnica de Obras (ITO) en proyectos de construcción e inmobiliarios. La solución reemplaza los procesos manuales basados en papel, Excel y WhatsApp por un sistema integrado con trazabilidad completa, dashboards ejecutivos en tiempo real y una aplicación móvil con capacidad offline.</w:t>
      </w:r>
    </w:p>
    <w:p>
      <w:pPr>
        <w:spacing w:before="200" w:after="80"/>
      </w:pPr>
      <w:r>
        <w:rPr>
          <w:b/>
          <w:color w:val="0D47A1"/>
          <w:sz w:val="26"/>
        </w:rPr>
        <w:t>Problema que resuelve</w:t>
      </w:r>
    </w:p>
    <w:p>
      <w:pPr>
        <w:pStyle w:val="ListBullet"/>
        <w:spacing w:before="20" w:after="20"/>
        <w:ind w:left="283"/>
      </w:pPr>
      <w:r>
        <w:rPr>
          <w:sz w:val="20"/>
        </w:rPr>
        <w:t>Formularios en papel o Excel sin estructura ni trazabilidad</w:t>
      </w:r>
    </w:p>
    <w:p>
      <w:pPr>
        <w:pStyle w:val="ListBullet"/>
        <w:spacing w:before="20" w:after="20"/>
        <w:ind w:left="283"/>
      </w:pPr>
      <w:r>
        <w:rPr>
          <w:sz w:val="20"/>
        </w:rPr>
        <w:t>Evidencia fotográfica gestionada por WhatsApp sin vínculo al registro</w:t>
      </w:r>
    </w:p>
    <w:p>
      <w:pPr>
        <w:pStyle w:val="ListBullet"/>
        <w:spacing w:before="20" w:after="20"/>
        <w:ind w:left="283"/>
      </w:pPr>
      <w:r>
        <w:rPr>
          <w:sz w:val="20"/>
        </w:rPr>
        <w:t>Observaciones y no conformidades enviadas por correo sin seguimiento formal</w:t>
      </w:r>
    </w:p>
    <w:p>
      <w:pPr>
        <w:pStyle w:val="ListBullet"/>
        <w:spacing w:before="20" w:after="20"/>
        <w:ind w:left="283"/>
      </w:pPr>
      <w:r>
        <w:rPr>
          <w:sz w:val="20"/>
        </w:rPr>
        <w:t>Ausencia de KPIs de calidad y cumplimiento para la gerencia</w:t>
      </w:r>
    </w:p>
    <w:p>
      <w:pPr>
        <w:pStyle w:val="ListBullet"/>
        <w:spacing w:before="20" w:after="20"/>
        <w:ind w:left="283"/>
      </w:pPr>
      <w:r>
        <w:rPr>
          <w:sz w:val="20"/>
        </w:rPr>
        <w:t>Imposibilidad de reportes automáticos de inspección</w:t>
      </w:r>
    </w:p>
    <w:p>
      <w:pPr>
        <w:spacing w:before="200" w:after="80"/>
      </w:pPr>
      <w:r>
        <w:rPr>
          <w:b/>
          <w:color w:val="0D47A1"/>
          <w:sz w:val="26"/>
        </w:rPr>
        <w:t>Propuesta de valor por actor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4703"/>
            <w:shd w:val="clear" w:color="auto" w:fill="1B5E91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4703"/>
            <w:shd w:val="clear" w:color="auto" w:fill="1B5E91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Beneficio Principal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8"/>
              </w:rPr>
              <w:t>ITO / Inspector</w:t>
            </w:r>
          </w:p>
        </w:tc>
        <w:tc>
          <w:tcPr>
            <w:tcW w:type="dxa" w:w="6236"/>
            <w:shd w:val="clear" w:color="auto" w:fill="EBF3FB"/>
          </w:tcPr>
          <w:p>
            <w:r>
              <w:rPr>
                <w:sz w:val="18"/>
              </w:rPr>
              <w:t>App móvil offline, registro ágil en terreno, captura de evidencias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Supervisor de Obra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Trazabilidad de hallazgos y no conformidades en tiempo real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8"/>
              </w:rPr>
              <w:t>Constructora</w:t>
            </w:r>
          </w:p>
        </w:tc>
        <w:tc>
          <w:tcPr>
            <w:tcW w:type="dxa" w:w="6236"/>
            <w:shd w:val="clear" w:color="auto" w:fill="EBF3FB"/>
          </w:tcPr>
          <w:p>
            <w:r>
              <w:rPr>
                <w:sz w:val="18"/>
              </w:rPr>
              <w:t>Dashboard ejecutivo, reportes automáticos PDF/Excel, KPIs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Mandante / Cliente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Transparencia total y evidencia digital del proceso ITO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8"/>
              </w:rPr>
              <w:t>Contratista</w:t>
            </w:r>
          </w:p>
        </w:tc>
        <w:tc>
          <w:tcPr>
            <w:tcW w:type="dxa" w:w="6236"/>
            <w:shd w:val="clear" w:color="auto" w:fill="EBF3FB"/>
          </w:tcPr>
          <w:p>
            <w:r>
              <w:rPr>
                <w:sz w:val="18"/>
              </w:rPr>
              <w:t>Seguimiento formal de las observaciones asignadas a su cuadrilla</w:t>
            </w:r>
          </w:p>
        </w:tc>
      </w:tr>
    </w:tbl>
    <w:p/>
    <w:p>
      <w:pPr>
        <w:spacing w:before="320" w:after="120"/>
      </w:pPr>
      <w:r>
        <w:rPr>
          <w:b/>
          <w:color w:val="1B5E91"/>
          <w:sz w:val="32"/>
        </w:rPr>
        <w:t>2. Stack Tecnológico</w:t>
      </w:r>
    </w:p>
    <w:p>
      <w:pPr>
        <w:spacing w:before="40" w:after="40"/>
        <w:pBdr>
          <w:bottom w:val="single" w:sz="6" w:space="1" w:color="1B5E91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3969"/>
        <w:gridCol w:w="2551"/>
      </w:tblGrid>
      <w:tr>
        <w:tc>
          <w:tcPr>
            <w:tcW w:type="dxa" w:w="3135"/>
            <w:shd w:val="clear" w:color="auto" w:fill="1B5E91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Capa</w:t>
            </w:r>
          </w:p>
        </w:tc>
        <w:tc>
          <w:tcPr>
            <w:tcW w:type="dxa" w:w="3135"/>
            <w:shd w:val="clear" w:color="auto" w:fill="1B5E91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3135"/>
            <w:shd w:val="clear" w:color="auto" w:fill="1B5E91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Versión / Notas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8"/>
              </w:rPr>
              <w:t>Backend API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18"/>
              </w:rPr>
              <w:t>ASP.NET Core + Clean Architecture + CQRS (MediatR)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8"/>
              </w:rPr>
              <w:t>.NET 8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ORM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Entity Framework Core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EF Core 8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8"/>
              </w:rPr>
              <w:t>Base de Datos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8"/>
              </w:rPr>
              <w:t>v16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Frontend Web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Blazor Server + MudBlazor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.NET 8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8"/>
              </w:rPr>
              <w:t>App Móvil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18"/>
              </w:rPr>
              <w:t>Android nativo — Kotlin, Jetpack Compose, Room DB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8"/>
              </w:rPr>
              <w:t>SDK 34+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Autenticación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ASP.NET Identity + JWT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Bearer Token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8"/>
              </w:rPr>
              <w:t>Almacenamiento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18"/>
              </w:rPr>
              <w:t>MinIO (S3 compatible)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8"/>
              </w:rPr>
              <w:t>Self-hosted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Reportes PDF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QuestPDF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MIT License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8"/>
              </w:rPr>
              <w:t>Reportes Excel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18"/>
              </w:rPr>
              <w:t>ClosedXML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8"/>
              </w:rPr>
              <w:t>MIT License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Logging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Serilog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Sinks: consola/archivo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8"/>
              </w:rPr>
              <w:t>Infraestructura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18"/>
              </w:rPr>
              <w:t>Docker + docker-compose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8"/>
              </w:rPr>
              <w:t>Local + producción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Sesiones distribuidas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Blazor sticky sessions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8"/>
              </w:rPr>
              <w:t>Sync Offline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18"/>
              </w:rPr>
              <w:t>WorkManager (Android)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8"/>
              </w:rPr>
              <w:t>Offline-first</w:t>
            </w:r>
          </w:p>
        </w:tc>
      </w:tr>
    </w:tbl>
    <w:p/>
    <w:p>
      <w:pPr>
        <w:spacing w:before="320" w:after="120"/>
      </w:pPr>
      <w:r>
        <w:rPr>
          <w:b/>
          <w:color w:val="1B5E91"/>
          <w:sz w:val="32"/>
        </w:rPr>
        <w:t>3. Arquitectura de la Solución</w:t>
      </w:r>
    </w:p>
    <w:p>
      <w:pPr>
        <w:spacing w:before="40" w:after="40"/>
        <w:pBdr>
          <w:bottom w:val="single" w:sz="6" w:space="1" w:color="1B5E91"/>
        </w:pBdr>
      </w:pPr>
    </w:p>
    <w:p>
      <w:pPr>
        <w:spacing w:before="200" w:after="80"/>
      </w:pPr>
      <w:r>
        <w:rPr>
          <w:b/>
          <w:color w:val="0D47A1"/>
          <w:sz w:val="26"/>
        </w:rPr>
        <w:t>3.1 Clean Architecture en capas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4703"/>
            <w:shd w:val="clear" w:color="auto" w:fill="1B5E91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Proyecto / Capa</w:t>
            </w:r>
          </w:p>
        </w:tc>
        <w:tc>
          <w:tcPr>
            <w:tcW w:type="dxa" w:w="4703"/>
            <w:shd w:val="clear" w:color="auto" w:fill="1B5E91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3118"/>
            <w:shd w:val="clear" w:color="auto" w:fill="EBF3FB"/>
          </w:tcPr>
          <w:p>
            <w:r>
              <w:rPr>
                <w:sz w:val="18"/>
              </w:rPr>
              <w:t>ITO.Cloud.Domain</w:t>
            </w:r>
          </w:p>
        </w:tc>
        <w:tc>
          <w:tcPr>
            <w:tcW w:type="dxa" w:w="5953"/>
            <w:shd w:val="clear" w:color="auto" w:fill="EBF3FB"/>
          </w:tcPr>
          <w:p>
            <w:r>
              <w:rPr>
                <w:sz w:val="18"/>
              </w:rPr>
              <w:t>Entidades, interfaces, enums, value objects, reglas de negocio. SIN dependencias externas.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ITO.Cloud.Application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18"/>
              </w:rPr>
              <w:t>Casos de uso CQRS (Commands/Queries), DTOs, validadores FluentValidation, mapeos AutoMapper.</w:t>
            </w:r>
          </w:p>
        </w:tc>
      </w:tr>
      <w:tr>
        <w:tc>
          <w:tcPr>
            <w:tcW w:type="dxa" w:w="3118"/>
            <w:shd w:val="clear" w:color="auto" w:fill="EBF3FB"/>
          </w:tcPr>
          <w:p>
            <w:r>
              <w:rPr>
                <w:sz w:val="18"/>
              </w:rPr>
              <w:t>ITO.Cloud.Infrastructure</w:t>
            </w:r>
          </w:p>
        </w:tc>
        <w:tc>
          <w:tcPr>
            <w:tcW w:type="dxa" w:w="5953"/>
            <w:shd w:val="clear" w:color="auto" w:fill="EBF3FB"/>
          </w:tcPr>
          <w:p>
            <w:r>
              <w:rPr>
                <w:sz w:val="18"/>
              </w:rPr>
              <w:t>EF Core + PostgreSQL, MinIO, SMTP, JWT, auditoría. Implementa las interfaces del dominio.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ITO.Cloud.API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18"/>
              </w:rPr>
              <w:t>ASP.NET Core Web API REST, controllers, middleware de tenant/errores, Swagger, JWT.</w:t>
            </w:r>
          </w:p>
        </w:tc>
      </w:tr>
      <w:tr>
        <w:tc>
          <w:tcPr>
            <w:tcW w:type="dxa" w:w="3118"/>
            <w:shd w:val="clear" w:color="auto" w:fill="EBF3FB"/>
          </w:tcPr>
          <w:p>
            <w:r>
              <w:rPr>
                <w:sz w:val="18"/>
              </w:rPr>
              <w:t>ITO.Cloud.Web</w:t>
            </w:r>
          </w:p>
        </w:tc>
        <w:tc>
          <w:tcPr>
            <w:tcW w:type="dxa" w:w="5953"/>
            <w:shd w:val="clear" w:color="auto" w:fill="EBF3FB"/>
          </w:tcPr>
          <w:p>
            <w:r>
              <w:rPr>
                <w:sz w:val="18"/>
              </w:rPr>
              <w:t>Blazor Server + MudBlazor. Páginas, layouts, servicios de consumo de la API.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ITO.Cloud.Android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18"/>
              </w:rPr>
              <w:t>App Android Kotlin. UI con Jetpack Compose, Room DB offline, SyncWorker WorkManager.</w:t>
            </w:r>
          </w:p>
        </w:tc>
      </w:tr>
    </w:tbl>
    <w:p/>
    <w:p>
      <w:pPr>
        <w:spacing w:before="200" w:after="80"/>
      </w:pPr>
      <w:r>
        <w:rPr>
          <w:b/>
          <w:color w:val="0D47A1"/>
          <w:sz w:val="26"/>
        </w:rPr>
        <w:t>3.2 Multi-Tenant Lógico</w:t>
      </w:r>
    </w:p>
    <w:p>
      <w:pPr>
        <w:spacing w:before="40" w:after="80"/>
      </w:pPr>
      <w:r>
        <w:rPr>
          <w:sz w:val="20"/>
        </w:rPr>
        <w:t>Se implementa multi-tenancy lógico: base de datos compartida con discriminador TenantId en todas las tablas de negocio. EF Core Global Query Filters aseguran aislamiento automático de datos entre empresas (tenants).</w:t>
      </w:r>
    </w:p>
    <w:p>
      <w:pPr>
        <w:pStyle w:val="ListBullet"/>
        <w:spacing w:before="20" w:after="20"/>
        <w:ind w:left="283"/>
      </w:pPr>
      <w:r>
        <w:rPr>
          <w:sz w:val="20"/>
        </w:rPr>
        <w:t>TenantId incluido en el JWT como claim firmado — no manipulable por el cliente</w:t>
      </w:r>
    </w:p>
    <w:p>
      <w:pPr>
        <w:pStyle w:val="ListBullet"/>
        <w:spacing w:before="20" w:after="20"/>
        <w:ind w:left="283"/>
      </w:pPr>
      <w:r>
        <w:rPr>
          <w:sz w:val="20"/>
        </w:rPr>
        <w:t>TenantMiddleware resuelve el tenant en cada request y lo inyecta en el contexto</w:t>
      </w:r>
    </w:p>
    <w:p>
      <w:pPr>
        <w:pStyle w:val="ListBullet"/>
        <w:spacing w:before="20" w:after="20"/>
        <w:ind w:left="283"/>
      </w:pPr>
      <w:r>
        <w:rPr>
          <w:sz w:val="20"/>
        </w:rPr>
        <w:t>ApplicationDbContext aplica HasQueryFilter global a todas las entidades ITenantEntity</w:t>
      </w:r>
    </w:p>
    <w:p>
      <w:pPr>
        <w:pStyle w:val="ListBullet"/>
        <w:spacing w:before="20" w:after="20"/>
        <w:ind w:left="283"/>
      </w:pPr>
      <w:r>
        <w:rPr>
          <w:sz w:val="20"/>
        </w:rPr>
        <w:t>Validación explícita adicional en comandos críticos (doble verificación)</w:t>
      </w:r>
    </w:p>
    <w:p/>
    <w:p>
      <w:pPr>
        <w:spacing w:before="200" w:after="80"/>
      </w:pPr>
      <w:r>
        <w:rPr>
          <w:b/>
          <w:color w:val="0D47A1"/>
          <w:sz w:val="26"/>
        </w:rPr>
        <w:t>3.3 Offline-First en App Android</w:t>
      </w:r>
    </w:p>
    <w:p>
      <w:pPr>
        <w:spacing w:before="40" w:after="80"/>
      </w:pPr>
      <w:r>
        <w:rPr>
          <w:sz w:val="20"/>
        </w:rPr>
        <w:t>El inspector puede trabajar sin conectividad. La arquitectura garantiza que ningún dato se pierda y que la sincronización sea automática al recuperar señal.</w:t>
      </w:r>
    </w:p>
    <w:p>
      <w:pPr>
        <w:pStyle w:val="ListBullet"/>
        <w:spacing w:before="20" w:after="20"/>
        <w:ind w:left="283"/>
      </w:pPr>
      <w:r>
        <w:rPr>
          <w:sz w:val="20"/>
        </w:rPr>
        <w:t>Room DB (SQLite local) como fuente de verdad — siempre se lee/escribe local primero</w:t>
      </w:r>
    </w:p>
    <w:p>
      <w:pPr>
        <w:pStyle w:val="ListBullet"/>
        <w:spacing w:before="20" w:after="20"/>
        <w:ind w:left="283"/>
      </w:pPr>
      <w:r>
        <w:rPr>
          <w:sz w:val="20"/>
        </w:rPr>
        <w:t>SyncQueue: tabla local de operaciones pendientes de sincronización</w:t>
      </w:r>
    </w:p>
    <w:p>
      <w:pPr>
        <w:pStyle w:val="ListBullet"/>
        <w:spacing w:before="20" w:after="20"/>
        <w:ind w:left="283"/>
      </w:pPr>
      <w:r>
        <w:rPr>
          <w:sz w:val="20"/>
        </w:rPr>
        <w:t>SyncWorker (WorkManager) envía la cola al servidor cuando hay red, con retry automático</w:t>
      </w:r>
    </w:p>
    <w:p>
      <w:pPr>
        <w:pStyle w:val="ListBullet"/>
        <w:spacing w:before="20" w:after="20"/>
        <w:ind w:left="283"/>
      </w:pPr>
      <w:r>
        <w:rPr>
          <w:sz w:val="20"/>
        </w:rPr>
        <w:t>PKs UUID en todas las entidades → creación offline sin colisión de IDs</w:t>
      </w:r>
    </w:p>
    <w:p>
      <w:pPr>
        <w:pStyle w:val="ListBullet"/>
        <w:spacing w:before="20" w:after="20"/>
        <w:ind w:left="283"/>
      </w:pPr>
      <w:r>
        <w:rPr>
          <w:sz w:val="20"/>
        </w:rPr>
        <w:t>Resolución de conflictos: estrategia server-wins con last_modified_at</w:t>
      </w:r>
    </w:p>
    <w:p>
      <w:pPr>
        <w:pStyle w:val="ListBullet"/>
        <w:spacing w:before="20" w:after="20"/>
        <w:ind w:left="283"/>
      </w:pPr>
      <w:r>
        <w:rPr>
          <w:sz w:val="20"/>
        </w:rPr>
        <w:t>Fotos: comprimidas en la app antes del upload, referencia temporal reemplazada al sincronizar</w:t>
      </w:r>
    </w:p>
    <w:p/>
    <w:p>
      <w:pPr>
        <w:spacing w:before="200" w:after="80"/>
      </w:pPr>
      <w:r>
        <w:rPr>
          <w:b/>
          <w:color w:val="0D47A1"/>
          <w:sz w:val="26"/>
        </w:rPr>
        <w:t>3.4 Despliegue con Docker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4535"/>
        <w:gridCol w:w="2268"/>
      </w:tblGrid>
      <w:tr>
        <w:tc>
          <w:tcPr>
            <w:tcW w:type="dxa" w:w="3135"/>
            <w:shd w:val="clear" w:color="auto" w:fill="1B5E91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Servicio</w:t>
            </w:r>
          </w:p>
        </w:tc>
        <w:tc>
          <w:tcPr>
            <w:tcW w:type="dxa" w:w="3135"/>
            <w:shd w:val="clear" w:color="auto" w:fill="1B5E91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3135"/>
            <w:shd w:val="clear" w:color="auto" w:fill="1B5E91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Puerto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ito-api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sz w:val="18"/>
              </w:rPr>
              <w:t>ASP.NET Core Web API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5000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ito-web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Blazor Server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5001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postgres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sz w:val="18"/>
              </w:rPr>
              <w:t>PostgreSQL 16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5432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minio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MinIO S3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9000 / 9001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sz w:val="18"/>
              </w:rPr>
              <w:t>Redis (sesiones)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6379</w:t>
            </w:r>
          </w:p>
        </w:tc>
      </w:tr>
    </w:tbl>
    <w:p/>
    <w:p>
      <w:pPr>
        <w:spacing w:before="320" w:after="120"/>
      </w:pPr>
      <w:r>
        <w:rPr>
          <w:b/>
          <w:color w:val="1B5E91"/>
          <w:sz w:val="32"/>
        </w:rPr>
        <w:t>4. Módulos del Sistema</w:t>
      </w:r>
    </w:p>
    <w:p>
      <w:pPr>
        <w:spacing w:before="40" w:after="40"/>
        <w:pBdr>
          <w:bottom w:val="single" w:sz="6" w:space="1" w:color="1B5E91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"/>
        <w:gridCol w:w="2551"/>
        <w:gridCol w:w="4252"/>
        <w:gridCol w:w="1134"/>
        <w:gridCol w:w="680"/>
      </w:tblGrid>
      <w:tr>
        <w:tc>
          <w:tcPr>
            <w:tcW w:type="dxa" w:w="1881"/>
            <w:shd w:val="clear" w:color="auto" w:fill="1B5E91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val="clear" w:color="auto" w:fill="1B5E91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1881"/>
            <w:shd w:val="clear" w:color="auto" w:fill="1B5E91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1881"/>
            <w:shd w:val="clear" w:color="auto" w:fill="1B5E91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Alcance</w:t>
            </w:r>
          </w:p>
        </w:tc>
        <w:tc>
          <w:tcPr>
            <w:tcW w:type="dxa" w:w="1881"/>
            <w:shd w:val="clear" w:color="auto" w:fill="1B5E91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MVP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b/>
                <w:sz w:val="18"/>
              </w:rPr>
              <w:t>Identity &amp; Tenants</w:t>
            </w:r>
          </w:p>
        </w:tc>
        <w:tc>
          <w:tcPr>
            <w:tcW w:type="dxa" w:w="4252"/>
            <w:shd w:val="clear" w:color="auto" w:fill="EBF3FB"/>
          </w:tcPr>
          <w:p>
            <w:r>
              <w:rPr>
                <w:sz w:val="18"/>
              </w:rPr>
              <w:t>Login, sesiones, multiempresa, planes SaaS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8"/>
              </w:rPr>
              <w:t>MVP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sz w:val="18"/>
              </w:rPr>
              <w:t>Empresas &amp; Proyectos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8"/>
              </w:rPr>
              <w:t>CRUD empresa, obra, etapas, sectores, unidades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MVP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b/>
                <w:sz w:val="18"/>
              </w:rPr>
              <w:t>Usuarios &amp; Permisos</w:t>
            </w:r>
          </w:p>
        </w:tc>
        <w:tc>
          <w:tcPr>
            <w:tcW w:type="dxa" w:w="4252"/>
            <w:shd w:val="clear" w:color="auto" w:fill="EBF3FB"/>
          </w:tcPr>
          <w:p>
            <w:r>
              <w:rPr>
                <w:sz w:val="18"/>
              </w:rPr>
              <w:t>Gestión de usuarios por tenant, roles por proyecto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8"/>
              </w:rPr>
              <w:t>MVP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sz w:val="18"/>
              </w:rPr>
              <w:t>Plantillas de Inspección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8"/>
              </w:rPr>
              <w:t>Builder dinámico de formularios, secciones, preguntas, versiones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MVP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b/>
                <w:sz w:val="18"/>
              </w:rPr>
              <w:t>Programación</w:t>
            </w:r>
          </w:p>
        </w:tc>
        <w:tc>
          <w:tcPr>
            <w:tcW w:type="dxa" w:w="4252"/>
            <w:shd w:val="clear" w:color="auto" w:fill="EBF3FB"/>
          </w:tcPr>
          <w:p>
            <w:r>
              <w:rPr>
                <w:sz w:val="18"/>
              </w:rPr>
              <w:t>Agenda de inspecciones, asignación a ITO, calendario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8"/>
              </w:rPr>
              <w:t>MVP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sz w:val="18"/>
              </w:rPr>
              <w:t>Ejecución (Android)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8"/>
              </w:rPr>
              <w:t>App offline, checklist, evidencia fotográfica, sincronización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MVP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b/>
                <w:sz w:val="18"/>
              </w:rPr>
              <w:t>Observaciones / NC</w:t>
            </w:r>
          </w:p>
        </w:tc>
        <w:tc>
          <w:tcPr>
            <w:tcW w:type="dxa" w:w="4252"/>
            <w:shd w:val="clear" w:color="auto" w:fill="EBF3FB"/>
          </w:tcPr>
          <w:p>
            <w:r>
              <w:rPr>
                <w:sz w:val="18"/>
              </w:rPr>
              <w:t>Registro de no conformidades, seguimiento, estados, responsables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8"/>
              </w:rPr>
              <w:t>MVP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sz w:val="18"/>
              </w:rPr>
              <w:t>Reinspecciones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8"/>
              </w:rPr>
              <w:t>Validación de correcciones, trazabilidad completa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MVP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b/>
                <w:sz w:val="18"/>
              </w:rPr>
              <w:t>Documentos</w:t>
            </w:r>
          </w:p>
        </w:tc>
        <w:tc>
          <w:tcPr>
            <w:tcW w:type="dxa" w:w="4252"/>
            <w:shd w:val="clear" w:color="auto" w:fill="EBF3FB"/>
          </w:tcPr>
          <w:p>
            <w:r>
              <w:rPr>
                <w:sz w:val="18"/>
              </w:rPr>
              <w:t>Adjuntos a proyectos: planos, contratos, especificaciones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8"/>
              </w:rPr>
              <w:t>MVP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sz w:val="18"/>
              </w:rPr>
              <w:t>Reportes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8"/>
              </w:rPr>
              <w:t>Informe PDF de inspección (QuestPDF) + Excel (ClosedXML)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MVP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b/>
                <w:sz w:val="18"/>
              </w:rPr>
              <w:t>Dashboard</w:t>
            </w:r>
          </w:p>
        </w:tc>
        <w:tc>
          <w:tcPr>
            <w:tcW w:type="dxa" w:w="4252"/>
            <w:shd w:val="clear" w:color="auto" w:fill="EBF3FB"/>
          </w:tcPr>
          <w:p>
            <w:r>
              <w:rPr>
                <w:sz w:val="18"/>
              </w:rPr>
              <w:t>KPIs ejecutivos, gráficos de avance, estado del proyecto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8"/>
              </w:rPr>
              <w:t>MVP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sz w:val="18"/>
              </w:rPr>
              <w:t>Notificaciones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8"/>
              </w:rPr>
              <w:t>Email automático por observación/asignación, alertas internas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MVP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b/>
                <w:sz w:val="18"/>
              </w:rPr>
              <w:t>Auditoría</w:t>
            </w:r>
          </w:p>
        </w:tc>
        <w:tc>
          <w:tcPr>
            <w:tcW w:type="dxa" w:w="4252"/>
            <w:shd w:val="clear" w:color="auto" w:fill="EBF3FB"/>
          </w:tcPr>
          <w:p>
            <w:r>
              <w:rPr>
                <w:sz w:val="18"/>
              </w:rPr>
              <w:t>Log de acciones, historial de cambios, quién hizo qué y cuándo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8"/>
              </w:rPr>
              <w:t>MVP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54"/>
            <w:shd w:val="clear" w:color="auto" w:fill="FFF8E1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551"/>
            <w:shd w:val="clear" w:color="auto" w:fill="FFF8E1"/>
          </w:tcPr>
          <w:p>
            <w:r>
              <w:rPr>
                <w:b/>
                <w:sz w:val="18"/>
              </w:rPr>
              <w:t>Módulo IA</w:t>
            </w:r>
          </w:p>
        </w:tc>
        <w:tc>
          <w:tcPr>
            <w:tcW w:type="dxa" w:w="4252"/>
            <w:shd w:val="clear" w:color="auto" w:fill="FFF8E1"/>
          </w:tcPr>
          <w:p>
            <w:r>
              <w:rPr>
                <w:sz w:val="18"/>
              </w:rPr>
              <w:t>Interfaces preparadas: clasificación severidad, descripción automática NC</w:t>
            </w:r>
          </w:p>
        </w:tc>
        <w:tc>
          <w:tcPr>
            <w:tcW w:type="dxa" w:w="1134"/>
            <w:shd w:val="clear" w:color="auto" w:fill="FFF8E1"/>
          </w:tcPr>
          <w:p>
            <w:r>
              <w:rPr>
                <w:sz w:val="18"/>
              </w:rPr>
              <w:t>Futuro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⏳</w:t>
            </w:r>
          </w:p>
        </w:tc>
      </w:tr>
    </w:tbl>
    <w:p/>
    <w:p>
      <w:pPr>
        <w:spacing w:before="320" w:after="120"/>
      </w:pPr>
      <w:r>
        <w:rPr>
          <w:b/>
          <w:color w:val="1B5E91"/>
          <w:sz w:val="32"/>
        </w:rPr>
        <w:t>5. Etapas de Desarrollo</w:t>
      </w:r>
    </w:p>
    <w:p>
      <w:pPr>
        <w:spacing w:before="40" w:after="40"/>
        <w:pBdr>
          <w:bottom w:val="single" w:sz="6" w:space="1" w:color="1B5E91"/>
        </w:pBdr>
      </w:pPr>
    </w:p>
    <w:p>
      <w:pPr>
        <w:spacing w:before="200" w:after="40"/>
      </w:pPr>
      <w:r>
        <w:rPr>
          <w:b/>
          <w:color w:val="1B5E91"/>
          <w:sz w:val="24"/>
        </w:rPr>
        <w:t xml:space="preserve">Etapa 1: </w:t>
      </w:r>
      <w:r>
        <w:rPr>
          <w:b/>
          <w:color w:val="222222"/>
          <w:sz w:val="24"/>
        </w:rPr>
        <w:t>Descubrimiento y Arquitectura</w:t>
      </w:r>
      <w:r>
        <w:rPr>
          <w:b w:val="0"/>
          <w:i/>
          <w:color w:val="338833"/>
          <w:sz w:val="20"/>
        </w:rPr>
        <w:t xml:space="preserve">   ✅ COMPLETA</w:t>
      </w:r>
    </w:p>
    <w:p>
      <w:pPr>
        <w:pStyle w:val="ListBullet"/>
        <w:spacing w:before="20" w:after="20"/>
        <w:ind w:left="283"/>
      </w:pPr>
      <w:r>
        <w:rPr>
          <w:sz w:val="20"/>
        </w:rPr>
        <w:t>Arquitectura Clean Architecture documentada</w:t>
      </w:r>
    </w:p>
    <w:p>
      <w:pPr>
        <w:pStyle w:val="ListBullet"/>
        <w:spacing w:before="20" w:after="20"/>
        <w:ind w:left="283"/>
      </w:pPr>
      <w:r>
        <w:rPr>
          <w:sz w:val="20"/>
        </w:rPr>
        <w:t>ADR-001: Decisión Blazor Server vs WASM</w:t>
      </w:r>
    </w:p>
    <w:p>
      <w:pPr>
        <w:pStyle w:val="ListBullet"/>
        <w:spacing w:before="20" w:after="20"/>
        <w:ind w:left="283"/>
      </w:pPr>
      <w:r>
        <w:rPr>
          <w:sz w:val="20"/>
        </w:rPr>
        <w:t>ADR-002: Multi-tenant lógico con TenantId</w:t>
      </w:r>
    </w:p>
    <w:p>
      <w:pPr>
        <w:pStyle w:val="ListBullet"/>
        <w:spacing w:before="20" w:after="20"/>
        <w:ind w:left="283"/>
      </w:pPr>
      <w:r>
        <w:rPr>
          <w:sz w:val="20"/>
        </w:rPr>
        <w:t>Estructura completa de la solución .NET</w:t>
      </w:r>
    </w:p>
    <w:p>
      <w:pPr>
        <w:pStyle w:val="ListBullet"/>
        <w:spacing w:before="20" w:after="20"/>
        <w:ind w:left="283"/>
      </w:pPr>
      <w:r>
        <w:rPr>
          <w:sz w:val="20"/>
        </w:rPr>
        <w:t>Roadmap y módulos definidos</w:t>
      </w:r>
    </w:p>
    <w:p>
      <w:pPr>
        <w:spacing w:before="200" w:after="40"/>
      </w:pPr>
      <w:r>
        <w:rPr>
          <w:b/>
          <w:color w:val="1B5E91"/>
          <w:sz w:val="24"/>
        </w:rPr>
        <w:t xml:space="preserve">Etapa 2: </w:t>
      </w:r>
      <w:r>
        <w:rPr>
          <w:b/>
          <w:color w:val="222222"/>
          <w:sz w:val="24"/>
        </w:rPr>
        <w:t>Modelo de Dominio y Base de Datos</w:t>
      </w:r>
      <w:r>
        <w:rPr>
          <w:b w:val="0"/>
          <w:i/>
          <w:color w:val="CC8800"/>
          <w:sz w:val="20"/>
        </w:rPr>
        <w:t xml:space="preserve">   🔄 SIGUIENTE</w:t>
      </w:r>
    </w:p>
    <w:p>
      <w:pPr>
        <w:pStyle w:val="ListBullet"/>
        <w:spacing w:before="20" w:after="20"/>
        <w:ind w:left="283"/>
      </w:pPr>
      <w:r>
        <w:rPr>
          <w:sz w:val="20"/>
        </w:rPr>
        <w:t>Solución .NET con todos los proyectos de capas creados</w:t>
      </w:r>
    </w:p>
    <w:p>
      <w:pPr>
        <w:pStyle w:val="ListBullet"/>
        <w:spacing w:before="20" w:after="20"/>
        <w:ind w:left="283"/>
      </w:pPr>
      <w:r>
        <w:rPr>
          <w:sz w:val="20"/>
        </w:rPr>
        <w:t>Entidades de dominio completas con relaciones</w:t>
      </w:r>
    </w:p>
    <w:p>
      <w:pPr>
        <w:pStyle w:val="ListBullet"/>
        <w:spacing w:before="20" w:after="20"/>
        <w:ind w:left="283"/>
      </w:pPr>
      <w:r>
        <w:rPr>
          <w:sz w:val="20"/>
        </w:rPr>
        <w:t>ApplicationDbContext con configuraciones EF Core</w:t>
      </w:r>
    </w:p>
    <w:p>
      <w:pPr>
        <w:pStyle w:val="ListBullet"/>
        <w:spacing w:before="20" w:after="20"/>
        <w:ind w:left="283"/>
      </w:pPr>
      <w:r>
        <w:rPr>
          <w:sz w:val="20"/>
        </w:rPr>
        <w:t>Script SQL de creación de tablas PostgreSQL</w:t>
      </w:r>
    </w:p>
    <w:p>
      <w:pPr>
        <w:pStyle w:val="ListBullet"/>
        <w:spacing w:before="20" w:after="20"/>
        <w:ind w:left="283"/>
      </w:pPr>
      <w:r>
        <w:rPr>
          <w:sz w:val="20"/>
        </w:rPr>
        <w:t>docker-compose.yml funcional con todos los servicios</w:t>
      </w:r>
    </w:p>
    <w:p>
      <w:pPr>
        <w:pStyle w:val="ListBullet"/>
        <w:spacing w:before="20" w:after="20"/>
        <w:ind w:left="283"/>
      </w:pPr>
      <w:r>
        <w:rPr>
          <w:sz w:val="20"/>
        </w:rPr>
        <w:t>Primera migración EF Core aplicada</w:t>
      </w:r>
    </w:p>
    <w:p>
      <w:pPr>
        <w:spacing w:before="200" w:after="40"/>
      </w:pPr>
      <w:r>
        <w:rPr>
          <w:b/>
          <w:color w:val="1B5E91"/>
          <w:sz w:val="24"/>
        </w:rPr>
        <w:t xml:space="preserve">Etapa 3: </w:t>
      </w:r>
      <w:r>
        <w:rPr>
          <w:b/>
          <w:color w:val="222222"/>
          <w:sz w:val="24"/>
        </w:rPr>
        <w:t>Backend API — Núcleo de Negocio</w:t>
      </w:r>
      <w:r>
        <w:rPr>
          <w:b w:val="0"/>
          <w:i/>
          <w:color w:val="666666"/>
          <w:sz w:val="20"/>
        </w:rPr>
        <w:t xml:space="preserve">   ⏳ PENDIENTE</w:t>
      </w:r>
    </w:p>
    <w:p>
      <w:pPr>
        <w:pStyle w:val="ListBullet"/>
        <w:spacing w:before="20" w:after="20"/>
        <w:ind w:left="283"/>
      </w:pPr>
      <w:r>
        <w:rPr>
          <w:sz w:val="20"/>
        </w:rPr>
        <w:t>ASP.NET Identity + JWT configurado</w:t>
      </w:r>
    </w:p>
    <w:p>
      <w:pPr>
        <w:pStyle w:val="ListBullet"/>
        <w:spacing w:before="20" w:after="20"/>
        <w:ind w:left="283"/>
      </w:pPr>
      <w:r>
        <w:rPr>
          <w:sz w:val="20"/>
        </w:rPr>
        <w:t>CRUD: Tenants, Empresas, Proyectos, Etapas, Sectores, Unidades</w:t>
      </w:r>
    </w:p>
    <w:p>
      <w:pPr>
        <w:pStyle w:val="ListBullet"/>
        <w:spacing w:before="20" w:after="20"/>
        <w:ind w:left="283"/>
      </w:pPr>
      <w:r>
        <w:rPr>
          <w:sz w:val="20"/>
        </w:rPr>
        <w:t>CRUD: Usuarios, Roles, Permisos por proyecto</w:t>
      </w:r>
    </w:p>
    <w:p>
      <w:pPr>
        <w:pStyle w:val="ListBullet"/>
        <w:spacing w:before="20" w:after="20"/>
        <w:ind w:left="283"/>
      </w:pPr>
      <w:r>
        <w:rPr>
          <w:sz w:val="20"/>
        </w:rPr>
        <w:t>TenantMiddleware + ExceptionMiddleware</w:t>
      </w:r>
    </w:p>
    <w:p>
      <w:pPr>
        <w:pStyle w:val="ListBullet"/>
        <w:spacing w:before="20" w:after="20"/>
        <w:ind w:left="283"/>
      </w:pPr>
      <w:r>
        <w:rPr>
          <w:sz w:val="20"/>
        </w:rPr>
        <w:t>Swagger / OpenAPI documentado</w:t>
      </w:r>
    </w:p>
    <w:p>
      <w:pPr>
        <w:pStyle w:val="ListBullet"/>
        <w:spacing w:before="20" w:after="20"/>
        <w:ind w:left="283"/>
      </w:pPr>
      <w:r>
        <w:rPr>
          <w:sz w:val="20"/>
        </w:rPr>
        <w:t>Tests unitarios de Application layer</w:t>
      </w:r>
    </w:p>
    <w:p>
      <w:pPr>
        <w:spacing w:before="200" w:after="40"/>
      </w:pPr>
      <w:r>
        <w:rPr>
          <w:b/>
          <w:color w:val="1B5E91"/>
          <w:sz w:val="24"/>
        </w:rPr>
        <w:t xml:space="preserve">Etapa 4: </w:t>
      </w:r>
      <w:r>
        <w:rPr>
          <w:b/>
          <w:color w:val="222222"/>
          <w:sz w:val="24"/>
        </w:rPr>
        <w:t>Frontend Web (Blazor Server)</w:t>
      </w:r>
      <w:r>
        <w:rPr>
          <w:b w:val="0"/>
          <w:i/>
          <w:color w:val="666666"/>
          <w:sz w:val="20"/>
        </w:rPr>
        <w:t xml:space="preserve">   ⏳ PENDIENTE</w:t>
      </w:r>
    </w:p>
    <w:p>
      <w:pPr>
        <w:pStyle w:val="ListBullet"/>
        <w:spacing w:before="20" w:after="20"/>
        <w:ind w:left="283"/>
      </w:pPr>
      <w:r>
        <w:rPr>
          <w:sz w:val="20"/>
        </w:rPr>
        <w:t>Layout base, login y gestión de sesiones</w:t>
      </w:r>
    </w:p>
    <w:p>
      <w:pPr>
        <w:pStyle w:val="ListBullet"/>
        <w:spacing w:before="20" w:after="20"/>
        <w:ind w:left="283"/>
      </w:pPr>
      <w:r>
        <w:rPr>
          <w:sz w:val="20"/>
        </w:rPr>
        <w:t>Dashboard con KPIs (MudBlazor Charts)</w:t>
      </w:r>
    </w:p>
    <w:p>
      <w:pPr>
        <w:pStyle w:val="ListBullet"/>
        <w:spacing w:before="20" w:after="20"/>
        <w:ind w:left="283"/>
      </w:pPr>
      <w:r>
        <w:rPr>
          <w:sz w:val="20"/>
        </w:rPr>
        <w:t>CRUD Empresas y Proyectos con UI completa</w:t>
      </w:r>
    </w:p>
    <w:p>
      <w:pPr>
        <w:pStyle w:val="ListBullet"/>
        <w:spacing w:before="20" w:after="20"/>
        <w:ind w:left="283"/>
      </w:pPr>
      <w:r>
        <w:rPr>
          <w:sz w:val="20"/>
        </w:rPr>
        <w:t>Builder dinámico de Plantillas de Inspección</w:t>
      </w:r>
    </w:p>
    <w:p>
      <w:pPr>
        <w:pStyle w:val="ListBullet"/>
        <w:spacing w:before="20" w:after="20"/>
        <w:ind w:left="283"/>
      </w:pPr>
      <w:r>
        <w:rPr>
          <w:sz w:val="20"/>
        </w:rPr>
        <w:t>Módulo de Programación y asignación de inspecciones</w:t>
      </w:r>
    </w:p>
    <w:p>
      <w:pPr>
        <w:pStyle w:val="ListBullet"/>
        <w:spacing w:before="20" w:after="20"/>
        <w:ind w:left="283"/>
      </w:pPr>
      <w:r>
        <w:rPr>
          <w:sz w:val="20"/>
        </w:rPr>
        <w:t>Módulo de Observaciones / No Conformidades</w:t>
      </w:r>
    </w:p>
    <w:p>
      <w:pPr>
        <w:pStyle w:val="ListBullet"/>
        <w:spacing w:before="20" w:after="20"/>
        <w:ind w:left="283"/>
      </w:pPr>
      <w:r>
        <w:rPr>
          <w:sz w:val="20"/>
        </w:rPr>
        <w:t>Módulo de Reportes PDF y Excel</w:t>
      </w:r>
    </w:p>
    <w:p>
      <w:pPr>
        <w:spacing w:before="200" w:after="40"/>
      </w:pPr>
      <w:r>
        <w:rPr>
          <w:b/>
          <w:color w:val="1B5E91"/>
          <w:sz w:val="24"/>
        </w:rPr>
        <w:t xml:space="preserve">Etapa 5: </w:t>
      </w:r>
      <w:r>
        <w:rPr>
          <w:b/>
          <w:color w:val="222222"/>
          <w:sz w:val="24"/>
        </w:rPr>
        <w:t>App Móvil Android</w:t>
      </w:r>
      <w:r>
        <w:rPr>
          <w:b w:val="0"/>
          <w:i/>
          <w:color w:val="666666"/>
          <w:sz w:val="20"/>
        </w:rPr>
        <w:t xml:space="preserve">   ⏳ PENDIENTE</w:t>
      </w:r>
    </w:p>
    <w:p>
      <w:pPr>
        <w:pStyle w:val="ListBullet"/>
        <w:spacing w:before="20" w:after="20"/>
        <w:ind w:left="283"/>
      </w:pPr>
      <w:r>
        <w:rPr>
          <w:sz w:val="20"/>
        </w:rPr>
        <w:t>Login + sincronización inicial de datos</w:t>
      </w:r>
    </w:p>
    <w:p>
      <w:pPr>
        <w:pStyle w:val="ListBullet"/>
        <w:spacing w:before="20" w:after="20"/>
        <w:ind w:left="283"/>
      </w:pPr>
      <w:r>
        <w:rPr>
          <w:sz w:val="20"/>
        </w:rPr>
        <w:t>Lista de inspecciones asignadas al inspector</w:t>
      </w:r>
    </w:p>
    <w:p>
      <w:pPr>
        <w:pStyle w:val="ListBullet"/>
        <w:spacing w:before="20" w:after="20"/>
        <w:ind w:left="283"/>
      </w:pPr>
      <w:r>
        <w:rPr>
          <w:sz w:val="20"/>
        </w:rPr>
        <w:t>Ejecución offline de checklist dinámico</w:t>
      </w:r>
    </w:p>
    <w:p>
      <w:pPr>
        <w:pStyle w:val="ListBullet"/>
        <w:spacing w:before="20" w:after="20"/>
        <w:ind w:left="283"/>
      </w:pPr>
      <w:r>
        <w:rPr>
          <w:sz w:val="20"/>
        </w:rPr>
        <w:t>Captura y compresión de fotografías de evidencia</w:t>
      </w:r>
    </w:p>
    <w:p>
      <w:pPr>
        <w:pStyle w:val="ListBullet"/>
        <w:spacing w:before="20" w:after="20"/>
        <w:ind w:left="283"/>
      </w:pPr>
      <w:r>
        <w:rPr>
          <w:sz w:val="20"/>
        </w:rPr>
        <w:t>SyncWorker: sincronización automática con WorkManager</w:t>
      </w:r>
    </w:p>
    <w:p>
      <w:pPr>
        <w:pStyle w:val="ListBullet"/>
        <w:spacing w:before="20" w:after="20"/>
        <w:ind w:left="283"/>
      </w:pPr>
      <w:r>
        <w:rPr>
          <w:sz w:val="20"/>
        </w:rPr>
        <w:t>Manejo de conflictos y cola de reintentos</w:t>
      </w:r>
    </w:p>
    <w:p>
      <w:pPr>
        <w:spacing w:before="200" w:after="40"/>
      </w:pPr>
      <w:r>
        <w:rPr>
          <w:b/>
          <w:color w:val="1B5E91"/>
          <w:sz w:val="24"/>
        </w:rPr>
        <w:t xml:space="preserve">Etapa 6: </w:t>
      </w:r>
      <w:r>
        <w:rPr>
          <w:b/>
          <w:color w:val="222222"/>
          <w:sz w:val="24"/>
        </w:rPr>
        <w:t>Reportes y Dashboard Avanzado</w:t>
      </w:r>
      <w:r>
        <w:rPr>
          <w:b w:val="0"/>
          <w:i/>
          <w:color w:val="666666"/>
          <w:sz w:val="20"/>
        </w:rPr>
        <w:t xml:space="preserve">   ⏳ PENDIENTE</w:t>
      </w:r>
    </w:p>
    <w:p>
      <w:pPr>
        <w:pStyle w:val="ListBullet"/>
        <w:spacing w:before="20" w:after="20"/>
        <w:ind w:left="283"/>
      </w:pPr>
      <w:r>
        <w:rPr>
          <w:sz w:val="20"/>
        </w:rPr>
        <w:t>Informe de inspección en PDF con QuestPDF (logo, firmas, evidencias)</w:t>
      </w:r>
    </w:p>
    <w:p>
      <w:pPr>
        <w:pStyle w:val="ListBullet"/>
        <w:spacing w:before="20" w:after="20"/>
        <w:ind w:left="283"/>
      </w:pPr>
      <w:r>
        <w:rPr>
          <w:sz w:val="20"/>
        </w:rPr>
        <w:t>Exportación Excel con ClosedXML</w:t>
      </w:r>
    </w:p>
    <w:p>
      <w:pPr>
        <w:pStyle w:val="ListBullet"/>
        <w:spacing w:before="20" w:after="20"/>
        <w:ind w:left="283"/>
      </w:pPr>
      <w:r>
        <w:rPr>
          <w:sz w:val="20"/>
        </w:rPr>
        <w:t>Dashboard ejecutivo con gráficos de KPIs</w:t>
      </w:r>
    </w:p>
    <w:p>
      <w:pPr>
        <w:pStyle w:val="ListBullet"/>
        <w:spacing w:before="20" w:after="20"/>
        <w:ind w:left="283"/>
      </w:pPr>
      <w:r>
        <w:rPr>
          <w:sz w:val="20"/>
        </w:rPr>
        <w:t>Módulo de auditoría y log de acciones</w:t>
      </w:r>
    </w:p>
    <w:p>
      <w:pPr>
        <w:pStyle w:val="ListBullet"/>
        <w:spacing w:before="20" w:after="20"/>
        <w:ind w:left="283"/>
      </w:pPr>
      <w:r>
        <w:rPr>
          <w:sz w:val="20"/>
        </w:rPr>
        <w:t>Notificaciones por email automáticas</w:t>
      </w:r>
    </w:p>
    <w:p>
      <w:pPr>
        <w:spacing w:before="200" w:after="40"/>
      </w:pPr>
      <w:r>
        <w:rPr>
          <w:b/>
          <w:color w:val="1B5E91"/>
          <w:sz w:val="24"/>
        </w:rPr>
        <w:t xml:space="preserve">Etapa 7: </w:t>
      </w:r>
      <w:r>
        <w:rPr>
          <w:b/>
          <w:color w:val="222222"/>
          <w:sz w:val="24"/>
        </w:rPr>
        <w:t>Infraestructura y Deploy</w:t>
      </w:r>
      <w:r>
        <w:rPr>
          <w:b w:val="0"/>
          <w:i/>
          <w:color w:val="666666"/>
          <w:sz w:val="20"/>
        </w:rPr>
        <w:t xml:space="preserve">   ⏳ PENDIENTE</w:t>
      </w:r>
    </w:p>
    <w:p>
      <w:pPr>
        <w:pStyle w:val="ListBullet"/>
        <w:spacing w:before="20" w:after="20"/>
        <w:ind w:left="283"/>
      </w:pPr>
      <w:r>
        <w:rPr>
          <w:sz w:val="20"/>
        </w:rPr>
        <w:t>Docker-compose de producción optimizado</w:t>
      </w:r>
    </w:p>
    <w:p>
      <w:pPr>
        <w:pStyle w:val="ListBullet"/>
        <w:spacing w:before="20" w:after="20"/>
        <w:ind w:left="283"/>
      </w:pPr>
      <w:r>
        <w:rPr>
          <w:sz w:val="20"/>
        </w:rPr>
        <w:t>Configuración Nginx reverse proxy</w:t>
      </w:r>
    </w:p>
    <w:p>
      <w:pPr>
        <w:pStyle w:val="ListBullet"/>
        <w:spacing w:before="20" w:after="20"/>
        <w:ind w:left="283"/>
      </w:pPr>
      <w:r>
        <w:rPr>
          <w:sz w:val="20"/>
        </w:rPr>
        <w:t>CI/CD pipeline básico</w:t>
      </w:r>
    </w:p>
    <w:p>
      <w:pPr>
        <w:pStyle w:val="ListBullet"/>
        <w:spacing w:before="20" w:after="20"/>
        <w:ind w:left="283"/>
      </w:pPr>
      <w:r>
        <w:rPr>
          <w:sz w:val="20"/>
        </w:rPr>
        <w:t>Estrategia de backup de PostgreSQL</w:t>
      </w:r>
    </w:p>
    <w:p>
      <w:pPr>
        <w:pStyle w:val="ListBullet"/>
        <w:spacing w:before="20" w:after="20"/>
        <w:ind w:left="283"/>
      </w:pPr>
      <w:r>
        <w:rPr>
          <w:sz w:val="20"/>
        </w:rPr>
        <w:t>Monitoreo con Serilog + Seq</w:t>
      </w:r>
    </w:p>
    <w:p>
      <w:pPr>
        <w:pStyle w:val="ListBullet"/>
        <w:spacing w:before="20" w:after="20"/>
        <w:ind w:left="283"/>
      </w:pPr>
      <w:r>
        <w:rPr>
          <w:sz w:val="20"/>
        </w:rPr>
        <w:t>Documentación de operaciones</w:t>
      </w:r>
    </w:p>
    <w:p>
      <w:pPr>
        <w:spacing w:before="200" w:after="40"/>
      </w:pPr>
      <w:r>
        <w:rPr>
          <w:b/>
          <w:color w:val="1B5E91"/>
          <w:sz w:val="24"/>
        </w:rPr>
        <w:t xml:space="preserve">Etapa 8: </w:t>
      </w:r>
      <w:r>
        <w:rPr>
          <w:b/>
          <w:color w:val="222222"/>
          <w:sz w:val="24"/>
        </w:rPr>
        <w:t>Módulo IA (Fase futura)</w:t>
      </w:r>
      <w:r>
        <w:rPr>
          <w:b w:val="0"/>
          <w:i/>
          <w:color w:val="666666"/>
          <w:sz w:val="20"/>
        </w:rPr>
        <w:t xml:space="preserve">   ⏳ FUTURO</w:t>
      </w:r>
    </w:p>
    <w:p>
      <w:pPr>
        <w:pStyle w:val="ListBullet"/>
        <w:spacing w:before="20" w:after="20"/>
        <w:ind w:left="283"/>
      </w:pPr>
      <w:r>
        <w:rPr>
          <w:sz w:val="20"/>
        </w:rPr>
        <w:t>Clasificación automática de severidad de observaciones</w:t>
      </w:r>
    </w:p>
    <w:p>
      <w:pPr>
        <w:pStyle w:val="ListBullet"/>
        <w:spacing w:before="20" w:after="20"/>
        <w:ind w:left="283"/>
      </w:pPr>
      <w:r>
        <w:rPr>
          <w:sz w:val="20"/>
        </w:rPr>
        <w:t>Generación automática de descripciones de NC</w:t>
      </w:r>
    </w:p>
    <w:p>
      <w:pPr>
        <w:pStyle w:val="ListBullet"/>
        <w:spacing w:before="20" w:after="20"/>
        <w:ind w:left="283"/>
      </w:pPr>
      <w:r>
        <w:rPr>
          <w:sz w:val="20"/>
        </w:rPr>
        <w:t>Resumen ejecutivo automático de inspecciones</w:t>
      </w:r>
    </w:p>
    <w:p>
      <w:pPr>
        <w:pStyle w:val="ListBullet"/>
        <w:spacing w:before="20" w:after="20"/>
        <w:ind w:left="283"/>
      </w:pPr>
      <w:r>
        <w:rPr>
          <w:sz w:val="20"/>
        </w:rPr>
        <w:t>Búsqueda semántica sobre observaciones históricas</w:t>
      </w:r>
    </w:p>
    <w:p>
      <w:pPr>
        <w:pStyle w:val="ListBullet"/>
        <w:spacing w:before="20" w:after="20"/>
        <w:ind w:left="283"/>
      </w:pPr>
      <w:r>
        <w:rPr>
          <w:sz w:val="20"/>
        </w:rPr>
        <w:t>Integración con Claude API (Anthropic)</w:t>
      </w:r>
    </w:p>
    <w:p/>
    <w:p>
      <w:pPr>
        <w:spacing w:before="320" w:after="120"/>
      </w:pPr>
      <w:r>
        <w:rPr>
          <w:b/>
          <w:color w:val="1B5E91"/>
          <w:sz w:val="32"/>
        </w:rPr>
        <w:t>6. Roadmap — Sprints del MVP</w:t>
      </w:r>
    </w:p>
    <w:p>
      <w:pPr>
        <w:spacing w:before="40" w:after="40"/>
        <w:pBdr>
          <w:bottom w:val="single" w:sz="6" w:space="1" w:color="1B5E91"/>
        </w:pBdr>
      </w:pPr>
    </w:p>
    <w:p>
      <w:pPr>
        <w:spacing w:before="40" w:after="80"/>
      </w:pPr>
      <w:r>
        <w:rPr>
          <w:i/>
          <w:sz w:val="20"/>
        </w:rPr>
        <w:t>Estimación para 1 equipo full-stack. Total MVP completo: 15–18 semanas.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7"/>
        <w:gridCol w:w="2268"/>
        <w:gridCol w:w="1417"/>
        <w:gridCol w:w="3969"/>
      </w:tblGrid>
      <w:tr>
        <w:tc>
          <w:tcPr>
            <w:tcW w:type="dxa" w:w="2351"/>
            <w:shd w:val="clear" w:color="auto" w:fill="1B5E91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2351"/>
            <w:shd w:val="clear" w:color="auto" w:fill="1B5E91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Título</w:t>
            </w:r>
          </w:p>
        </w:tc>
        <w:tc>
          <w:tcPr>
            <w:tcW w:type="dxa" w:w="2351"/>
            <w:shd w:val="clear" w:color="auto" w:fill="1B5E91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Duración</w:t>
            </w:r>
          </w:p>
        </w:tc>
        <w:tc>
          <w:tcPr>
            <w:tcW w:type="dxa" w:w="2351"/>
            <w:shd w:val="clear" w:color="auto" w:fill="1B5E91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Tareas Clave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r>
              <w:rPr>
                <w:b/>
                <w:sz w:val="18"/>
              </w:rPr>
              <w:t>Sprint 0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Fundación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8"/>
              </w:rPr>
              <w:t>1–2 semanas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18"/>
              </w:rPr>
              <w:t>• Crear solución .NET con Clean Architecture</w:t>
              <w:br/>
              <w:t>• Configurar PostgreSQL + EF Core + Migrations</w:t>
              <w:br/>
              <w:t>• Configurar Identity + JWT</w:t>
              <w:br/>
              <w:t>• Configurar MinIO</w:t>
              <w:br/>
              <w:t>• docker-compose local funcional</w:t>
              <w:br/>
              <w:t>• CI básico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b/>
                <w:sz w:val="18"/>
              </w:rPr>
              <w:t>Sprint 1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Núcleo de Negocio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2–3 semanas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• CRUD: Tenants, Empresas, Proyectos, Etapas, Sectores, Unidades</w:t>
              <w:br/>
              <w:t>• CRUD: Usuarios, Roles, Permisos</w:t>
              <w:br/>
              <w:t>• Blazor Web: Layout, Login, Dashboard vacío, CRUD Empresas y Proyectos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r>
              <w:rPr>
                <w:b/>
                <w:sz w:val="18"/>
              </w:rPr>
              <w:t>Sprint 2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Plantillas de Inspección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8"/>
              </w:rPr>
              <w:t>2 semanas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18"/>
              </w:rPr>
              <w:t>• Motor de plantillas dinámicas (secciones, preguntas, tipos)</w:t>
              <w:br/>
              <w:t>• Builder de secciones y preguntas en web</w:t>
              <w:br/>
              <w:t>• Versionado de plantillas</w:t>
              <w:br/>
              <w:t>• Frontend: editor visual de plantillas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b/>
                <w:sz w:val="18"/>
              </w:rPr>
              <w:t>Sprint 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Inspecciones Web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2 semanas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• Programación de inspecciones</w:t>
              <w:br/>
              <w:t>• Asignación a ITO / inspector</w:t>
              <w:br/>
              <w:t>• Registro básico de inspecciones desde web</w:t>
              <w:br/>
              <w:t>• Estados y flujo de inspección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r>
              <w:rPr>
                <w:b/>
                <w:sz w:val="18"/>
              </w:rPr>
              <w:t>Sprint 4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App Android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8"/>
              </w:rPr>
              <w:t>3 semanas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18"/>
              </w:rPr>
              <w:t>• Login + sincronización inicial de catálogos</w:t>
              <w:br/>
              <w:t>• Lista de inspecciones asignadas al inspector</w:t>
              <w:br/>
              <w:t>• Ejecución offline del checklist dinámico</w:t>
              <w:br/>
              <w:t>• Captura y gestión de fotografías</w:t>
              <w:br/>
              <w:t>• SyncWorker: sincronización con WorkManager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b/>
                <w:sz w:val="18"/>
              </w:rPr>
              <w:t>Sprint 5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Observaciones y Reinspecciones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2 semanas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• Módulo completo de No Conformidades</w:t>
              <w:br/>
              <w:t>• Flujo de asignación, corrección y cierre</w:t>
              <w:br/>
              <w:t>• Reinspección con trazabilidad completa</w:t>
              <w:br/>
              <w:t>• Historial de cambios de estado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r>
              <w:rPr>
                <w:b/>
                <w:sz w:val="18"/>
              </w:rPr>
              <w:t>Sprint 6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Reportes y Dashboard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8"/>
              </w:rPr>
              <w:t>2 semanas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18"/>
              </w:rPr>
              <w:t>• PDF de inspección con QuestPDF (logo, evidencias, firmas)</w:t>
              <w:br/>
              <w:t>• Export Excel con ClosedXML</w:t>
              <w:br/>
              <w:t>• Dashboard KPIs con gráficos MudBlazor Charts</w:t>
              <w:br/>
              <w:t>• Módulo de auditoría visible en web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b/>
                <w:sz w:val="18"/>
              </w:rPr>
              <w:t>Sprint 7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Pulido MVP y Lanzamiento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1–2 semanas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• Notificaciones email automáticas</w:t>
              <w:br/>
              <w:t>• Validaciones finales y edge cases</w:t>
              <w:br/>
              <w:t>• Documentación API Swagger completa</w:t>
              <w:br/>
              <w:t>• Testing crítico de seguridad multi-tenant</w:t>
              <w:br/>
              <w:t>• Deploy en servidor de producción</w:t>
            </w:r>
          </w:p>
        </w:tc>
      </w:tr>
    </w:tbl>
    <w:p/>
    <w:p>
      <w:pPr>
        <w:spacing w:before="320" w:after="120"/>
      </w:pPr>
      <w:r>
        <w:rPr>
          <w:b/>
          <w:color w:val="1B5E91"/>
          <w:sz w:val="32"/>
        </w:rPr>
        <w:t>7. Decisiones Técnicas Clave</w:t>
      </w:r>
    </w:p>
    <w:p>
      <w:pPr>
        <w:spacing w:before="40" w:after="40"/>
        <w:pBdr>
          <w:bottom w:val="single" w:sz="6" w:space="1" w:color="1B5E91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2268"/>
        <w:gridCol w:w="1984"/>
        <w:gridCol w:w="3118"/>
      </w:tblGrid>
      <w:tr>
        <w:tc>
          <w:tcPr>
            <w:tcW w:type="dxa" w:w="2351"/>
            <w:shd w:val="clear" w:color="auto" w:fill="1B5E91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Decisión</w:t>
            </w:r>
          </w:p>
        </w:tc>
        <w:tc>
          <w:tcPr>
            <w:tcW w:type="dxa" w:w="2351"/>
            <w:shd w:val="clear" w:color="auto" w:fill="1B5E91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Opción Elegida</w:t>
            </w:r>
          </w:p>
        </w:tc>
        <w:tc>
          <w:tcPr>
            <w:tcW w:type="dxa" w:w="2351"/>
            <w:shd w:val="clear" w:color="auto" w:fill="1B5E91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Alternativa Descartada</w:t>
            </w:r>
          </w:p>
        </w:tc>
        <w:tc>
          <w:tcPr>
            <w:tcW w:type="dxa" w:w="2351"/>
            <w:shd w:val="clear" w:color="auto" w:fill="1B5E91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Razón</w:t>
            </w:r>
          </w:p>
        </w:tc>
      </w:tr>
      <w:tr>
        <w:tc>
          <w:tcPr>
            <w:tcW w:type="dxa" w:w="1701"/>
            <w:shd w:val="clear" w:color="auto" w:fill="EBF3FB"/>
          </w:tcPr>
          <w:p>
            <w:r>
              <w:rPr>
                <w:sz w:val="18"/>
              </w:rPr>
              <w:t>ORM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b/>
                <w:color w:val="1B5E91"/>
                <w:sz w:val="18"/>
              </w:rPr>
              <w:t>EF Core 8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8"/>
              </w:rPr>
              <w:t>Dapper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8"/>
              </w:rPr>
              <w:t>Productividad + migraciones + Global Query Filters para multi-tenant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CQRS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/>
                <w:color w:val="1B5E91"/>
                <w:sz w:val="18"/>
              </w:rPr>
              <w:t>MediatR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Servicio directo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Separación de responsabilidades, mejor testabilidad</w:t>
            </w:r>
          </w:p>
        </w:tc>
      </w:tr>
      <w:tr>
        <w:tc>
          <w:tcPr>
            <w:tcW w:type="dxa" w:w="1701"/>
            <w:shd w:val="clear" w:color="auto" w:fill="EBF3FB"/>
          </w:tcPr>
          <w:p>
            <w:r>
              <w:rPr>
                <w:sz w:val="18"/>
              </w:rPr>
              <w:t>Validación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b/>
                <w:color w:val="1B5E91"/>
                <w:sz w:val="18"/>
              </w:rPr>
              <w:t>FluentValidation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8"/>
              </w:rPr>
              <w:t>DataAnnotations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8"/>
              </w:rPr>
              <w:t>Más expresivo, lógica separada del modelo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Mapeo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/>
                <w:color w:val="1B5E91"/>
                <w:sz w:val="18"/>
              </w:rPr>
              <w:t>AutoMapper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Manual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Reduce boilerplate en DTOs</w:t>
            </w:r>
          </w:p>
        </w:tc>
      </w:tr>
      <w:tr>
        <w:tc>
          <w:tcPr>
            <w:tcW w:type="dxa" w:w="1701"/>
            <w:shd w:val="clear" w:color="auto" w:fill="EBF3FB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b/>
                <w:color w:val="1B5E91"/>
                <w:sz w:val="18"/>
              </w:rPr>
              <w:t>QuestPDF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8"/>
              </w:rPr>
              <w:t>iTextSharp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8"/>
              </w:rPr>
              <w:t>Licencia MIT, API moderna, mejor DX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Excel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/>
                <w:color w:val="1B5E91"/>
                <w:sz w:val="18"/>
              </w:rPr>
              <w:t>ClosedXML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EPPlus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Licencia MIT, sin restricción comercial</w:t>
            </w:r>
          </w:p>
        </w:tc>
      </w:tr>
      <w:tr>
        <w:tc>
          <w:tcPr>
            <w:tcW w:type="dxa" w:w="1701"/>
            <w:shd w:val="clear" w:color="auto" w:fill="EBF3FB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b/>
                <w:color w:val="1B5E91"/>
                <w:sz w:val="18"/>
              </w:rPr>
              <w:t>MinIO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8"/>
              </w:rPr>
              <w:t>Azure Blob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8"/>
              </w:rPr>
              <w:t>Auto-hosteable, S3 compatible, sin vendor lock-in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/>
                <w:color w:val="1B5E91"/>
                <w:sz w:val="18"/>
              </w:rPr>
              <w:t>ASP.NET Identity + JWT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Keycloak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Simplicidad, control total, sin dependencia externa</w:t>
            </w:r>
          </w:p>
        </w:tc>
      </w:tr>
      <w:tr>
        <w:tc>
          <w:tcPr>
            <w:tcW w:type="dxa" w:w="1701"/>
            <w:shd w:val="clear" w:color="auto" w:fill="EBF3FB"/>
          </w:tcPr>
          <w:p>
            <w:r>
              <w:rPr>
                <w:sz w:val="18"/>
              </w:rPr>
              <w:t>Logging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b/>
                <w:color w:val="1B5E91"/>
                <w:sz w:val="18"/>
              </w:rPr>
              <w:t>Serilog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8"/>
              </w:rPr>
              <w:t>ILogger nativo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8"/>
              </w:rPr>
              <w:t>Sinks configurables: consola, archivo, Seq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Frontend web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/>
                <w:color w:val="1B5E91"/>
                <w:sz w:val="18"/>
              </w:rPr>
              <w:t>Blazor Server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Blazor WASM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SignalR nativo para tiempo real, integración directa con Identity</w:t>
            </w:r>
          </w:p>
        </w:tc>
      </w:tr>
      <w:tr>
        <w:tc>
          <w:tcPr>
            <w:tcW w:type="dxa" w:w="1701"/>
            <w:shd w:val="clear" w:color="auto" w:fill="EBF3FB"/>
          </w:tcPr>
          <w:p>
            <w:r>
              <w:rPr>
                <w:sz w:val="18"/>
              </w:rPr>
              <w:t>Multi-tenant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b/>
                <w:color w:val="1B5E91"/>
                <w:sz w:val="18"/>
              </w:rPr>
              <w:t>Lógico (TenantId)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8"/>
              </w:rPr>
              <w:t>Schema por tenant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8"/>
              </w:rPr>
              <w:t>Simplicidad operacional, menor costo infra inicial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PKs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/>
                <w:color w:val="1B5E91"/>
                <w:sz w:val="18"/>
              </w:rPr>
              <w:t>UUID / GUID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int autoincrement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Necesario para generación offline en Android sin colisiones</w:t>
            </w:r>
          </w:p>
        </w:tc>
      </w:tr>
    </w:tbl>
    <w:p/>
    <w:p>
      <w:pPr>
        <w:spacing w:before="320" w:after="120"/>
      </w:pPr>
      <w:r>
        <w:rPr>
          <w:b/>
          <w:color w:val="1B5E91"/>
          <w:sz w:val="32"/>
        </w:rPr>
        <w:t>8. Riesgos Técnicos y Mitigación</w:t>
      </w:r>
    </w:p>
    <w:p>
      <w:pPr>
        <w:spacing w:before="40" w:after="40"/>
        <w:pBdr>
          <w:bottom w:val="single" w:sz="6" w:space="1" w:color="1B5E91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1134"/>
        <w:gridCol w:w="1134"/>
        <w:gridCol w:w="3685"/>
      </w:tblGrid>
      <w:tr>
        <w:tc>
          <w:tcPr>
            <w:tcW w:type="dxa" w:w="2351"/>
            <w:shd w:val="clear" w:color="auto" w:fill="1B5E91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2351"/>
            <w:shd w:val="clear" w:color="auto" w:fill="1B5E91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Probabilidad</w:t>
            </w:r>
          </w:p>
        </w:tc>
        <w:tc>
          <w:tcPr>
            <w:tcW w:type="dxa" w:w="2351"/>
            <w:shd w:val="clear" w:color="auto" w:fill="1B5E91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2351"/>
            <w:shd w:val="clear" w:color="auto" w:fill="1B5E91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Mitigación</w:t>
            </w:r>
          </w:p>
        </w:tc>
      </w:tr>
      <w:tr>
        <w:tc>
          <w:tcPr>
            <w:tcW w:type="dxa" w:w="3118"/>
            <w:shd w:val="clear" w:color="auto" w:fill="EBF3FB"/>
          </w:tcPr>
          <w:p>
            <w:r>
              <w:rPr>
                <w:sz w:val="18"/>
              </w:rPr>
              <w:t>Conflictos de sync offline Android</w:t>
            </w:r>
          </w:p>
        </w:tc>
        <w:tc>
          <w:tcPr>
            <w:tcW w:type="dxa" w:w="1134"/>
            <w:shd w:val="clear" w:color="auto" w:fill="FF5252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Alta</w:t>
            </w:r>
          </w:p>
        </w:tc>
        <w:tc>
          <w:tcPr>
            <w:tcW w:type="dxa" w:w="1134"/>
            <w:shd w:val="clear" w:color="auto" w:fill="E64A1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Alto</w:t>
            </w:r>
          </w:p>
        </w:tc>
        <w:tc>
          <w:tcPr>
            <w:tcW w:type="dxa" w:w="3685"/>
            <w:shd w:val="clear" w:color="auto" w:fill="EBF3FB"/>
          </w:tcPr>
          <w:p>
            <w:r>
              <w:rPr>
                <w:sz w:val="18"/>
              </w:rPr>
              <w:t>Server-wins + UUID + timestamps last_modified_at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Rendimiento Blazor Server bajo alta concurrencia</w:t>
            </w:r>
          </w:p>
        </w:tc>
        <w:tc>
          <w:tcPr>
            <w:tcW w:type="dxa" w:w="1134"/>
            <w:shd w:val="clear" w:color="auto" w:fill="FFB30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Media</w:t>
            </w:r>
          </w:p>
        </w:tc>
        <w:tc>
          <w:tcPr>
            <w:tcW w:type="dxa" w:w="1134"/>
            <w:shd w:val="clear" w:color="auto" w:fill="E64A1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Alto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Redis para state distribuido + sticky sessions</w:t>
            </w:r>
          </w:p>
        </w:tc>
      </w:tr>
      <w:tr>
        <w:tc>
          <w:tcPr>
            <w:tcW w:type="dxa" w:w="3118"/>
            <w:shd w:val="clear" w:color="auto" w:fill="EBF3FB"/>
          </w:tcPr>
          <w:p>
            <w:r>
              <w:rPr>
                <w:sz w:val="18"/>
              </w:rPr>
              <w:t>Archivos multimedia grandes (fotos HD en obra)</w:t>
            </w:r>
          </w:p>
        </w:tc>
        <w:tc>
          <w:tcPr>
            <w:tcW w:type="dxa" w:w="1134"/>
            <w:shd w:val="clear" w:color="auto" w:fill="FF5252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Alta</w:t>
            </w:r>
          </w:p>
        </w:tc>
        <w:tc>
          <w:tcPr>
            <w:tcW w:type="dxa" w:w="1134"/>
            <w:shd w:val="clear" w:color="auto" w:fill="F57C0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Medio</w:t>
            </w:r>
          </w:p>
        </w:tc>
        <w:tc>
          <w:tcPr>
            <w:tcW w:type="dxa" w:w="3685"/>
            <w:shd w:val="clear" w:color="auto" w:fill="EBF3FB"/>
          </w:tcPr>
          <w:p>
            <w:r>
              <w:rPr>
                <w:sz w:val="18"/>
              </w:rPr>
              <w:t>Compresión en app antes del upload + límites en API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Complejidad del motor de plantillas dinámicas</w:t>
            </w:r>
          </w:p>
        </w:tc>
        <w:tc>
          <w:tcPr>
            <w:tcW w:type="dxa" w:w="1134"/>
            <w:shd w:val="clear" w:color="auto" w:fill="FF5252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Alta</w:t>
            </w:r>
          </w:p>
        </w:tc>
        <w:tc>
          <w:tcPr>
            <w:tcW w:type="dxa" w:w="1134"/>
            <w:shd w:val="clear" w:color="auto" w:fill="E64A1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Alto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Diseñar modelo de datos flexible desde Sprint 0</w:t>
            </w:r>
          </w:p>
        </w:tc>
      </w:tr>
      <w:tr>
        <w:tc>
          <w:tcPr>
            <w:tcW w:type="dxa" w:w="3118"/>
            <w:shd w:val="clear" w:color="auto" w:fill="EBF3FB"/>
          </w:tcPr>
          <w:p>
            <w:r>
              <w:rPr>
                <w:sz w:val="18"/>
              </w:rPr>
              <w:t>Multi-tenant: query sin filtro de tenant</w:t>
            </w:r>
          </w:p>
        </w:tc>
        <w:tc>
          <w:tcPr>
            <w:tcW w:type="dxa" w:w="1134"/>
            <w:shd w:val="clear" w:color="auto" w:fill="FFB30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Media</w:t>
            </w:r>
          </w:p>
        </w:tc>
        <w:tc>
          <w:tcPr>
            <w:tcW w:type="dxa" w:w="1134"/>
            <w:shd w:val="clear" w:color="auto" w:fill="B71C1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Crítico</w:t>
            </w:r>
          </w:p>
        </w:tc>
        <w:tc>
          <w:tcPr>
            <w:tcW w:type="dxa" w:w="3685"/>
            <w:shd w:val="clear" w:color="auto" w:fill="EBF3FB"/>
          </w:tcPr>
          <w:p>
            <w:r>
              <w:rPr>
                <w:sz w:val="18"/>
              </w:rPr>
              <w:t>EF Global Query Filters + tests de seguridad de tenant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Migración de esquema con clientes en producción</w:t>
            </w:r>
          </w:p>
        </w:tc>
        <w:tc>
          <w:tcPr>
            <w:tcW w:type="dxa" w:w="1134"/>
            <w:shd w:val="clear" w:color="auto" w:fill="FFB30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Media</w:t>
            </w:r>
          </w:p>
        </w:tc>
        <w:tc>
          <w:tcPr>
            <w:tcW w:type="dxa" w:w="1134"/>
            <w:shd w:val="clear" w:color="auto" w:fill="E64A1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Alto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Migraciones no destructivas + estrategia blue-green</w:t>
            </w:r>
          </w:p>
        </w:tc>
      </w:tr>
      <w:tr>
        <w:tc>
          <w:tcPr>
            <w:tcW w:type="dxa" w:w="3118"/>
            <w:shd w:val="clear" w:color="auto" w:fill="EBF3FB"/>
          </w:tcPr>
          <w:p>
            <w:r>
              <w:rPr>
                <w:sz w:val="18"/>
              </w:rPr>
              <w:t>Latencia en generación de PDFs grandes</w:t>
            </w:r>
          </w:p>
        </w:tc>
        <w:tc>
          <w:tcPr>
            <w:tcW w:type="dxa" w:w="1134"/>
            <w:shd w:val="clear" w:color="auto" w:fill="66BB6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Baja</w:t>
            </w:r>
          </w:p>
        </w:tc>
        <w:tc>
          <w:tcPr>
            <w:tcW w:type="dxa" w:w="1134"/>
            <w:shd w:val="clear" w:color="auto" w:fill="F57C0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Medio</w:t>
            </w:r>
          </w:p>
        </w:tc>
        <w:tc>
          <w:tcPr>
            <w:tcW w:type="dxa" w:w="3685"/>
            <w:shd w:val="clear" w:color="auto" w:fill="EBF3FB"/>
          </w:tcPr>
          <w:p>
            <w:r>
              <w:rPr>
                <w:sz w:val="18"/>
              </w:rPr>
              <w:t>Generación asíncrona con cola de trabajos en background</w:t>
            </w:r>
          </w:p>
        </w:tc>
      </w:tr>
    </w:tbl>
    <w:p/>
    <w:p>
      <w:pPr>
        <w:spacing w:before="320" w:after="120"/>
      </w:pPr>
      <w:r>
        <w:rPr>
          <w:b/>
          <w:color w:val="1B5E91"/>
          <w:sz w:val="32"/>
        </w:rPr>
        <w:t>9. Preparación para Módulo IA (Futuro)</w:t>
      </w:r>
    </w:p>
    <w:p>
      <w:pPr>
        <w:spacing w:before="40" w:after="40"/>
        <w:pBdr>
          <w:bottom w:val="single" w:sz="6" w:space="1" w:color="1B5E91"/>
        </w:pBdr>
      </w:pPr>
    </w:p>
    <w:p>
      <w:pPr>
        <w:spacing w:before="40" w:after="80"/>
      </w:pPr>
      <w:r>
        <w:rPr>
          <w:sz w:val="20"/>
        </w:rPr>
        <w:t>Se definen interfaces vacías desde el inicio para no acoplar a ningún proveedor de IA. El sistema queda listo para integrar Claude API (Anthropic) u otro LLM sin modificar la capa de dominio ni aplicación.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85"/>
        <w:gridCol w:w="5386"/>
      </w:tblGrid>
      <w:tr>
        <w:tc>
          <w:tcPr>
            <w:tcW w:type="dxa" w:w="4703"/>
            <w:shd w:val="clear" w:color="auto" w:fill="1B5E91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Función IAIService</w:t>
            </w:r>
          </w:p>
        </w:tc>
        <w:tc>
          <w:tcPr>
            <w:tcW w:type="dxa" w:w="4703"/>
            <w:shd w:val="clear" w:color="auto" w:fill="1B5E91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685"/>
            <w:shd w:val="clear" w:color="auto" w:fill="FFF8E1"/>
          </w:tcPr>
          <w:p>
            <w:r>
              <w:rPr>
                <w:b/>
                <w:color w:val="E65C00"/>
                <w:sz w:val="18"/>
              </w:rPr>
              <w:t>GenerateObservationDescriptionAsync</w:t>
            </w:r>
          </w:p>
        </w:tc>
        <w:tc>
          <w:tcPr>
            <w:tcW w:type="dxa" w:w="5386"/>
            <w:shd w:val="clear" w:color="auto" w:fill="FFF8E1"/>
          </w:tcPr>
          <w:p>
            <w:r>
              <w:rPr>
                <w:sz w:val="18"/>
              </w:rPr>
              <w:t>Genera descripción de NC a partir del contexto visual y datos del checklist</w:t>
            </w:r>
          </w:p>
        </w:tc>
      </w:tr>
      <w:tr>
        <w:tc>
          <w:tcPr>
            <w:tcW w:type="dxa" w:w="3685"/>
            <w:shd w:val="clear" w:color="auto" w:fill="FFFDE7"/>
          </w:tcPr>
          <w:p>
            <w:r>
              <w:rPr>
                <w:b/>
                <w:color w:val="E65C00"/>
                <w:sz w:val="18"/>
              </w:rPr>
              <w:t>SummarizeInspectionAsync</w:t>
            </w:r>
          </w:p>
        </w:tc>
        <w:tc>
          <w:tcPr>
            <w:tcW w:type="dxa" w:w="5386"/>
            <w:shd w:val="clear" w:color="auto" w:fill="FFFDE7"/>
          </w:tcPr>
          <w:p>
            <w:r>
              <w:rPr>
                <w:sz w:val="18"/>
              </w:rPr>
              <w:t>Resume automáticamente una inspección completa para el informe ejecutivo</w:t>
            </w:r>
          </w:p>
        </w:tc>
      </w:tr>
      <w:tr>
        <w:tc>
          <w:tcPr>
            <w:tcW w:type="dxa" w:w="3685"/>
            <w:shd w:val="clear" w:color="auto" w:fill="FFF8E1"/>
          </w:tcPr>
          <w:p>
            <w:r>
              <w:rPr>
                <w:b/>
                <w:color w:val="E65C00"/>
                <w:sz w:val="18"/>
              </w:rPr>
              <w:t>ClassifySeverityAsync</w:t>
            </w:r>
          </w:p>
        </w:tc>
        <w:tc>
          <w:tcPr>
            <w:tcW w:type="dxa" w:w="5386"/>
            <w:shd w:val="clear" w:color="auto" w:fill="FFF8E1"/>
          </w:tcPr>
          <w:p>
            <w:r>
              <w:rPr>
                <w:sz w:val="18"/>
              </w:rPr>
              <w:t>Clasifica la severidad de una observación basado en su descripción</w:t>
            </w:r>
          </w:p>
        </w:tc>
      </w:tr>
      <w:tr>
        <w:tc>
          <w:tcPr>
            <w:tcW w:type="dxa" w:w="3685"/>
            <w:shd w:val="clear" w:color="auto" w:fill="FFFDE7"/>
          </w:tcPr>
          <w:p>
            <w:r>
              <w:rPr>
                <w:b/>
                <w:color w:val="E65C00"/>
                <w:sz w:val="18"/>
              </w:rPr>
              <w:t>SemanticSearchAsync</w:t>
            </w:r>
          </w:p>
        </w:tc>
        <w:tc>
          <w:tcPr>
            <w:tcW w:type="dxa" w:w="5386"/>
            <w:shd w:val="clear" w:color="auto" w:fill="FFFDE7"/>
          </w:tcPr>
          <w:p>
            <w:r>
              <w:rPr>
                <w:sz w:val="18"/>
              </w:rPr>
              <w:t>Búsqueda semántica sobre el historial de observaciones de un proyecto</w:t>
            </w:r>
          </w:p>
        </w:tc>
      </w:tr>
    </w:tbl>
    <w:p/>
    <w:p>
      <w:pPr>
        <w:spacing w:before="40" w:after="80"/>
      </w:pPr>
      <w:r>
        <w:rPr>
          <w:i/>
          <w:sz w:val="20"/>
        </w:rPr>
        <w:t>Actualmente IAIService es implementado por AIServiceStub (Infrastructure) que retorna NotImplementedException. El contenedor DI inyecta el stub hasta que se implemente la integración real.</w:t>
      </w:r>
    </w:p>
    <w:p/>
    <w:p>
      <w:pPr>
        <w:spacing w:before="40" w:after="40"/>
        <w:pBdr>
          <w:bottom w:val="single" w:sz="6" w:space="1" w:color="1B5E91"/>
        </w:pBdr>
      </w:pPr>
    </w:p>
    <w:p>
      <w:pPr>
        <w:jc w:val="center"/>
      </w:pPr>
      <w:r>
        <w:rPr>
          <w:i/>
          <w:color w:val="999999"/>
          <w:sz w:val="16"/>
        </w:rPr>
        <w:t>ITO Cloud — Roadmap de Solución v1.0  |  18/03/2026  |  Confidencial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